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P9_TA(2024)0359</w:t>
      </w:r>
      <w:bookmarkEnd w:id="0"/>
    </w:p>
    <w:p>
      <w:pPr>
        <w:pStyle w:val="ATHeading2"/>
      </w:pPr>
      <w:r>
        <w:t>Iniciat</w:t>
      </w:r>
      <w:r>
        <w:rPr>
          <w:rFonts w:hint="eastAsia"/>
        </w:rPr>
        <w:t>í</w:t>
      </w:r>
      <w:r>
        <w:t xml:space="preserve">va </w:t>
      </w:r>
      <w:proofErr w:type="spellStart"/>
      <w:r>
        <w:t>EuroHPC</w:t>
      </w:r>
      <w:proofErr w:type="spellEnd"/>
      <w:r>
        <w:t xml:space="preserve"> pre </w:t>
      </w:r>
      <w:proofErr w:type="spellStart"/>
      <w:r>
        <w:t>startupy</w:t>
      </w:r>
      <w:proofErr w:type="spellEnd"/>
      <w:r>
        <w:t xml:space="preserve"> na posilnenie ved</w:t>
      </w:r>
      <w:r>
        <w:rPr>
          <w:rFonts w:hint="eastAsia"/>
        </w:rPr>
        <w:t>ú</w:t>
      </w:r>
      <w:r>
        <w:t>ceho postavenia Eur</w:t>
      </w:r>
      <w:r>
        <w:rPr>
          <w:rFonts w:hint="eastAsia"/>
        </w:rPr>
        <w:t>ó</w:t>
      </w:r>
      <w:r>
        <w:t>py v oblasti d</w:t>
      </w:r>
      <w:r>
        <w:rPr>
          <w:rFonts w:hint="eastAsia"/>
        </w:rPr>
        <w:t>ô</w:t>
      </w:r>
      <w:r>
        <w:t>veryhodnej umelej i</w:t>
      </w:r>
      <w:bookmarkStart w:id="1" w:name="_GoBack"/>
      <w:bookmarkEnd w:id="1"/>
      <w:r>
        <w:t>nteligencie</w:t>
      </w:r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A9-0161/2024</w:instrText>
      </w:r>
      <w:bookmarkEnd w:id="2"/>
      <w:r>
        <w:rPr>
          <w:i/>
        </w:rPr>
        <w:instrText xml:space="preserve"> - Spravodajkyňa: Maria da Graça Carvalho)"\l3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priemysel, výskum a energetiku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PE759.744</w:t>
      </w:r>
      <w:bookmarkEnd w:id="4"/>
    </w:p>
    <w:p>
      <w:pPr>
        <w:pStyle w:val="ATHeading3"/>
      </w:pPr>
      <w:bookmarkStart w:id="5" w:name="Sujet"/>
      <w:r>
        <w:t xml:space="preserve">Legislatívne uznesenie Európskeho parlamentu z 24. apríla 2024 o návrhu nariadenia Rady, ktorým sa mení nariadenie (EÚ) 2021/1173, pokiaľ ide o iniciatívu </w:t>
      </w:r>
      <w:proofErr w:type="spellStart"/>
      <w:r>
        <w:t>EuroHPC</w:t>
      </w:r>
      <w:proofErr w:type="spellEnd"/>
      <w:r>
        <w:t xml:space="preserve"> pre </w:t>
      </w:r>
      <w:proofErr w:type="spellStart"/>
      <w:r>
        <w:t>startupy</w:t>
      </w:r>
      <w:proofErr w:type="spellEnd"/>
      <w:r>
        <w:t xml:space="preserve"> na posilnenie vedúceho postavenia Európy v oblasti dôveryhodnej umelej inteligencie</w:t>
      </w:r>
      <w:bookmarkEnd w:id="5"/>
      <w:r>
        <w:t xml:space="preserve"> </w:t>
      </w:r>
      <w:bookmarkStart w:id="6" w:name="References"/>
      <w:r>
        <w:t>(COM(2024)0029 – C9-0013/2024 – 2024/0016(CNS))</w:t>
      </w:r>
      <w:bookmarkEnd w:id="6"/>
    </w:p>
    <w:p/>
    <w:p>
      <w:pPr>
        <w:pStyle w:val="NormalBold"/>
      </w:pPr>
      <w:bookmarkStart w:id="7" w:name="TextBodyBegin"/>
      <w:bookmarkEnd w:id="7"/>
      <w:r>
        <w:t>(Mimoriadny legislatívny postup – konzultácia)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Radu (COM(2024)0029),</w:t>
      </w:r>
    </w:p>
    <w:p>
      <w:pPr>
        <w:pStyle w:val="NormalHanging12a"/>
      </w:pPr>
      <w:r>
        <w:t>–</w:t>
      </w:r>
      <w:r>
        <w:tab/>
        <w:t>so zreteľom na článok 187 a článok 188 prvý odsek Zmluvy o fungovaní Európskej únie, v súlade s ktorým Rada konzultovala s Európskym parlamentom (C9</w:t>
      </w:r>
      <w:r>
        <w:noBreakHyphen/>
        <w:t>0013/2024),</w:t>
      </w:r>
    </w:p>
    <w:p>
      <w:pPr>
        <w:pStyle w:val="NormalHanging12a"/>
      </w:pPr>
      <w:r>
        <w:t>–</w:t>
      </w:r>
      <w:r>
        <w:tab/>
        <w:t>so zreteľom na článok 82 rokovacieho poriadku,</w:t>
      </w:r>
    </w:p>
    <w:p>
      <w:pPr>
        <w:pStyle w:val="NormalHanging12a"/>
      </w:pPr>
      <w:r>
        <w:t>–</w:t>
      </w:r>
      <w:r>
        <w:tab/>
        <w:t>so zreteľom na správu Výboru pre priemysel, výskum a energetiku (A9-0161/2024),</w:t>
      </w:r>
    </w:p>
    <w:p>
      <w:pPr>
        <w:pStyle w:val="NormalHanging12a"/>
      </w:pPr>
      <w:r>
        <w:t>1.</w:t>
      </w:r>
      <w:r>
        <w:tab/>
        <w:t>schvaľuje zmenený návrh Komisie;</w:t>
      </w:r>
    </w:p>
    <w:p>
      <w:pPr>
        <w:pStyle w:val="NormalHanging12a"/>
      </w:pPr>
      <w:r>
        <w:t>2.</w:t>
      </w:r>
      <w:r>
        <w:tab/>
        <w:t>vyzýva Komisiu, aby zmenila svoj návrh v súlade s článkom 293 ods. 2 Zmluvy o fungovaní Európskej únie;</w:t>
      </w:r>
    </w:p>
    <w:p>
      <w:pPr>
        <w:pStyle w:val="NormalHanging12a"/>
      </w:pPr>
      <w:r>
        <w:t>3.</w:t>
      </w:r>
      <w:r>
        <w:tab/>
        <w:t>vyzýva Radu, aby oznámila Európskemu parlamentu, ak má v úmysle odchýliť sa od ním schváleného textu;</w:t>
      </w:r>
    </w:p>
    <w:p>
      <w:pPr>
        <w:pStyle w:val="NormalHanging12a"/>
      </w:pPr>
      <w:r>
        <w:t>4.</w:t>
      </w:r>
      <w:r>
        <w:tab/>
        <w:t>žiada Radu o opätovnú konzultáciu, ak má v úmysle podstatne zmeniť návrh Komisie;</w:t>
      </w:r>
    </w:p>
    <w:p>
      <w:pPr>
        <w:pStyle w:val="NormalHanging12a"/>
      </w:pPr>
      <w:r>
        <w:t>5.</w:t>
      </w:r>
      <w:r>
        <w:tab/>
        <w:t>poveruje svoju predsedníčku, aby postúpila túto pozíciu Rade, Komisii a národným parlamentom.</w:t>
      </w:r>
      <w:r>
        <w:br w:type="page"/>
      </w:r>
    </w:p>
    <w:p>
      <w:pPr>
        <w:pStyle w:val="AmNumberTabs"/>
        <w:keepNext/>
      </w:pPr>
      <w:r>
        <w:lastRenderedPageBreak/>
        <w:t>Pozmeňujúci návrh</w:t>
      </w:r>
      <w:r>
        <w:tab/>
      </w:r>
      <w:r>
        <w:tab/>
        <w:t>1</w:t>
      </w:r>
    </w:p>
    <w:p>
      <w:pPr>
        <w:pStyle w:val="AmHeadingConsam"/>
      </w:pPr>
      <w:r>
        <w:t>POZMEŇUJÚCE NÁVRHY EURÓPSKEHO PARLAMENTU</w:t>
      </w:r>
      <w:r>
        <w:rPr>
          <w:rStyle w:val="FootnoteReference"/>
        </w:rPr>
        <w:footnoteReference w:customMarkFollows="1" w:id="1"/>
        <w:t>*</w:t>
      </w:r>
    </w:p>
    <w:p>
      <w:pPr>
        <w:pStyle w:val="NormalCenter12a"/>
      </w:pPr>
      <w:r>
        <w:t>k návrhu Komisie</w:t>
      </w:r>
    </w:p>
    <w:p>
      <w:pPr>
        <w:pStyle w:val="NormalCenter12a"/>
      </w:pPr>
      <w:r>
        <w:t>---------------------------------------------------------</w:t>
      </w:r>
    </w:p>
    <w:p>
      <w:pPr>
        <w:pStyle w:val="Rfrenceinterinstitutionnelle"/>
        <w:rPr>
          <w:noProof/>
        </w:rPr>
      </w:pPr>
      <w:r>
        <w:t>2024/0016(CNS)</w:t>
      </w:r>
    </w:p>
    <w:p>
      <w:pPr>
        <w:pStyle w:val="Statut"/>
        <w:rPr>
          <w:noProof/>
        </w:rPr>
      </w:pPr>
      <w:r>
        <w:t>Návrh</w:t>
      </w:r>
    </w:p>
    <w:p>
      <w:pPr>
        <w:pStyle w:val="Typedudocument"/>
        <w:rPr>
          <w:noProof/>
        </w:rPr>
      </w:pPr>
      <w:r>
        <w:t>NARIADENIE RADY,</w:t>
      </w:r>
    </w:p>
    <w:p>
      <w:pPr>
        <w:pStyle w:val="Titreobjet"/>
        <w:rPr>
          <w:noProof/>
        </w:rPr>
      </w:pPr>
      <w:r>
        <w:t xml:space="preserve">ktorým sa mení nariadenie (EÚ) 2021/1173, pokiaľ ide o iniciatívu </w:t>
      </w:r>
      <w:proofErr w:type="spellStart"/>
      <w:r>
        <w:t>EuroHPC</w:t>
      </w:r>
      <w:proofErr w:type="spellEnd"/>
      <w:r>
        <w:t xml:space="preserve"> pre </w:t>
      </w:r>
      <w:proofErr w:type="spellStart"/>
      <w:r>
        <w:t>startupy</w:t>
      </w:r>
      <w:proofErr w:type="spellEnd"/>
      <w:r>
        <w:t xml:space="preserve"> na posilnenie vedúceho postavenia Európy v oblasti dôveryhodnej umelej inteligencie</w:t>
      </w:r>
    </w:p>
    <w:p>
      <w:pPr>
        <w:pStyle w:val="Institutionquiagit"/>
        <w:spacing w:line="360" w:lineRule="auto"/>
        <w:rPr>
          <w:noProof/>
        </w:rPr>
      </w:pPr>
      <w:r>
        <w:t>RADA EURÓPSKEJ ÚNIE,</w:t>
      </w:r>
    </w:p>
    <w:p>
      <w:pPr>
        <w:spacing w:before="120" w:after="120" w:line="360" w:lineRule="auto"/>
        <w:rPr>
          <w:rFonts w:eastAsia="Calibri"/>
          <w:noProof/>
          <w:szCs w:val="22"/>
        </w:rPr>
      </w:pPr>
      <w:r>
        <w:t>so zreteľom na Zmluvu o fungovaní Európskej únie, a najmä na jej článok 187 a článok 188 prvý odsek,</w:t>
      </w:r>
    </w:p>
    <w:p>
      <w:pPr>
        <w:spacing w:before="120" w:after="120" w:line="360" w:lineRule="auto"/>
        <w:rPr>
          <w:rFonts w:eastAsia="Calibri"/>
          <w:noProof/>
          <w:szCs w:val="22"/>
        </w:rPr>
      </w:pPr>
      <w:r>
        <w:t>so zreteľom na návrh Európskej komisie,</w:t>
      </w:r>
    </w:p>
    <w:p>
      <w:pPr>
        <w:spacing w:before="120" w:after="120" w:line="360" w:lineRule="auto"/>
        <w:rPr>
          <w:noProof/>
        </w:rPr>
      </w:pPr>
      <w:r>
        <w:t>so zreteľom na stanovisko Európskeho parlamentu</w:t>
      </w:r>
      <w:r>
        <w:rPr>
          <w:rStyle w:val="FootnoteReference"/>
          <w:noProof/>
        </w:rPr>
        <w:footnoteReference w:id="2"/>
      </w:r>
      <w:r>
        <w:t>,</w:t>
      </w:r>
    </w:p>
    <w:p>
      <w:pPr>
        <w:spacing w:before="120" w:after="120" w:line="360" w:lineRule="auto"/>
        <w:rPr>
          <w:rFonts w:eastAsia="Calibri"/>
          <w:noProof/>
          <w:szCs w:val="22"/>
        </w:rPr>
      </w:pPr>
      <w:r>
        <w:t>so zreteľom na stanovisko Európskeho hospodárskeho a sociálneho výboru</w:t>
      </w:r>
      <w:r>
        <w:rPr>
          <w:rStyle w:val="FootnoteReference"/>
          <w:noProof/>
        </w:rPr>
        <w:footnoteReference w:id="3"/>
      </w:r>
      <w:r>
        <w:t xml:space="preserve">, </w:t>
      </w:r>
    </w:p>
    <w:p>
      <w:pPr>
        <w:spacing w:before="120" w:after="120" w:line="360" w:lineRule="auto"/>
        <w:rPr>
          <w:rFonts w:eastAsia="Calibri"/>
          <w:noProof/>
          <w:szCs w:val="22"/>
        </w:rPr>
      </w:pPr>
      <w:r>
        <w:t>konajúc v súlade s mimoriadnym legislatívnym postupom,</w:t>
      </w:r>
    </w:p>
    <w:p>
      <w:pPr>
        <w:spacing w:before="120" w:after="120" w:line="360" w:lineRule="auto"/>
        <w:rPr>
          <w:rFonts w:eastAsia="Calibri"/>
          <w:noProof/>
          <w:szCs w:val="22"/>
        </w:rPr>
      </w:pPr>
      <w:r>
        <w:t>keďže:</w:t>
      </w:r>
    </w:p>
    <w:p>
      <w:pPr>
        <w:pStyle w:val="ManualConsidrant"/>
        <w:spacing w:line="360" w:lineRule="auto"/>
        <w:rPr>
          <w:noProof/>
        </w:rPr>
      </w:pPr>
      <w:r>
        <w:t>(1)</w:t>
      </w:r>
      <w:r>
        <w:tab/>
      </w:r>
      <w:r>
        <w:rPr>
          <w:rStyle w:val="normaltextrun"/>
        </w:rPr>
        <w:t>Cieľom nariadenia Európskeho parlamentu a Rady (EÚ) 2024/...</w:t>
      </w:r>
      <w:r>
        <w:rPr>
          <w:rStyle w:val="FootnoteReference"/>
          <w:noProof/>
        </w:rPr>
        <w:footnoteReference w:id="4"/>
      </w:r>
      <w:r>
        <w:rPr>
          <w:rStyle w:val="normaltextrun"/>
        </w:rPr>
        <w:t>, ktorým sa stanovujú harmonizované pravidlá v oblasti umelej inteligencie (ďalej len „akt o umelej inteligencii“)</w:t>
      </w:r>
      <w:r>
        <w:t xml:space="preserve">, je zlepšiť fungovanie vnútorného trhu stanovením jednotného právneho </w:t>
      </w:r>
      <w:r>
        <w:lastRenderedPageBreak/>
        <w:t xml:space="preserve">rámca, najmä pre vývoj, uvádzanie na trh a používanie umelej inteligencie v súlade s hodnotami Únie. </w:t>
      </w:r>
    </w:p>
    <w:p>
      <w:pPr>
        <w:pStyle w:val="ManualConsidrant"/>
        <w:spacing w:line="360" w:lineRule="auto"/>
        <w:rPr>
          <w:noProof/>
        </w:rPr>
      </w:pPr>
      <w:r>
        <w:t>(2)</w:t>
      </w:r>
      <w:r>
        <w:tab/>
        <w:t>Od roku 2021, keď bolo prijaté nariadenie Rady (EÚ) 2021/1173</w:t>
      </w:r>
      <w:r>
        <w:rPr>
          <w:rStyle w:val="FootnoteReference"/>
          <w:noProof/>
        </w:rPr>
        <w:footnoteReference w:id="5"/>
      </w:r>
      <w:r>
        <w:t xml:space="preserve">, zaznamenala oblasť umelej inteligencie obrovský technický pokrok a stala sa vysoko strategickou a spornou oblasťou na celom svete. Únia stojí na čele úsilia o podporu </w:t>
      </w:r>
      <w:r>
        <w:rPr>
          <w:b/>
          <w:bCs/>
          <w:i/>
          <w:iCs/>
        </w:rPr>
        <w:t>etickej a</w:t>
      </w:r>
      <w:r>
        <w:t xml:space="preserve"> zodpovednej inovácie v oblasti dôveryhodnej umelej inteligencie a zároveň stanovuje ochranné mantinely a rozvíja účinné riadenie.</w:t>
      </w:r>
    </w:p>
    <w:p>
      <w:pPr>
        <w:pStyle w:val="ManualConsidrant"/>
        <w:spacing w:line="360" w:lineRule="auto"/>
        <w:rPr>
          <w:rStyle w:val="eop"/>
          <w:noProof/>
        </w:rPr>
      </w:pPr>
      <w:r>
        <w:t>(3)</w:t>
      </w:r>
      <w:r>
        <w:tab/>
      </w:r>
      <w:r>
        <w:rPr>
          <w:rStyle w:val="normaltextrun"/>
        </w:rPr>
        <w:t xml:space="preserve">Komisia 13. septembra 2023 v rámci komplexného prístupu k podpore zodpovednej inovácie v oblasti umelej inteligencie oznámila novú strategickú iniciatívu na sprístupnenie kapacity Únie v oblasti vysokovýkonnej výpočtovej techniky inovačným európskym </w:t>
      </w:r>
      <w:proofErr w:type="spellStart"/>
      <w:r>
        <w:rPr>
          <w:rStyle w:val="normaltextrun"/>
        </w:rPr>
        <w:t>startupom</w:t>
      </w:r>
      <w:proofErr w:type="spellEnd"/>
      <w:r>
        <w:rPr>
          <w:rStyle w:val="normaltextrun"/>
        </w:rPr>
        <w:t xml:space="preserve"> pôsobiacim v oblasti dôveryhodnej umelej inteligencie s cieľom trénovať ich modely. Tá dopĺňa prácu na vytváraní ochranných mantinelov pre umelú inteligenciu prostredníctvom nariadenia (EÚ) 2024/..., vytváraní riadiacich štruktúr a podpore inovácií prostredníctvom koordinovaného plánu v oblasti umelej inteligencie. </w:t>
      </w:r>
      <w:r>
        <w:rPr>
          <w:rStyle w:val="eop"/>
        </w:rPr>
        <w:t> </w:t>
      </w:r>
    </w:p>
    <w:p>
      <w:pPr>
        <w:spacing w:before="120" w:after="120" w:line="360" w:lineRule="auto"/>
        <w:ind w:left="709" w:hanging="709"/>
        <w:jc w:val="both"/>
      </w:pPr>
      <w:r>
        <w:rPr>
          <w:b/>
          <w:i/>
        </w:rPr>
        <w:t>(3a)</w:t>
      </w:r>
      <w:r>
        <w:rPr>
          <w:b/>
          <w:i/>
        </w:rPr>
        <w:tab/>
      </w:r>
      <w:r>
        <w:rPr>
          <w:b/>
          <w:bCs/>
          <w:i/>
          <w:iCs/>
        </w:rPr>
        <w:t xml:space="preserve">S cieľom využiť svoju </w:t>
      </w:r>
      <w:proofErr w:type="spellStart"/>
      <w:r>
        <w:rPr>
          <w:b/>
          <w:bCs/>
          <w:i/>
          <w:iCs/>
        </w:rPr>
        <w:t>superpočítačovú</w:t>
      </w:r>
      <w:proofErr w:type="spellEnd"/>
      <w:r>
        <w:rPr>
          <w:b/>
          <w:bCs/>
          <w:i/>
          <w:iCs/>
        </w:rPr>
        <w:t xml:space="preserve"> infraštruktúru a podporiť inovačný európsky ekosystém umelej inteligencie, a to aj prostredníctvom zriadenia tovární umelej inteligencie v celej Únii, sa v oznámení Komisie z 24. januára 2024 o podpore </w:t>
      </w:r>
      <w:proofErr w:type="spellStart"/>
      <w:r>
        <w:rPr>
          <w:b/>
          <w:bCs/>
          <w:i/>
          <w:iCs/>
        </w:rPr>
        <w:t>startupov</w:t>
      </w:r>
      <w:proofErr w:type="spellEnd"/>
      <w:r>
        <w:rPr>
          <w:b/>
          <w:bCs/>
          <w:i/>
          <w:iCs/>
        </w:rPr>
        <w:t xml:space="preserve"> a inovácií v oblasti dôveryhodnej umelej inteligencie stanovuje strategický investičný rámec, ktorý </w:t>
      </w:r>
      <w:proofErr w:type="spellStart"/>
      <w:r>
        <w:rPr>
          <w:b/>
          <w:bCs/>
          <w:i/>
          <w:iCs/>
        </w:rPr>
        <w:t>startupom</w:t>
      </w:r>
      <w:proofErr w:type="spellEnd"/>
      <w:r>
        <w:rPr>
          <w:b/>
          <w:bCs/>
          <w:i/>
          <w:iCs/>
        </w:rPr>
        <w:t xml:space="preserve"> a priemyslu v Únii umožní využiť ich potenciál stať sa svetovým priekopníkmi v oblasti dôveryhodných vyspelých modelov, systémov a aplikácií umelej inteligencie.</w:t>
      </w:r>
    </w:p>
    <w:p>
      <w:pPr>
        <w:pStyle w:val="ManualConsidrant"/>
        <w:spacing w:line="360" w:lineRule="auto"/>
      </w:pPr>
      <w:r>
        <w:t>(4)</w:t>
      </w:r>
      <w:r>
        <w:tab/>
        <w:t xml:space="preserve">Vzhľadom na to, že najvýkonnejšia </w:t>
      </w:r>
      <w:proofErr w:type="spellStart"/>
      <w:r>
        <w:t>superpočítačová</w:t>
      </w:r>
      <w:proofErr w:type="spellEnd"/>
      <w:r>
        <w:t xml:space="preserve"> kapacita Únie svetovej úrovne sa nachádza v zariadeniach spoločného podniku pre európsku vysokovýkonnú výpočtovú techniku (ďalej len „spoločný podnik“), mali by sa sprístupniť práve tieto zariadenia, aby sa uvedená iniciatíva Komisie stala skutočnosťou. Preto je potrebné zaviesť k existujúcim šiestim cieľom spoločného podniku ďalší cieľ, ktorý by sa týkal príspevku jeho </w:t>
      </w:r>
      <w:proofErr w:type="spellStart"/>
      <w:r>
        <w:t>superpočítačov</w:t>
      </w:r>
      <w:proofErr w:type="spellEnd"/>
      <w:r>
        <w:t xml:space="preserve"> k novej iniciatíve Únie v oblasti umelej inteligencie, </w:t>
      </w:r>
      <w:r>
        <w:rPr>
          <w:b/>
          <w:bCs/>
          <w:i/>
          <w:iCs/>
        </w:rPr>
        <w:t>zabezpečil by spravodlivosť, transparentnosť, dôveryhodnosť a pozitívny spoločenský vplyv a reagoval by na potreby a ciele Únie.</w:t>
      </w:r>
    </w:p>
    <w:p>
      <w:pPr>
        <w:pStyle w:val="ManualConsidrant"/>
        <w:spacing w:line="360" w:lineRule="auto"/>
        <w:rPr>
          <w:noProof/>
        </w:rPr>
      </w:pPr>
      <w:r>
        <w:lastRenderedPageBreak/>
        <w:t>(5)</w:t>
      </w:r>
      <w:r>
        <w:tab/>
        <w:t xml:space="preserve">Nový cieľ by spoločnému podniku umožnil vykonávať činnosti v oblastiach </w:t>
      </w:r>
      <w:r>
        <w:rPr>
          <w:b/>
          <w:bCs/>
          <w:i/>
          <w:iCs/>
        </w:rPr>
        <w:t>modernizácie alebo</w:t>
      </w:r>
      <w:r>
        <w:t xml:space="preserve"> nadobúdania a prevádzkovania </w:t>
      </w:r>
      <w:proofErr w:type="spellStart"/>
      <w:r>
        <w:t>superpočítačov</w:t>
      </w:r>
      <w:proofErr w:type="spellEnd"/>
      <w:r>
        <w:t xml:space="preserve"> alebo častí </w:t>
      </w:r>
      <w:proofErr w:type="spellStart"/>
      <w:r>
        <w:t>superpočítačov</w:t>
      </w:r>
      <w:proofErr w:type="spellEnd"/>
      <w:r>
        <w:t xml:space="preserve"> špecializovaných na umelú inteligenciu, ktoré by umožnili rýchle strojové učenie a trénovanie</w:t>
      </w:r>
      <w:r>
        <w:rPr>
          <w:b/>
          <w:bCs/>
          <w:i/>
          <w:iCs/>
        </w:rPr>
        <w:t xml:space="preserve"> dôveryhodných a etických</w:t>
      </w:r>
      <w:r>
        <w:t xml:space="preserve"> veľkých základných modelov umelej inteligencie, </w:t>
      </w:r>
      <w:r>
        <w:rPr>
          <w:b/>
          <w:bCs/>
          <w:i/>
          <w:iCs/>
        </w:rPr>
        <w:t>čím by sa posilnila konkurencieschopnosť a priemyselná základňa EÚ v oblasti umelej inteligencie.</w:t>
      </w:r>
      <w:r>
        <w:t xml:space="preserve"> Spoločný podnik by mal mať takisto možnosť vytvoriť nový režim prístupu k svojim výpočtovým zdrojom </w:t>
      </w:r>
      <w:r>
        <w:rPr>
          <w:b/>
          <w:bCs/>
          <w:i/>
          <w:iCs/>
        </w:rPr>
        <w:t>najmä</w:t>
      </w:r>
      <w:r>
        <w:t xml:space="preserve"> pre </w:t>
      </w:r>
      <w:proofErr w:type="spellStart"/>
      <w:r>
        <w:t>startupy</w:t>
      </w:r>
      <w:proofErr w:type="spellEnd"/>
      <w:r>
        <w:t xml:space="preserve"> umelej inteligencie a širšiu vedeckú komunitu pôsobiacu v oblasti umelej inteligencie a vyvíjať špecializované </w:t>
      </w:r>
      <w:r>
        <w:rPr>
          <w:b/>
          <w:bCs/>
          <w:i/>
          <w:iCs/>
        </w:rPr>
        <w:t>modely aplikácií a systémy</w:t>
      </w:r>
      <w:r>
        <w:t xml:space="preserve"> umelej inteligencie optimalizované tak, aby fungovali na jeho </w:t>
      </w:r>
      <w:proofErr w:type="spellStart"/>
      <w:r>
        <w:t>superpočítačoch</w:t>
      </w:r>
      <w:proofErr w:type="spellEnd"/>
      <w:r>
        <w:t xml:space="preserve"> </w:t>
      </w:r>
      <w:r>
        <w:rPr>
          <w:b/>
          <w:bCs/>
          <w:i/>
          <w:iCs/>
        </w:rPr>
        <w:t>pri zachovaní otvoreného prístupu, spravodlivosti a transparentnosti.</w:t>
      </w:r>
      <w:r>
        <w:t xml:space="preserve"> Tieto zmeny by umožnili spoločnému podniku ponúkať prispôsobenú výpočtovú kapacitu a služby na podporu rozsiahleho trénovania, vývoja a zavádzania umelej inteligencie v Únii, čo na základe súčasného nariadenia nie je možné. </w:t>
      </w:r>
    </w:p>
    <w:p>
      <w:pPr>
        <w:spacing w:line="360" w:lineRule="auto"/>
        <w:ind w:left="709" w:hanging="709"/>
        <w:jc w:val="both"/>
        <w:rPr>
          <w:b/>
        </w:rPr>
      </w:pPr>
      <w:r>
        <w:rPr>
          <w:b/>
          <w:i/>
        </w:rPr>
        <w:t>(5a)</w:t>
      </w:r>
      <w:r>
        <w:rPr>
          <w:b/>
        </w:rPr>
        <w:tab/>
      </w:r>
      <w:r>
        <w:rPr>
          <w:b/>
          <w:i/>
        </w:rPr>
        <w:t xml:space="preserve">Spoločný podnik by mal zriadiť jednotné kontaktné miesto na základe zásad otvoreného prístupu tak, aby rôzne typy používateľov mohli v plnej miere využiť potenciál umelej inteligencie v oblasti </w:t>
      </w:r>
      <w:proofErr w:type="spellStart"/>
      <w:r>
        <w:rPr>
          <w:b/>
          <w:i/>
        </w:rPr>
        <w:t>superpočítačov</w:t>
      </w:r>
      <w:proofErr w:type="spellEnd"/>
      <w:r>
        <w:rPr>
          <w:b/>
          <w:i/>
        </w:rPr>
        <w:t xml:space="preserve">. O možnostiach, ktoré poskytujú továrne umelej inteligencie, by sa mali vo veľkej miere informovať </w:t>
      </w:r>
      <w:proofErr w:type="spellStart"/>
      <w:r>
        <w:rPr>
          <w:b/>
          <w:i/>
        </w:rPr>
        <w:t>startupy</w:t>
      </w:r>
      <w:proofErr w:type="spellEnd"/>
      <w:r>
        <w:rPr>
          <w:b/>
          <w:i/>
        </w:rPr>
        <w:t xml:space="preserve">, </w:t>
      </w:r>
      <w:r>
        <w:rPr>
          <w:b/>
          <w:i/>
          <w:snapToGrid w:val="0"/>
        </w:rPr>
        <w:t>malé a stredné podniky</w:t>
      </w:r>
      <w:r>
        <w:rPr>
          <w:b/>
          <w:i/>
        </w:rPr>
        <w:t xml:space="preserve"> (MSP), inovačný ekosystém a výskumní pracovníci zapojení do programov Únie, pričom by sa mali zdôrazniť mnohé výhody, ktoré môže umelá inteligencia ponúknuť v </w:t>
      </w:r>
      <w:proofErr w:type="spellStart"/>
      <w:r>
        <w:rPr>
          <w:b/>
          <w:i/>
        </w:rPr>
        <w:t>superpočítačových</w:t>
      </w:r>
      <w:proofErr w:type="spellEnd"/>
      <w:r>
        <w:rPr>
          <w:b/>
          <w:i/>
        </w:rPr>
        <w:t xml:space="preserve"> aplikáciách. Okrem toho by spolupráca tovární umelej inteligencie na úrovni Únie mala sprístupniť výpočtovú kapacitu ako službu v celej Únii, čo je nevyhnutné pre ponúkané podporné služby, čím sa ešte viac uľahčí prístup k tejto kritickej infraštruktúre. To by malo slúžiť aj na rozvoj </w:t>
      </w:r>
      <w:proofErr w:type="spellStart"/>
      <w:r>
        <w:rPr>
          <w:b/>
          <w:i/>
        </w:rPr>
        <w:t>superpočítačov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EuroHPC</w:t>
      </w:r>
      <w:proofErr w:type="spellEnd"/>
      <w:r>
        <w:rPr>
          <w:b/>
          <w:i/>
        </w:rPr>
        <w:t xml:space="preserve"> orientovaných na dopyt, čím sa zabezpečí, že infraštruktúra bude spĺňať vyvíjajúce sa potreby používateľov a odvetví v celej Únii.</w:t>
      </w:r>
    </w:p>
    <w:p>
      <w:pPr>
        <w:spacing w:before="240" w:line="360" w:lineRule="auto"/>
        <w:ind w:left="709" w:hanging="709"/>
        <w:jc w:val="both"/>
        <w:rPr>
          <w:szCs w:val="24"/>
        </w:rPr>
      </w:pPr>
      <w:r>
        <w:rPr>
          <w:b/>
          <w:i/>
        </w:rPr>
        <w:t xml:space="preserve">(5b) </w:t>
      </w:r>
      <w:r>
        <w:rPr>
          <w:b/>
          <w:i/>
        </w:rPr>
        <w:tab/>
        <w:t xml:space="preserve">V uznesení Európskeho parlamentu zo 14. decembra 2023 o posilňovaní inovácií a priemyselnej a technologickej konkurencieschopnosti prostredníctvom priaznivého prostredia pre </w:t>
      </w:r>
      <w:proofErr w:type="spellStart"/>
      <w:r>
        <w:rPr>
          <w:b/>
          <w:i/>
        </w:rPr>
        <w:t>startupy</w:t>
      </w:r>
      <w:proofErr w:type="spellEnd"/>
      <w:r>
        <w:rPr>
          <w:b/>
          <w:i/>
        </w:rPr>
        <w:t xml:space="preserve"> a </w:t>
      </w:r>
      <w:proofErr w:type="spellStart"/>
      <w:r>
        <w:rPr>
          <w:b/>
          <w:i/>
        </w:rPr>
        <w:t>scaleupy</w:t>
      </w:r>
      <w:proofErr w:type="spellEnd"/>
      <w:r>
        <w:rPr>
          <w:rStyle w:val="FootnoteReference"/>
          <w:b/>
          <w:i/>
        </w:rPr>
        <w:footnoteReference w:id="6"/>
      </w:r>
      <w:r>
        <w:rPr>
          <w:b/>
          <w:i/>
        </w:rPr>
        <w:t xml:space="preserve"> sa zdôrazňuje, že </w:t>
      </w:r>
      <w:proofErr w:type="spellStart"/>
      <w:r>
        <w:rPr>
          <w:b/>
          <w:i/>
          <w:snapToGrid w:val="0"/>
        </w:rPr>
        <w:t>scaleupy</w:t>
      </w:r>
      <w:proofErr w:type="spellEnd"/>
      <w:r>
        <w:rPr>
          <w:b/>
          <w:i/>
          <w:snapToGrid w:val="0"/>
        </w:rPr>
        <w:t xml:space="preserve"> zohrávajú kľúčovú úlohu pri podpore inovácií, tvorby pracovných miest a hospodárskeho rastu v Únii, a vyzýva Komisiu a členské štáty, aby prijali riadne vymedzenie </w:t>
      </w:r>
      <w:proofErr w:type="spellStart"/>
      <w:r>
        <w:rPr>
          <w:b/>
          <w:i/>
          <w:snapToGrid w:val="0"/>
        </w:rPr>
        <w:t>scaleupov</w:t>
      </w:r>
      <w:proofErr w:type="spellEnd"/>
      <w:r>
        <w:rPr>
          <w:b/>
          <w:i/>
          <w:snapToGrid w:val="0"/>
        </w:rPr>
        <w:t xml:space="preserve"> na základe </w:t>
      </w:r>
      <w:r>
        <w:rPr>
          <w:b/>
          <w:i/>
          <w:snapToGrid w:val="0"/>
        </w:rPr>
        <w:lastRenderedPageBreak/>
        <w:t xml:space="preserve">rozšíriteľnosti, a s prihliadnutím na rozdiely medzi </w:t>
      </w:r>
      <w:proofErr w:type="spellStart"/>
      <w:r>
        <w:rPr>
          <w:b/>
          <w:i/>
          <w:snapToGrid w:val="0"/>
        </w:rPr>
        <w:t>startupmi</w:t>
      </w:r>
      <w:proofErr w:type="spellEnd"/>
      <w:r>
        <w:rPr>
          <w:b/>
          <w:i/>
          <w:snapToGrid w:val="0"/>
        </w:rPr>
        <w:t xml:space="preserve"> a MSP</w:t>
      </w:r>
      <w:r>
        <w:rPr>
          <w:b/>
          <w:i/>
        </w:rPr>
        <w:t>.</w:t>
      </w:r>
      <w:r>
        <w:rPr>
          <w:b/>
          <w:i/>
          <w:snapToGrid w:val="0"/>
        </w:rPr>
        <w:t xml:space="preserve"> Správna rada spoločného podniku by mala vymedziť podmienky</w:t>
      </w:r>
      <w:r>
        <w:rPr>
          <w:b/>
          <w:i/>
        </w:rPr>
        <w:t xml:space="preserve"> prístupu k takýmto </w:t>
      </w:r>
      <w:proofErr w:type="spellStart"/>
      <w:r>
        <w:rPr>
          <w:b/>
          <w:i/>
        </w:rPr>
        <w:t>superpočítačom</w:t>
      </w:r>
      <w:proofErr w:type="spellEnd"/>
      <w:r>
        <w:rPr>
          <w:b/>
          <w:i/>
        </w:rPr>
        <w:t xml:space="preserve"> zameraným na umelú inteligenciu a príslušným podporným službám pre rôzne kategórie používateľov, ako sú </w:t>
      </w:r>
      <w:proofErr w:type="spellStart"/>
      <w:r>
        <w:rPr>
          <w:b/>
          <w:i/>
        </w:rPr>
        <w:t>startupy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scaleupy</w:t>
      </w:r>
      <w:proofErr w:type="spellEnd"/>
      <w:r>
        <w:rPr>
          <w:b/>
          <w:i/>
        </w:rPr>
        <w:t>, MSP, inštitúcie vysokoškolského vzdelávania a výskumné centrá, s cieľom prekonať obmedzenia nákladov a nedostatok odborných znalostí v oblasti zdrojov.</w:t>
      </w:r>
    </w:p>
    <w:p>
      <w:pPr>
        <w:spacing w:before="240" w:line="360" w:lineRule="auto"/>
        <w:ind w:left="709" w:hanging="709"/>
        <w:jc w:val="both"/>
        <w:rPr>
          <w:szCs w:val="24"/>
        </w:rPr>
      </w:pPr>
      <w:r>
        <w:rPr>
          <w:b/>
          <w:i/>
        </w:rPr>
        <w:t>(5c)</w:t>
      </w:r>
      <w:r>
        <w:rPr>
          <w:b/>
          <w:i/>
        </w:rPr>
        <w:tab/>
        <w:t xml:space="preserve">Keďže používanie </w:t>
      </w:r>
      <w:proofErr w:type="spellStart"/>
      <w:r>
        <w:rPr>
          <w:b/>
          <w:i/>
        </w:rPr>
        <w:t>superpočítačov</w:t>
      </w:r>
      <w:proofErr w:type="spellEnd"/>
      <w:r>
        <w:rPr>
          <w:b/>
          <w:i/>
        </w:rPr>
        <w:t xml:space="preserve"> pre umelú inteligenciu si vyžaduje väčšie využívanie údajov, je dôležité, aby boli umiestnené v blízkosti, alebo aby boli k existujúcemu alebo plánovanému dátovému centru pripojené prostredníctvom vysokorýchlostných sietí. Okrem toho by takéto dátové centrá mali v plnej miere spĺňať požiadavky stanovené v článku 12 smernice Európskeho parlamentu a Rady (EÚ) 2023/1791</w:t>
      </w:r>
      <w:r>
        <w:rPr>
          <w:rStyle w:val="FootnoteReference"/>
          <w:b/>
          <w:bCs/>
          <w:i/>
          <w:iCs/>
        </w:rPr>
        <w:footnoteReference w:id="7"/>
      </w:r>
      <w:r>
        <w:rPr>
          <w:b/>
          <w:i/>
        </w:rPr>
        <w:t xml:space="preserve"> a v budúcnosti by mali byť prepojené so spoločnými európskymi dátovými priestormi, aby sa uľahčilo školenie modelov v kľúčových odvetvových oblastiach. Hostiteľské subjekty by mali mať možnosť účinne využívať finančnú podporu zo spoločných európskych dátových priestorov na zlepšenie svojej infraštruktúry, a to aj na získanie alebo modernizáciu dátových centier. </w:t>
      </w:r>
      <w:r>
        <w:rPr>
          <w:b/>
          <w:bCs/>
          <w:i/>
        </w:rPr>
        <w:t>Mali by sa podporovať synergie medzi rôznymi iniciatívami.</w:t>
      </w:r>
      <w:r>
        <w:t xml:space="preserve"> </w:t>
      </w:r>
    </w:p>
    <w:p>
      <w:pPr>
        <w:spacing w:before="240" w:line="360" w:lineRule="auto"/>
        <w:ind w:left="709" w:hanging="709"/>
        <w:jc w:val="both"/>
        <w:rPr>
          <w:b/>
          <w:bCs/>
          <w:i/>
          <w:iCs/>
        </w:rPr>
      </w:pPr>
      <w:r>
        <w:rPr>
          <w:b/>
          <w:i/>
        </w:rPr>
        <w:t>(5d)</w:t>
      </w:r>
      <w:r>
        <w:rPr>
          <w:b/>
          <w:i/>
        </w:rPr>
        <w:tab/>
        <w:t xml:space="preserve">Keďže používanie </w:t>
      </w:r>
      <w:proofErr w:type="spellStart"/>
      <w:r>
        <w:rPr>
          <w:b/>
          <w:i/>
        </w:rPr>
        <w:t>superpočítačov</w:t>
      </w:r>
      <w:proofErr w:type="spellEnd"/>
      <w:r>
        <w:rPr>
          <w:b/>
          <w:i/>
        </w:rPr>
        <w:t xml:space="preserve"> na umelú inteligenciu si vyžaduje výrazné zvýšenie výpočtovej kapacity, čo následne vedie k vyššej spotrebe energie, hostiteľské subjekty by mali mať plány týkajúce sa ich energetickej efektívnosti a environmentálnej udržateľnosti. Tieto plány by mali zabezpečiť, aby mal </w:t>
      </w:r>
      <w:proofErr w:type="spellStart"/>
      <w:r>
        <w:rPr>
          <w:b/>
          <w:i/>
        </w:rPr>
        <w:t>superpočítač</w:t>
      </w:r>
      <w:proofErr w:type="spellEnd"/>
      <w:r>
        <w:rPr>
          <w:b/>
          <w:i/>
        </w:rPr>
        <w:t xml:space="preserve"> bezpečné a stabilné pripojenie k sieti a dodávky elektrickej energie, pokiaľ možno na základe čistej a cenovo dostupnej energie vrátane využívania zmlúv o nákupe elektriny, ktoré môžu byť založené aj na obnoviteľnej energii, a využívania elektriny, ktorá sa vyrába na mieste. Okrem toho by modely umelej inteligencie mali spĺňať požiadavky na spotrebu energie stanovené v nariadení (EÚ) 2024/... [akt o umelej inteligencii]. Musia sa dodržiavať oznamovacie povinnosti týkajúce sa modelov umelej inteligencie na všeobecné účely stanovené v uvedenom nariadení.</w:t>
      </w:r>
    </w:p>
    <w:p>
      <w:pPr>
        <w:spacing w:before="240" w:line="360" w:lineRule="auto"/>
        <w:ind w:left="709" w:hanging="709"/>
        <w:jc w:val="both"/>
        <w:rPr>
          <w:b/>
        </w:rPr>
      </w:pPr>
      <w:r>
        <w:rPr>
          <w:b/>
          <w:i/>
        </w:rPr>
        <w:t>(5e)</w:t>
      </w:r>
      <w:r>
        <w:rPr>
          <w:b/>
          <w:i/>
        </w:rPr>
        <w:tab/>
        <w:t xml:space="preserve">Továrne umelej inteligencie budú poskytovať komplexné služby podpory v oblasti </w:t>
      </w:r>
      <w:proofErr w:type="spellStart"/>
      <w:r>
        <w:rPr>
          <w:b/>
          <w:i/>
        </w:rPr>
        <w:lastRenderedPageBreak/>
        <w:t>superpočítačov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startupom</w:t>
      </w:r>
      <w:proofErr w:type="spellEnd"/>
      <w:r>
        <w:rPr>
          <w:b/>
          <w:i/>
        </w:rPr>
        <w:t xml:space="preserve"> v oblasti umelej inteligencie, malým inovačným spoločnostiam a širšiemu výskumnému a inovačnému ekosystému. Tieto služby majú zásadný význam pre uľahčenie prístupu k </w:t>
      </w:r>
      <w:proofErr w:type="spellStart"/>
      <w:r>
        <w:rPr>
          <w:b/>
          <w:i/>
        </w:rPr>
        <w:t>superpočítačom</w:t>
      </w:r>
      <w:proofErr w:type="spellEnd"/>
      <w:r>
        <w:rPr>
          <w:b/>
          <w:i/>
        </w:rPr>
        <w:t xml:space="preserve"> a ponúkajú špecializované programovacie zariadenia a algoritmickú podporu na vývoj, testovanie, hodnotenie a overovanie modelov a systémov na trénovanie umelej inteligencie. Okrem toho pomáhajú pri vytváraní nových prípadov použitia a vznikajúcich aplikácií v strategických oblastiach Únie vrátane robotiky a výroby, nových materiálov a batérií, letectva, mobility, prepojeného a automatizovaného riadenia, zdravia a starostlivosti, biotechnológií, energetiky, zmeny klímy a adaptácie, dynamiky komplexných systémov, virtuálnych svetov a digitálnych dvojčiat, kybernetickej bezpečnosti,  poľnohospodárskych postupov, výskumu a inovácií a verejného sektora.</w:t>
      </w:r>
    </w:p>
    <w:p>
      <w:pPr>
        <w:pStyle w:val="ManualConsidrant"/>
        <w:spacing w:line="360" w:lineRule="auto"/>
        <w:rPr>
          <w:noProof/>
        </w:rPr>
      </w:pPr>
      <w:r>
        <w:t>(6)</w:t>
      </w:r>
      <w:r>
        <w:tab/>
        <w:t xml:space="preserve">S cieľom zosúladiť dátum začatia uplatňovania tohto nariadenia s dátumom začatia uplatňovania ustanovení </w:t>
      </w:r>
      <w:r>
        <w:rPr>
          <w:rStyle w:val="normaltextrun"/>
        </w:rPr>
        <w:t>nariadenia Európskeho parlamentu a Rady (EÚ) 2024/..., ktorým sa stanovujú harmonizované pravidlá v oblasti umelej inteligencie</w:t>
      </w:r>
      <w:r>
        <w:t>, by sa toto nariadenie malo uplatňovať bez zbytočného odkladu.</w:t>
      </w:r>
    </w:p>
    <w:p>
      <w:pPr>
        <w:pStyle w:val="ManualConsidrant"/>
        <w:spacing w:line="360" w:lineRule="auto"/>
        <w:rPr>
          <w:noProof/>
        </w:rPr>
      </w:pPr>
      <w:r>
        <w:t>(7)</w:t>
      </w:r>
      <w:r>
        <w:tab/>
        <w:t>Nariadenie (EÚ) 2021/1173 by sa preto malo zodpovedajúcim spôsobom zmeniť,</w:t>
      </w:r>
    </w:p>
    <w:p>
      <w:pPr>
        <w:pStyle w:val="Formuledadoption"/>
        <w:spacing w:line="360" w:lineRule="auto"/>
        <w:rPr>
          <w:noProof/>
        </w:rPr>
      </w:pPr>
      <w:r>
        <w:t>PRIJALA TOTO NARIADENIE:</w:t>
      </w:r>
    </w:p>
    <w:p>
      <w:pPr>
        <w:pStyle w:val="Titrearticle"/>
        <w:spacing w:line="360" w:lineRule="auto"/>
        <w:rPr>
          <w:noProof/>
        </w:rPr>
      </w:pPr>
      <w:r>
        <w:t>Článok 1</w:t>
      </w:r>
    </w:p>
    <w:p>
      <w:pPr>
        <w:spacing w:line="360" w:lineRule="auto"/>
        <w:rPr>
          <w:noProof/>
        </w:rPr>
      </w:pPr>
      <w:r>
        <w:t xml:space="preserve">Nariadenie (EÚ) 2021/1173 sa mení takto: </w:t>
      </w:r>
    </w:p>
    <w:p>
      <w:pPr>
        <w:pStyle w:val="ListParagraph"/>
        <w:spacing w:line="360" w:lineRule="auto"/>
        <w:ind w:left="1080"/>
        <w:rPr>
          <w:noProof/>
        </w:rPr>
      </w:pPr>
    </w:p>
    <w:p>
      <w:pPr>
        <w:pStyle w:val="Point0"/>
        <w:spacing w:line="360" w:lineRule="auto"/>
        <w:rPr>
          <w:noProof/>
        </w:rPr>
      </w:pPr>
      <w:r>
        <w:t>1.</w:t>
      </w:r>
      <w:r>
        <w:tab/>
        <w:t>Článok 2 sa mení takto:</w:t>
      </w:r>
    </w:p>
    <w:p>
      <w:pPr>
        <w:pStyle w:val="Point0"/>
        <w:spacing w:line="360" w:lineRule="auto"/>
        <w:ind w:left="1700"/>
        <w:rPr>
          <w:noProof/>
        </w:rPr>
      </w:pPr>
      <w:r>
        <w:t>a)</w:t>
      </w:r>
      <w:r>
        <w:tab/>
        <w:t>vkladajú sa tieto body 3a a 3b:</w:t>
      </w:r>
    </w:p>
    <w:p>
      <w:pPr>
        <w:pStyle w:val="ListParagraph"/>
        <w:spacing w:line="360" w:lineRule="auto"/>
        <w:ind w:left="2160" w:hanging="590"/>
        <w:rPr>
          <w:noProof/>
        </w:rPr>
      </w:pPr>
      <w:r>
        <w:t xml:space="preserve">„3b. </w:t>
      </w:r>
      <w:r>
        <w:tab/>
        <w:t>„</w:t>
      </w:r>
      <w:proofErr w:type="spellStart"/>
      <w:r>
        <w:t>superpočítač</w:t>
      </w:r>
      <w:proofErr w:type="spellEnd"/>
      <w:r>
        <w:t xml:space="preserve"> špecializovaný na umelú inteligenciu“ je </w:t>
      </w:r>
      <w:proofErr w:type="spellStart"/>
      <w:r>
        <w:t>superpočítač</w:t>
      </w:r>
      <w:proofErr w:type="spellEnd"/>
      <w:r>
        <w:t xml:space="preserve">, ktorý je primárne určený na trénovanie rozsiahlych modelov umelej inteligencie na </w:t>
      </w:r>
      <w:r>
        <w:rPr>
          <w:b/>
          <w:bCs/>
          <w:i/>
          <w:iCs/>
        </w:rPr>
        <w:t>civilné</w:t>
      </w:r>
      <w:r>
        <w:t xml:space="preserve"> všeobecné účely a nových aplikácií umelej inteligencie </w:t>
      </w:r>
      <w:r>
        <w:rPr>
          <w:b/>
          <w:bCs/>
          <w:i/>
          <w:iCs/>
        </w:rPr>
        <w:t>a na vývoj technológií a systémov;</w:t>
      </w:r>
    </w:p>
    <w:p>
      <w:pPr>
        <w:pStyle w:val="ListParagraph"/>
        <w:spacing w:line="360" w:lineRule="auto"/>
        <w:ind w:left="1570"/>
        <w:rPr>
          <w:noProof/>
        </w:rPr>
      </w:pPr>
    </w:p>
    <w:p>
      <w:pPr>
        <w:pStyle w:val="ListParagraph"/>
        <w:spacing w:line="360" w:lineRule="auto"/>
        <w:ind w:left="2160" w:hanging="590"/>
        <w:rPr>
          <w:noProof/>
        </w:rPr>
      </w:pPr>
      <w:r>
        <w:t xml:space="preserve">3c. </w:t>
      </w:r>
      <w:r>
        <w:tab/>
        <w:t xml:space="preserve">„továreň umelej inteligencie“ je centralizovaný alebo distribuovaný </w:t>
      </w:r>
      <w:r>
        <w:rPr>
          <w:b/>
          <w:bCs/>
          <w:i/>
          <w:iCs/>
        </w:rPr>
        <w:t>otvorený ekosystém</w:t>
      </w:r>
      <w:r>
        <w:t xml:space="preserve"> poskytujúci infraštruktúru </w:t>
      </w:r>
      <w:proofErr w:type="spellStart"/>
      <w:r>
        <w:t>superpočítačových</w:t>
      </w:r>
      <w:proofErr w:type="spellEnd"/>
      <w:r>
        <w:t xml:space="preserve"> služieb v oblasti umelej inteligencie, ktorá pozostáva zo </w:t>
      </w:r>
      <w:proofErr w:type="spellStart"/>
      <w:r>
        <w:t>superpočítača</w:t>
      </w:r>
      <w:proofErr w:type="spellEnd"/>
      <w:r>
        <w:t xml:space="preserve"> </w:t>
      </w:r>
      <w:r>
        <w:lastRenderedPageBreak/>
        <w:t xml:space="preserve">špecializovaného na umelú inteligenciu alebo z časti </w:t>
      </w:r>
      <w:proofErr w:type="spellStart"/>
      <w:r>
        <w:t>superpočítača</w:t>
      </w:r>
      <w:proofErr w:type="spellEnd"/>
      <w:r>
        <w:t xml:space="preserve"> špecializovanej na umelú inteligenciu, </w:t>
      </w:r>
      <w:r>
        <w:rPr>
          <w:b/>
          <w:bCs/>
          <w:i/>
          <w:iCs/>
        </w:rPr>
        <w:t xml:space="preserve">alebo </w:t>
      </w:r>
      <w:proofErr w:type="spellStart"/>
      <w:r>
        <w:rPr>
          <w:b/>
          <w:bCs/>
          <w:i/>
          <w:iCs/>
        </w:rPr>
        <w:t>superpočítača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EuroHPC</w:t>
      </w:r>
      <w:proofErr w:type="spellEnd"/>
      <w:r>
        <w:rPr>
          <w:b/>
          <w:bCs/>
          <w:i/>
          <w:iCs/>
        </w:rPr>
        <w:t xml:space="preserve"> modernizovaného na prácu s umelou inteligenciou</w:t>
      </w:r>
      <w:r>
        <w:t xml:space="preserve"> súvisiaceho dátového centra, špecializovaného prístupu a </w:t>
      </w:r>
      <w:proofErr w:type="spellStart"/>
      <w:r>
        <w:t>superpočítačových</w:t>
      </w:r>
      <w:proofErr w:type="spellEnd"/>
      <w:r>
        <w:t xml:space="preserve"> služieb zameraných na umelú inteligenciu, </w:t>
      </w:r>
      <w:r>
        <w:rPr>
          <w:b/>
          <w:bCs/>
          <w:i/>
          <w:iCs/>
        </w:rPr>
        <w:t>a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>ktorá otvorene</w:t>
      </w:r>
      <w:r>
        <w:t xml:space="preserve"> a aktívne rozvíja, priťahuje, udržiava a združuje talenty s cieľom poskytovať </w:t>
      </w:r>
      <w:r>
        <w:rPr>
          <w:b/>
          <w:bCs/>
          <w:i/>
          <w:iCs/>
        </w:rPr>
        <w:t>požadované schopností, zručností a vedomostí, ktoré pomáhajú a usmerňujú používateľov pri používaní</w:t>
      </w:r>
      <w:r>
        <w:t xml:space="preserve"> </w:t>
      </w:r>
      <w:proofErr w:type="spellStart"/>
      <w:r>
        <w:t>superpočítačov</w:t>
      </w:r>
      <w:proofErr w:type="spellEnd"/>
      <w:r>
        <w:t xml:space="preserve"> na umelú inteligenciu a </w:t>
      </w:r>
      <w:r>
        <w:rPr>
          <w:b/>
          <w:bCs/>
          <w:i/>
          <w:iCs/>
        </w:rPr>
        <w:t>ktorá</w:t>
      </w:r>
      <w:r>
        <w:t xml:space="preserve"> </w:t>
      </w:r>
      <w:r>
        <w:rPr>
          <w:b/>
          <w:bCs/>
          <w:i/>
          <w:iCs/>
        </w:rPr>
        <w:t>poskytuje služby potrebné na ich údržbu;</w:t>
      </w:r>
    </w:p>
    <w:p>
      <w:pPr>
        <w:pStyle w:val="Point0"/>
        <w:spacing w:line="360" w:lineRule="auto"/>
        <w:ind w:left="1700"/>
        <w:rPr>
          <w:noProof/>
        </w:rPr>
      </w:pPr>
      <w:r>
        <w:t>b)</w:t>
      </w:r>
      <w:r>
        <w:tab/>
        <w:t>bod 9 sa nahrádza takto:</w:t>
      </w:r>
    </w:p>
    <w:p>
      <w:pPr>
        <w:pStyle w:val="ListParagraph"/>
        <w:spacing w:line="360" w:lineRule="auto"/>
        <w:ind w:left="2160" w:hanging="590"/>
        <w:rPr>
          <w:noProof/>
        </w:rPr>
      </w:pPr>
      <w:r>
        <w:t xml:space="preserve">„9. </w:t>
      </w:r>
      <w:r>
        <w:tab/>
        <w:t>„</w:t>
      </w:r>
      <w:proofErr w:type="spellStart"/>
      <w:r>
        <w:t>superpočítač</w:t>
      </w:r>
      <w:proofErr w:type="spellEnd"/>
      <w:r>
        <w:t xml:space="preserve"> </w:t>
      </w:r>
      <w:proofErr w:type="spellStart"/>
      <w:r>
        <w:t>EuroHPC</w:t>
      </w:r>
      <w:proofErr w:type="spellEnd"/>
      <w:r>
        <w:t xml:space="preserve">“ je každý výpočtový systém v plnom vlastníctve spoločného podniku alebo v jeho spoluvlastníctve s ďalšími zúčastnenými štátmi alebo konzorciom súkromných partnerov; môže ním byť klasický </w:t>
      </w:r>
      <w:proofErr w:type="spellStart"/>
      <w:r>
        <w:t>superpočítač</w:t>
      </w:r>
      <w:proofErr w:type="spellEnd"/>
      <w:r>
        <w:t xml:space="preserve"> (špičkový </w:t>
      </w:r>
      <w:proofErr w:type="spellStart"/>
      <w:r>
        <w:t>superpočítač</w:t>
      </w:r>
      <w:proofErr w:type="spellEnd"/>
      <w:r>
        <w:t xml:space="preserve">, priemyselný </w:t>
      </w:r>
      <w:proofErr w:type="spellStart"/>
      <w:r>
        <w:t>superpočítač</w:t>
      </w:r>
      <w:proofErr w:type="spellEnd"/>
      <w:r>
        <w:t xml:space="preserve">, </w:t>
      </w:r>
      <w:proofErr w:type="spellStart"/>
      <w:r>
        <w:t>superpočítač</w:t>
      </w:r>
      <w:proofErr w:type="spellEnd"/>
      <w:r>
        <w:t xml:space="preserve"> špecializovaný na umelú inteligenciu alebo </w:t>
      </w:r>
      <w:proofErr w:type="spellStart"/>
      <w:r>
        <w:t>superpočítač</w:t>
      </w:r>
      <w:proofErr w:type="spellEnd"/>
      <w:r>
        <w:t xml:space="preserve"> strednej triedy), hybrid klasického počítača a kvantového počítača, kvantový počítač alebo kvantový simulátor;“</w:t>
      </w:r>
    </w:p>
    <w:p>
      <w:pPr>
        <w:pStyle w:val="ListParagraph"/>
        <w:spacing w:line="360" w:lineRule="auto"/>
        <w:ind w:left="1570"/>
        <w:rPr>
          <w:noProof/>
        </w:rPr>
      </w:pPr>
    </w:p>
    <w:p>
      <w:pPr>
        <w:pStyle w:val="Point0"/>
        <w:spacing w:line="360" w:lineRule="auto"/>
        <w:rPr>
          <w:noProof/>
        </w:rPr>
      </w:pPr>
      <w:r>
        <w:t>2.</w:t>
      </w:r>
      <w:r>
        <w:tab/>
        <w:t>V článku 3 ods. 2 sa dopĺňa toto písmeno h):</w:t>
      </w:r>
    </w:p>
    <w:p>
      <w:pPr>
        <w:pStyle w:val="Point1"/>
        <w:spacing w:before="0" w:line="360" w:lineRule="auto"/>
        <w:rPr>
          <w:noProof/>
        </w:rPr>
      </w:pPr>
      <w:r>
        <w:t xml:space="preserve">„h) </w:t>
      </w:r>
      <w:r>
        <w:tab/>
        <w:t xml:space="preserve">rozvíjať a prevádzkovať továrne umelej inteligencie na podporu ďalšieho rozvoja vysoko konkurencieschopného, </w:t>
      </w:r>
      <w:r>
        <w:rPr>
          <w:b/>
          <w:bCs/>
          <w:i/>
          <w:iCs/>
        </w:rPr>
        <w:t>udržateľného, dôveryhodného a etického</w:t>
      </w:r>
      <w:r>
        <w:t xml:space="preserve"> a inovačného ekosystému umelej inteligencie v Únii;“</w:t>
      </w:r>
    </w:p>
    <w:p>
      <w:pPr>
        <w:pStyle w:val="Point0"/>
        <w:spacing w:line="360" w:lineRule="auto"/>
        <w:rPr>
          <w:noProof/>
        </w:rPr>
      </w:pPr>
      <w:r>
        <w:t>3.</w:t>
      </w:r>
      <w:r>
        <w:tab/>
        <w:t>V článku 4 ods. 1 sa dopĺňa toto písmeno h):</w:t>
      </w:r>
    </w:p>
    <w:p>
      <w:pPr>
        <w:pStyle w:val="Point1"/>
        <w:spacing w:line="360" w:lineRule="auto"/>
        <w:rPr>
          <w:noProof/>
        </w:rPr>
      </w:pPr>
      <w:r>
        <w:t xml:space="preserve">„h) </w:t>
      </w:r>
      <w:r>
        <w:tab/>
        <w:t xml:space="preserve">pilier továrne umelej inteligencie pre dôveryhodnú a etickú umelú inteligenciu, ktorý zahŕňa činnosti na poskytovanie infraštruktúry </w:t>
      </w:r>
      <w:proofErr w:type="spellStart"/>
      <w:r>
        <w:t>superpočítačových</w:t>
      </w:r>
      <w:proofErr w:type="spellEnd"/>
      <w:r>
        <w:t xml:space="preserve"> služieb zameranej na umelú inteligenciu, ktorej cieľom je ďalší rozvoj inovačných spôsobilostí a zručností ekosystému umelej inteligencie; </w:t>
      </w:r>
      <w:r>
        <w:rPr>
          <w:b/>
          <w:bCs/>
          <w:i/>
          <w:iCs/>
        </w:rPr>
        <w:t>predmetom uvedených</w:t>
      </w:r>
      <w:r>
        <w:t xml:space="preserve"> činností </w:t>
      </w:r>
      <w:r>
        <w:rPr>
          <w:b/>
          <w:bCs/>
          <w:i/>
          <w:iCs/>
        </w:rPr>
        <w:t>sú okrem iného:</w:t>
      </w:r>
    </w:p>
    <w:p>
      <w:pPr>
        <w:pStyle w:val="Point2"/>
        <w:spacing w:before="0" w:line="360" w:lineRule="auto"/>
        <w:rPr>
          <w:noProof/>
        </w:rPr>
      </w:pPr>
      <w:r>
        <w:t>i)</w:t>
      </w:r>
      <w:r>
        <w:tab/>
        <w:t xml:space="preserve">nadobudnutie a prevádzka </w:t>
      </w:r>
      <w:proofErr w:type="spellStart"/>
      <w:r>
        <w:t>superpočítačov</w:t>
      </w:r>
      <w:proofErr w:type="spellEnd"/>
      <w:r>
        <w:t xml:space="preserve"> špecializovaných na umelú inteligenciu umiestnených spoločne s ▌dátovými centrami alebo pripojených k dátovým centrám prostredníctvom vysokorýchlostných sietí;</w:t>
      </w:r>
    </w:p>
    <w:p>
      <w:pPr>
        <w:pStyle w:val="Point2"/>
        <w:spacing w:before="0" w:line="360" w:lineRule="auto"/>
        <w:rPr>
          <w:noProof/>
        </w:rPr>
      </w:pPr>
      <w:r>
        <w:lastRenderedPageBreak/>
        <w:t>ii)</w:t>
      </w:r>
      <w:r>
        <w:tab/>
        <w:t xml:space="preserve">modernizácia existujúcich </w:t>
      </w:r>
      <w:proofErr w:type="spellStart"/>
      <w:r>
        <w:t>superpočítačov</w:t>
      </w:r>
      <w:proofErr w:type="spellEnd"/>
      <w:r>
        <w:t xml:space="preserve"> </w:t>
      </w:r>
      <w:proofErr w:type="spellStart"/>
      <w:r>
        <w:t>EuroHPC</w:t>
      </w:r>
      <w:proofErr w:type="spellEnd"/>
      <w:r>
        <w:t xml:space="preserve"> ich vylepšením o technológie umelej inteligencie;</w:t>
      </w:r>
    </w:p>
    <w:p>
      <w:pPr>
        <w:pStyle w:val="Point2"/>
        <w:spacing w:before="0" w:line="360" w:lineRule="auto"/>
        <w:rPr>
          <w:noProof/>
        </w:rPr>
      </w:pPr>
      <w:r>
        <w:t>iii)</w:t>
      </w:r>
      <w:r>
        <w:tab/>
        <w:t xml:space="preserve">poskytovanie prístupu k </w:t>
      </w:r>
      <w:proofErr w:type="spellStart"/>
      <w:r>
        <w:t>superpočítačom</w:t>
      </w:r>
      <w:proofErr w:type="spellEnd"/>
      <w:r>
        <w:t xml:space="preserve"> špecializovaným na umelú inteligenciu alebo </w:t>
      </w:r>
      <w:proofErr w:type="spellStart"/>
      <w:r>
        <w:t>superpočítačom</w:t>
      </w:r>
      <w:proofErr w:type="spellEnd"/>
      <w:r>
        <w:t xml:space="preserve"> </w:t>
      </w:r>
      <w:proofErr w:type="spellStart"/>
      <w:r>
        <w:t>EuroHPC</w:t>
      </w:r>
      <w:proofErr w:type="spellEnd"/>
      <w:r>
        <w:t xml:space="preserve"> vylepšeným o </w:t>
      </w:r>
      <w:r>
        <w:rPr>
          <w:b/>
          <w:bCs/>
          <w:i/>
          <w:iCs/>
        </w:rPr>
        <w:t>technológie</w:t>
      </w:r>
      <w:r>
        <w:t xml:space="preserve"> umelej inteligencie vrátane rozšírenia ich používania na veľký počet verejných a súkromných používateľov vrátane </w:t>
      </w:r>
      <w:proofErr w:type="spellStart"/>
      <w:r>
        <w:rPr>
          <w:b/>
          <w:bCs/>
          <w:i/>
          <w:iCs/>
        </w:rPr>
        <w:t>startupov</w:t>
      </w:r>
      <w:proofErr w:type="spellEnd"/>
      <w:r>
        <w:rPr>
          <w:b/>
          <w:bCs/>
          <w:i/>
          <w:iCs/>
        </w:rPr>
        <w:t xml:space="preserve">, </w:t>
      </w:r>
      <w:proofErr w:type="spellStart"/>
      <w:r>
        <w:rPr>
          <w:b/>
          <w:bCs/>
          <w:i/>
          <w:iCs/>
        </w:rPr>
        <w:t>scaleupov</w:t>
      </w:r>
      <w:proofErr w:type="spellEnd"/>
      <w:r>
        <w:rPr>
          <w:b/>
          <w:bCs/>
          <w:i/>
          <w:iCs/>
        </w:rPr>
        <w:t>, MSP, inštitúcií vyššieho vzdelávania a širšej vedeckej komunity;</w:t>
      </w:r>
    </w:p>
    <w:p>
      <w:pPr>
        <w:spacing w:after="120" w:line="360" w:lineRule="auto"/>
        <w:ind w:left="1984" w:hanging="567"/>
        <w:rPr>
          <w:rFonts w:eastAsia="Calibri"/>
          <w:noProof/>
          <w:szCs w:val="22"/>
        </w:rPr>
      </w:pPr>
      <w:proofErr w:type="spellStart"/>
      <w:r>
        <w:rPr>
          <w:b/>
          <w:i/>
        </w:rPr>
        <w:t>iiia</w:t>
      </w:r>
      <w:proofErr w:type="spellEnd"/>
      <w:r>
        <w:rPr>
          <w:b/>
          <w:i/>
        </w:rPr>
        <w:t>)</w:t>
      </w:r>
      <w:r>
        <w:tab/>
      </w:r>
      <w:r>
        <w:rPr>
          <w:b/>
          <w:bCs/>
          <w:i/>
          <w:iCs/>
        </w:rPr>
        <w:t xml:space="preserve">rozsiahle šírenie informácií o príležitostiach, ktoré továrne na umelú inteligenciu ponúkajú </w:t>
      </w:r>
      <w:proofErr w:type="spellStart"/>
      <w:r>
        <w:rPr>
          <w:b/>
          <w:bCs/>
          <w:i/>
          <w:iCs/>
        </w:rPr>
        <w:t>startupom</w:t>
      </w:r>
      <w:proofErr w:type="spellEnd"/>
      <w:r>
        <w:rPr>
          <w:b/>
          <w:bCs/>
          <w:i/>
          <w:iCs/>
        </w:rPr>
        <w:t xml:space="preserve">, </w:t>
      </w:r>
      <w:proofErr w:type="spellStart"/>
      <w:r>
        <w:rPr>
          <w:b/>
          <w:bCs/>
          <w:i/>
          <w:iCs/>
        </w:rPr>
        <w:t>scaleupom</w:t>
      </w:r>
      <w:proofErr w:type="spellEnd"/>
      <w:r>
        <w:rPr>
          <w:b/>
          <w:bCs/>
          <w:i/>
          <w:iCs/>
        </w:rPr>
        <w:t xml:space="preserve"> a výskumným a inovačným komunitám;</w:t>
      </w:r>
    </w:p>
    <w:p>
      <w:pPr>
        <w:pStyle w:val="Point2"/>
        <w:spacing w:before="0" w:line="360" w:lineRule="auto"/>
        <w:rPr>
          <w:noProof/>
        </w:rPr>
      </w:pPr>
      <w:r>
        <w:t>iv)</w:t>
      </w:r>
      <w:r>
        <w:tab/>
        <w:t xml:space="preserve">prevádzka centralizovaných alebo distribuovaných centier </w:t>
      </w:r>
      <w:proofErr w:type="spellStart"/>
      <w:r>
        <w:t>superpočítačových</w:t>
      </w:r>
      <w:proofErr w:type="spellEnd"/>
      <w:r>
        <w:t xml:space="preserve"> služieb zameraných na umelú inteligenciu na podporu </w:t>
      </w:r>
      <w:proofErr w:type="spellStart"/>
      <w:r>
        <w:t>startupového</w:t>
      </w:r>
      <w:proofErr w:type="spellEnd"/>
      <w:r>
        <w:t xml:space="preserve">, výskumného a inovačného ekosystému umelej inteligencie, </w:t>
      </w:r>
      <w:r>
        <w:rPr>
          <w:b/>
          <w:bCs/>
          <w:i/>
          <w:iCs/>
        </w:rPr>
        <w:t xml:space="preserve">pomoc a usmerňovanie používateľov, podporu interdisciplinárneho výskumu, </w:t>
      </w:r>
      <w:r>
        <w:t>ktoré poskytujú algoritmickú podporu, podporu ďalšieho vývoja, trénovania, testovania, hodnotenia a validácie tréningových modelov a systémov v oblasti umelej inteligencie a podporu vývoja nových rozsiahlych aplikácií umelej inteligencie v strategických oblastiach ▌;</w:t>
      </w:r>
    </w:p>
    <w:p>
      <w:pPr>
        <w:pStyle w:val="Point2"/>
        <w:spacing w:before="0" w:line="360" w:lineRule="auto"/>
        <w:rPr>
          <w:noProof/>
        </w:rPr>
      </w:pPr>
      <w:r>
        <w:t>v)</w:t>
      </w:r>
      <w:r>
        <w:tab/>
        <w:t xml:space="preserve">prevádzka programovacích zariadení vhodných pre </w:t>
      </w:r>
      <w:proofErr w:type="spellStart"/>
      <w:r>
        <w:t>superpočítače</w:t>
      </w:r>
      <w:proofErr w:type="spellEnd"/>
      <w:r>
        <w:t xml:space="preserve"> vrátane </w:t>
      </w:r>
      <w:proofErr w:type="spellStart"/>
      <w:r>
        <w:t>paralelizácie</w:t>
      </w:r>
      <w:proofErr w:type="spellEnd"/>
      <w:r>
        <w:t xml:space="preserve"> aplikácií umelej inteligencie na optimalizáciu využívania </w:t>
      </w:r>
      <w:proofErr w:type="spellStart"/>
      <w:r>
        <w:t>superpočítačových</w:t>
      </w:r>
      <w:proofErr w:type="spellEnd"/>
      <w:r>
        <w:t xml:space="preserve"> spôsobilostí </w:t>
      </w:r>
      <w:r>
        <w:rPr>
          <w:b/>
          <w:bCs/>
          <w:i/>
          <w:iCs/>
        </w:rPr>
        <w:t xml:space="preserve">a prevádzka ďalších </w:t>
      </w:r>
      <w:proofErr w:type="spellStart"/>
      <w:r>
        <w:rPr>
          <w:b/>
          <w:bCs/>
          <w:i/>
          <w:iCs/>
        </w:rPr>
        <w:t>superpočítačových</w:t>
      </w:r>
      <w:proofErr w:type="spellEnd"/>
      <w:r>
        <w:rPr>
          <w:b/>
          <w:bCs/>
          <w:i/>
          <w:iCs/>
        </w:rPr>
        <w:t xml:space="preserve"> služieb použiteľných pre umelú inteligenciu</w:t>
      </w:r>
      <w:r>
        <w:t>;</w:t>
      </w:r>
    </w:p>
    <w:p>
      <w:pPr>
        <w:pStyle w:val="Point2"/>
        <w:spacing w:before="0" w:line="360" w:lineRule="auto"/>
        <w:rPr>
          <w:noProof/>
        </w:rPr>
      </w:pPr>
      <w:r>
        <w:t xml:space="preserve">  ▌</w:t>
      </w:r>
    </w:p>
    <w:p>
      <w:pPr>
        <w:pStyle w:val="Point2"/>
        <w:spacing w:before="0" w:line="360" w:lineRule="auto"/>
        <w:rPr>
          <w:noProof/>
          <w:color w:val="000000" w:themeColor="text1"/>
        </w:rPr>
      </w:pPr>
      <w:r>
        <w:t>vii)</w:t>
      </w:r>
      <w:r>
        <w:tab/>
      </w:r>
      <w:r>
        <w:rPr>
          <w:b/>
          <w:bCs/>
          <w:i/>
          <w:iCs/>
        </w:rPr>
        <w:t>prostredníctvom transparentného, otvoreného procesu s rovnakými príležitosťami</w:t>
      </w:r>
      <w:r>
        <w:t xml:space="preserve"> prilákanie, združovanie, ▌odbornú prípravu talentov </w:t>
      </w:r>
      <w:r>
        <w:rPr>
          <w:b/>
          <w:bCs/>
          <w:i/>
          <w:iCs/>
        </w:rPr>
        <w:t>vrátane študentov, vývojárov, výskumníkov, vedcov a používateľov</w:t>
      </w:r>
      <w:r>
        <w:t xml:space="preserve"> s cieľom rozvíjať ich kompetencie, ▌zručnosti </w:t>
      </w:r>
      <w:r>
        <w:rPr>
          <w:b/>
          <w:bCs/>
          <w:i/>
          <w:iCs/>
        </w:rPr>
        <w:t xml:space="preserve">a znalosti </w:t>
      </w:r>
      <w:r>
        <w:t xml:space="preserve">pri používaní </w:t>
      </w:r>
      <w:proofErr w:type="spellStart"/>
      <w:r>
        <w:t>superpočítačov</w:t>
      </w:r>
      <w:proofErr w:type="spellEnd"/>
      <w:r>
        <w:t xml:space="preserve"> </w:t>
      </w:r>
      <w:proofErr w:type="spellStart"/>
      <w:r>
        <w:t>EuroHPC</w:t>
      </w:r>
      <w:proofErr w:type="spellEnd"/>
      <w:r>
        <w:t xml:space="preserve"> na umelú inteligenciu,</w:t>
      </w:r>
      <w:r>
        <w:rPr>
          <w:b/>
          <w:bCs/>
          <w:i/>
          <w:iCs/>
        </w:rPr>
        <w:t xml:space="preserve"> ako aj poskytovanie</w:t>
      </w:r>
      <w:r>
        <w:t xml:space="preserve"> </w:t>
      </w:r>
      <w:r>
        <w:rPr>
          <w:b/>
          <w:bCs/>
          <w:i/>
          <w:iCs/>
        </w:rPr>
        <w:t>individualizovaného odborného poradenstva</w:t>
      </w:r>
      <w:r>
        <w:t>;</w:t>
      </w:r>
    </w:p>
    <w:p>
      <w:pPr>
        <w:pStyle w:val="Point2"/>
        <w:spacing w:before="0" w:line="360" w:lineRule="auto"/>
        <w:rPr>
          <w:rFonts w:eastAsia="Times New Roman"/>
          <w:noProof/>
          <w:szCs w:val="24"/>
        </w:rPr>
      </w:pPr>
      <w:r>
        <w:rPr>
          <w:color w:val="000000" w:themeColor="text1"/>
        </w:rPr>
        <w:t>viii)</w:t>
      </w:r>
      <w:r>
        <w:rPr>
          <w:color w:val="000000" w:themeColor="text1"/>
        </w:rPr>
        <w:tab/>
      </w:r>
      <w:r>
        <w:t xml:space="preserve">interakcia s ostatnými továrňami umelej inteligencie, sprístupňovanie ich služieb v celej Európe, </w:t>
      </w:r>
      <w:r>
        <w:rPr>
          <w:b/>
          <w:bCs/>
          <w:i/>
          <w:iCs/>
        </w:rPr>
        <w:t xml:space="preserve">venovanie neustálej pozornosti geografickej a </w:t>
      </w:r>
      <w:r>
        <w:rPr>
          <w:b/>
          <w:bCs/>
          <w:i/>
          <w:iCs/>
        </w:rPr>
        <w:lastRenderedPageBreak/>
        <w:t>rodovej vyváženosti</w:t>
      </w:r>
      <w:r>
        <w:t xml:space="preserve">, a spolupráca s kompetenčnými centrami a centrami </w:t>
      </w:r>
      <w:proofErr w:type="spellStart"/>
      <w:r>
        <w:t>excelentnosti</w:t>
      </w:r>
      <w:proofErr w:type="spellEnd"/>
      <w:r>
        <w:t xml:space="preserve"> </w:t>
      </w:r>
      <w:proofErr w:type="spellStart"/>
      <w:r>
        <w:t>EuroHPC</w:t>
      </w:r>
      <w:proofErr w:type="spellEnd"/>
      <w:r>
        <w:t xml:space="preserve">, ako aj s príslušnými iniciatívami Únie v oblasti umelej inteligencie, ako sú centrá </w:t>
      </w:r>
      <w:proofErr w:type="spellStart"/>
      <w:r>
        <w:t>startupov</w:t>
      </w:r>
      <w:proofErr w:type="spellEnd"/>
      <w:r>
        <w:t xml:space="preserve"> v oblasti umelej inteligencie, umelá inteligencia a dátové ekosystémy, zariadenia na testovanie a experimentovanie v oblasti umelej inteligencie, európska centrálna platforma umelej inteligencie, centrá digitálnych inovácií zamerané na umelú inteligenciu, znalostné a inovačné spoločenstvá súvisiace s umelou inteligenciou pôsobiace pri Európskom inovačnom a technologickom </w:t>
      </w:r>
      <w:r>
        <w:rPr>
          <w:b/>
          <w:bCs/>
          <w:i/>
          <w:iCs/>
        </w:rPr>
        <w:t>inštitúte, spoločné podniky a partnerstvá v rámci programu Horizont Európa súvisiace s umelou inteligenciou</w:t>
      </w:r>
      <w:r>
        <w:t>, príslušné európske výskumné infraštruktúry a iné súvisiace iniciatívy.“</w:t>
      </w:r>
    </w:p>
    <w:p>
      <w:pPr>
        <w:spacing w:after="120" w:line="360" w:lineRule="auto"/>
        <w:ind w:left="1984" w:hanging="567"/>
        <w:rPr>
          <w:b/>
          <w:i/>
          <w:noProof/>
        </w:rPr>
      </w:pPr>
      <w:proofErr w:type="spellStart"/>
      <w:r>
        <w:rPr>
          <w:b/>
          <w:i/>
        </w:rPr>
        <w:t>viiia</w:t>
      </w:r>
      <w:proofErr w:type="spellEnd"/>
      <w:r>
        <w:rPr>
          <w:b/>
          <w:i/>
        </w:rPr>
        <w:t>)</w:t>
      </w:r>
      <w:r>
        <w:rPr>
          <w:b/>
          <w:i/>
        </w:rPr>
        <w:tab/>
        <w:t xml:space="preserve">údržba a optimalizácia </w:t>
      </w:r>
      <w:proofErr w:type="spellStart"/>
      <w:r>
        <w:rPr>
          <w:b/>
          <w:i/>
        </w:rPr>
        <w:t>superpočítačov</w:t>
      </w:r>
      <w:proofErr w:type="spellEnd"/>
      <w:r>
        <w:rPr>
          <w:b/>
          <w:i/>
        </w:rPr>
        <w:t xml:space="preserve"> so schopnosťami umelej inteligencie, zabezpečenie ich spoľahlivosti a výkonu na pokročilé výpočtové úlohy.</w:t>
      </w:r>
    </w:p>
    <w:p>
      <w:pPr>
        <w:pStyle w:val="Point0"/>
        <w:spacing w:line="360" w:lineRule="auto"/>
        <w:rPr>
          <w:noProof/>
        </w:rPr>
      </w:pPr>
      <w:r>
        <w:t>4.</w:t>
      </w:r>
      <w:r>
        <w:tab/>
        <w:t xml:space="preserve">▌Článok 9 ods. 5 </w:t>
      </w:r>
      <w:r>
        <w:rPr>
          <w:b/>
          <w:bCs/>
          <w:i/>
          <w:iCs/>
        </w:rPr>
        <w:t>sa mení takto:</w:t>
      </w:r>
    </w:p>
    <w:p>
      <w:pPr>
        <w:pStyle w:val="Point0"/>
        <w:spacing w:line="360" w:lineRule="auto"/>
        <w:ind w:firstLine="0"/>
        <w:rPr>
          <w:noProof/>
        </w:rPr>
      </w:pPr>
      <w:r>
        <w:rPr>
          <w:b/>
          <w:i/>
        </w:rPr>
        <w:t>a)</w:t>
      </w:r>
      <w:r>
        <w:rPr>
          <w:b/>
          <w:i/>
        </w:rPr>
        <w:tab/>
      </w:r>
      <w:r>
        <w:t xml:space="preserve">dopĺňa sa toto písmeno g): </w:t>
      </w:r>
    </w:p>
    <w:p>
      <w:pPr>
        <w:pStyle w:val="Point1"/>
        <w:spacing w:line="360" w:lineRule="auto"/>
        <w:rPr>
          <w:noProof/>
        </w:rPr>
      </w:pPr>
      <w:r>
        <w:t xml:space="preserve">„g) </w:t>
      </w:r>
      <w:r>
        <w:tab/>
        <w:t xml:space="preserve">v prípade </w:t>
      </w:r>
      <w:proofErr w:type="spellStart"/>
      <w:r>
        <w:t>superpočítačov</w:t>
      </w:r>
      <w:proofErr w:type="spellEnd"/>
      <w:r>
        <w:t xml:space="preserve"> špecializovaných na umelú inteligenciu sa na hostiteľské subjekty uplatňujú tieto dodatočné výberové kritériá:</w:t>
      </w:r>
    </w:p>
    <w:p>
      <w:pPr>
        <w:pStyle w:val="Point1"/>
        <w:tabs>
          <w:tab w:val="left" w:pos="1843"/>
        </w:tabs>
        <w:spacing w:before="0" w:line="360" w:lineRule="auto"/>
        <w:ind w:left="1843" w:hanging="425"/>
        <w:rPr>
          <w:noProof/>
        </w:rPr>
      </w:pPr>
      <w:r>
        <w:t>i)</w:t>
      </w:r>
      <w:r>
        <w:tab/>
        <w:t xml:space="preserve">blízkosť </w:t>
      </w:r>
      <w:r>
        <w:rPr>
          <w:b/>
          <w:bCs/>
          <w:i/>
          <w:iCs/>
        </w:rPr>
        <w:t>alebo pripojenie prostredníctvom vysokorýchlostných sietí s plánovaným alebo zriadeným dátovým centrom v súlade s článkom 12 smernice (EÚ) 2023/1791;</w:t>
      </w:r>
    </w:p>
    <w:p>
      <w:pPr>
        <w:pStyle w:val="Point1"/>
        <w:tabs>
          <w:tab w:val="left" w:pos="1843"/>
        </w:tabs>
        <w:spacing w:before="0" w:line="360" w:lineRule="auto"/>
        <w:ind w:left="1843" w:hanging="425"/>
        <w:rPr>
          <w:noProof/>
        </w:rPr>
      </w:pPr>
      <w:proofErr w:type="spellStart"/>
      <w:r>
        <w:rPr>
          <w:b/>
          <w:i/>
        </w:rPr>
        <w:t>ia</w:t>
      </w:r>
      <w:proofErr w:type="spellEnd"/>
      <w:r>
        <w:rPr>
          <w:b/>
          <w:i/>
        </w:rPr>
        <w:t xml:space="preserve">) </w:t>
      </w:r>
      <w:r>
        <w:rPr>
          <w:b/>
          <w:i/>
        </w:rPr>
        <w:tab/>
      </w:r>
      <w:r>
        <w:rPr>
          <w:b/>
          <w:bCs/>
          <w:i/>
          <w:iCs/>
        </w:rPr>
        <w:t xml:space="preserve">vízia a plány hostiteľského subjektu týkajúce sa energetickej efektívnosti a environmentálnej udržateľnosti </w:t>
      </w:r>
      <w:proofErr w:type="spellStart"/>
      <w:r>
        <w:rPr>
          <w:b/>
          <w:bCs/>
          <w:i/>
          <w:iCs/>
        </w:rPr>
        <w:t>superpočítača</w:t>
      </w:r>
      <w:proofErr w:type="spellEnd"/>
      <w:r>
        <w:rPr>
          <w:b/>
          <w:bCs/>
          <w:i/>
          <w:iCs/>
        </w:rPr>
        <w:t xml:space="preserve"> zameraného na umelú inteligenciu s využitím prístupu založeného na životnom cykle, dostupnosti primeraného prístupu k čistej cenovo dostupnej energii, a to aj prostredníctvom zmlúv o nákupe elektriny, ktoré môžu byť založené aj na obnoviteľnej energii, a využívania elektriny, ktorá sa vyrába na mieste;</w:t>
      </w:r>
    </w:p>
    <w:p>
      <w:pPr>
        <w:pStyle w:val="Point1"/>
        <w:tabs>
          <w:tab w:val="left" w:pos="1843"/>
        </w:tabs>
        <w:spacing w:before="0" w:line="360" w:lineRule="auto"/>
        <w:ind w:left="1843" w:hanging="425"/>
        <w:rPr>
          <w:noProof/>
        </w:rPr>
      </w:pPr>
      <w:r>
        <w:t>ii)</w:t>
      </w:r>
      <w:r>
        <w:tab/>
        <w:t xml:space="preserve">vízia, plány a schopnosť hostiteľského subjektu riešiť výzvy </w:t>
      </w:r>
      <w:proofErr w:type="spellStart"/>
      <w:r>
        <w:rPr>
          <w:b/>
          <w:bCs/>
          <w:i/>
          <w:iCs/>
        </w:rPr>
        <w:t>startupového</w:t>
      </w:r>
      <w:proofErr w:type="spellEnd"/>
      <w:r>
        <w:t>, výskumného a inovačného ekosystému umelej inteligencie a komunity používateľov umelej inteligencie,</w:t>
      </w:r>
      <w:r>
        <w:rPr>
          <w:b/>
          <w:bCs/>
          <w:i/>
          <w:iCs/>
        </w:rPr>
        <w:t xml:space="preserve"> posilňovať takýto ekosystém podporou synergií a inovácií vrátane investícií do budúcich technológií, prispievať </w:t>
      </w:r>
      <w:r>
        <w:rPr>
          <w:b/>
          <w:bCs/>
          <w:i/>
          <w:iCs/>
        </w:rPr>
        <w:lastRenderedPageBreak/>
        <w:t xml:space="preserve">a </w:t>
      </w:r>
      <w:r>
        <w:t xml:space="preserve">poskytovať podpornú centralizovanú alebo distribuovanú </w:t>
      </w:r>
      <w:proofErr w:type="spellStart"/>
      <w:r>
        <w:t>superpočítačovú</w:t>
      </w:r>
      <w:proofErr w:type="spellEnd"/>
      <w:r>
        <w:t xml:space="preserve"> službu zameranú na umelú inteligenciu;</w:t>
      </w:r>
    </w:p>
    <w:p>
      <w:pPr>
        <w:pStyle w:val="Point1"/>
        <w:tabs>
          <w:tab w:val="left" w:pos="1843"/>
        </w:tabs>
        <w:spacing w:before="0" w:line="360" w:lineRule="auto"/>
        <w:ind w:left="1843" w:hanging="425"/>
        <w:rPr>
          <w:noProof/>
        </w:rPr>
      </w:pPr>
      <w:r>
        <w:t>iii)</w:t>
      </w:r>
      <w:r>
        <w:tab/>
        <w:t xml:space="preserve">kvalita a vhodnosť skúseností a know-how dostupných v plánovanom tíme, ktorý by bol zodpovedný za podporné prostredie </w:t>
      </w:r>
      <w:proofErr w:type="spellStart"/>
      <w:r>
        <w:t>superpočítačových</w:t>
      </w:r>
      <w:proofErr w:type="spellEnd"/>
      <w:r>
        <w:t xml:space="preserve"> služieb zameraných na umelú inteligenciu;</w:t>
      </w:r>
    </w:p>
    <w:p>
      <w:pPr>
        <w:pStyle w:val="Point1"/>
        <w:tabs>
          <w:tab w:val="left" w:pos="1843"/>
        </w:tabs>
        <w:spacing w:before="0" w:line="360" w:lineRule="auto"/>
        <w:ind w:left="1843" w:hanging="425"/>
        <w:rPr>
          <w:noProof/>
        </w:rPr>
      </w:pPr>
      <w:r>
        <w:t>iv)</w:t>
      </w:r>
      <w:r>
        <w:tab/>
        <w:t xml:space="preserve">plány interakcie a spolupráce s inými továrňami umelej inteligencie, s kompetenčnými centrami </w:t>
      </w:r>
      <w:proofErr w:type="spellStart"/>
      <w:r>
        <w:t>EuroHPC</w:t>
      </w:r>
      <w:proofErr w:type="spellEnd"/>
      <w:r>
        <w:t xml:space="preserve"> a centrami </w:t>
      </w:r>
      <w:proofErr w:type="spellStart"/>
      <w:r>
        <w:t>excelentnosti</w:t>
      </w:r>
      <w:proofErr w:type="spellEnd"/>
      <w:r>
        <w:t xml:space="preserve"> </w:t>
      </w:r>
      <w:proofErr w:type="spellStart"/>
      <w:r>
        <w:t>EuroHPC</w:t>
      </w:r>
      <w:proofErr w:type="spellEnd"/>
      <w:r>
        <w:t xml:space="preserve"> a s príslušnými činnosťami v oblasti umelej inteligencie, ako sú centrá </w:t>
      </w:r>
      <w:proofErr w:type="spellStart"/>
      <w:r>
        <w:rPr>
          <w:b/>
          <w:bCs/>
          <w:i/>
          <w:iCs/>
        </w:rPr>
        <w:t>startupov</w:t>
      </w:r>
      <w:proofErr w:type="spellEnd"/>
      <w:r>
        <w:t xml:space="preserve"> v oblasti umelej inteligencie, umelá inteligencia a dátové ekosystémy, zariadenia na testovanie a experimentovanie v oblasti umelej inteligencie, európska centrálna platforma umelej inteligencie, centrá digitálnych inovácií zamerané na umelú inteligenciu a iné súvisiace iniciatívy;</w:t>
      </w:r>
    </w:p>
    <w:p>
      <w:pPr>
        <w:pStyle w:val="Point1"/>
        <w:tabs>
          <w:tab w:val="left" w:pos="1843"/>
        </w:tabs>
        <w:spacing w:before="0" w:line="360" w:lineRule="auto"/>
        <w:ind w:left="1843" w:hanging="425"/>
        <w:rPr>
          <w:noProof/>
        </w:rPr>
      </w:pPr>
      <w:r>
        <w:t>v)</w:t>
      </w:r>
      <w:r>
        <w:tab/>
        <w:t>existujúce spôsobilosti a budúce plány hostiteľského subjektu prispievať k rozvoju okruhu talentov</w:t>
      </w:r>
      <w:r>
        <w:rPr>
          <w:b/>
          <w:bCs/>
          <w:i/>
          <w:iCs/>
        </w:rPr>
        <w:t xml:space="preserve"> a k vytváraniu zručností, schopností a kompetencií na využívanie </w:t>
      </w:r>
      <w:proofErr w:type="spellStart"/>
      <w:r>
        <w:rPr>
          <w:b/>
          <w:bCs/>
          <w:i/>
          <w:iCs/>
        </w:rPr>
        <w:t>superpočítačov</w:t>
      </w:r>
      <w:proofErr w:type="spellEnd"/>
      <w:r>
        <w:rPr>
          <w:b/>
          <w:bCs/>
          <w:i/>
          <w:iCs/>
        </w:rPr>
        <w:t xml:space="preserve"> a to aj formou podpory </w:t>
      </w:r>
      <w:proofErr w:type="spellStart"/>
      <w:r>
        <w:rPr>
          <w:b/>
          <w:bCs/>
          <w:i/>
          <w:iCs/>
        </w:rPr>
        <w:t>startupov</w:t>
      </w:r>
      <w:proofErr w:type="spellEnd"/>
      <w:r>
        <w:rPr>
          <w:b/>
          <w:bCs/>
          <w:i/>
          <w:iCs/>
        </w:rPr>
        <w:t xml:space="preserve"> prostredníctvom inkubátorov alebo akceleračných programov</w:t>
      </w:r>
      <w:r>
        <w:rPr>
          <w:b/>
          <w:bCs/>
        </w:rPr>
        <w:t>;</w:t>
      </w:r>
    </w:p>
    <w:p>
      <w:pPr>
        <w:pStyle w:val="Point1"/>
        <w:spacing w:line="360" w:lineRule="auto"/>
        <w:rPr>
          <w:noProof/>
        </w:rPr>
      </w:pPr>
      <w:r>
        <w:rPr>
          <w:b/>
          <w:i/>
        </w:rPr>
        <w:t>ga)</w:t>
      </w:r>
      <w:r>
        <w:rPr>
          <w:b/>
          <w:i/>
        </w:rPr>
        <w:tab/>
      </w:r>
      <w:r>
        <w:rPr>
          <w:b/>
          <w:bCs/>
          <w:i/>
          <w:iCs/>
        </w:rPr>
        <w:t>existujúci hostiteľský subjekt vybraný správnou radou spravodlivým a transparentným postupom a po výzve na vyjadrenie záujmu môže zriadiť továreň na umelú inteligenciu, ak spĺňa kritériá uvedené v článku 9 ods. 5 písm. g).“</w:t>
      </w:r>
    </w:p>
    <w:p>
      <w:pPr>
        <w:pStyle w:val="Point0"/>
        <w:spacing w:line="360" w:lineRule="auto"/>
        <w:ind w:hanging="708"/>
        <w:rPr>
          <w:noProof/>
        </w:rPr>
      </w:pPr>
      <w:r>
        <w:t>5.</w:t>
      </w:r>
      <w:r>
        <w:tab/>
        <w:t>V článku 9 sa dopĺňa tento odsek 6a:</w:t>
      </w:r>
    </w:p>
    <w:p>
      <w:pPr>
        <w:pStyle w:val="Point2"/>
        <w:spacing w:line="360" w:lineRule="auto"/>
        <w:ind w:left="1276" w:hanging="425"/>
        <w:rPr>
          <w:i/>
          <w:iCs/>
          <w:noProof/>
        </w:rPr>
      </w:pPr>
      <w:r>
        <w:t xml:space="preserve">„6a. </w:t>
      </w:r>
      <w:r>
        <w:tab/>
        <w:t xml:space="preserve">V prípade </w:t>
      </w:r>
      <w:proofErr w:type="spellStart"/>
      <w:r>
        <w:t>superpočítačov</w:t>
      </w:r>
      <w:proofErr w:type="spellEnd"/>
      <w:r>
        <w:t xml:space="preserve"> špecializovaných na umelú inteligenciu uvedených v článku 12a, </w:t>
      </w:r>
      <w:r>
        <w:rPr>
          <w:b/>
          <w:bCs/>
          <w:i/>
          <w:iCs/>
        </w:rPr>
        <w:t xml:space="preserve">ako aj v prípade </w:t>
      </w:r>
      <w:proofErr w:type="spellStart"/>
      <w:r>
        <w:rPr>
          <w:b/>
          <w:bCs/>
          <w:i/>
          <w:iCs/>
        </w:rPr>
        <w:t>superpočítačov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EuroHPC</w:t>
      </w:r>
      <w:proofErr w:type="spellEnd"/>
      <w:r>
        <w:rPr>
          <w:b/>
          <w:bCs/>
          <w:i/>
          <w:iCs/>
        </w:rPr>
        <w:t xml:space="preserve"> uvedených v článkoch 11, 12, 12a, 14 a 15 hostiteľské subjekty vytvoria</w:t>
      </w:r>
      <w:r>
        <w:t xml:space="preserve"> jednotné kontaktné miesto pre </w:t>
      </w:r>
      <w:proofErr w:type="spellStart"/>
      <w:r>
        <w:t>startupy</w:t>
      </w:r>
      <w:proofErr w:type="spellEnd"/>
      <w:r>
        <w:t xml:space="preserve">, </w:t>
      </w:r>
      <w:proofErr w:type="spellStart"/>
      <w:r>
        <w:rPr>
          <w:b/>
          <w:bCs/>
          <w:i/>
          <w:iCs/>
        </w:rPr>
        <w:t>scaleupy</w:t>
      </w:r>
      <w:proofErr w:type="spellEnd"/>
      <w:r>
        <w:rPr>
          <w:b/>
          <w:bCs/>
          <w:i/>
          <w:iCs/>
        </w:rPr>
        <w:t>, MSP</w:t>
      </w:r>
      <w:r>
        <w:t xml:space="preserve"> a iných používateľov s cieľom uľahčiť prístup k jeho podporným službám </w:t>
      </w:r>
      <w:r>
        <w:rPr>
          <w:b/>
          <w:bCs/>
          <w:i/>
          <w:iCs/>
        </w:rPr>
        <w:t>a podporiť rozvoj ich zručností a kompetencií.</w:t>
      </w:r>
      <w:r>
        <w:t>“</w:t>
      </w:r>
    </w:p>
    <w:p>
      <w:pPr>
        <w:pStyle w:val="Point0"/>
        <w:spacing w:line="360" w:lineRule="auto"/>
        <w:rPr>
          <w:noProof/>
        </w:rPr>
      </w:pPr>
      <w:r>
        <w:t>6.</w:t>
      </w:r>
      <w:r>
        <w:tab/>
        <w:t>V článku 10 ods. 2 sa písmeno l) nahrádza takto:</w:t>
      </w:r>
    </w:p>
    <w:p>
      <w:pPr>
        <w:pStyle w:val="Point2"/>
        <w:spacing w:line="360" w:lineRule="auto"/>
        <w:ind w:left="1276" w:hanging="425"/>
        <w:rPr>
          <w:i/>
          <w:iCs/>
          <w:noProof/>
        </w:rPr>
      </w:pPr>
      <w:r>
        <w:t xml:space="preserve">„l) </w:t>
      </w:r>
      <w:r>
        <w:tab/>
        <w:t xml:space="preserve">osobitné podmienky uplatniteľné vtedy, keď hostiteľský subjekt prevádzkuje </w:t>
      </w:r>
      <w:proofErr w:type="spellStart"/>
      <w:r>
        <w:t>superpočítač</w:t>
      </w:r>
      <w:proofErr w:type="spellEnd"/>
      <w:r>
        <w:t xml:space="preserve"> </w:t>
      </w:r>
      <w:proofErr w:type="spellStart"/>
      <w:r>
        <w:t>EuroHPC</w:t>
      </w:r>
      <w:proofErr w:type="spellEnd"/>
      <w:r>
        <w:t xml:space="preserve"> na priemyselné využitie, ▌</w:t>
      </w:r>
      <w:proofErr w:type="spellStart"/>
      <w:r>
        <w:t>superpočítač</w:t>
      </w:r>
      <w:proofErr w:type="spellEnd"/>
      <w:r>
        <w:t xml:space="preserve"> špecializovaný na </w:t>
      </w:r>
      <w:r>
        <w:lastRenderedPageBreak/>
        <w:t xml:space="preserve">umelú inteligenciu </w:t>
      </w:r>
      <w:r>
        <w:rPr>
          <w:b/>
          <w:bCs/>
          <w:i/>
          <w:iCs/>
        </w:rPr>
        <w:t xml:space="preserve">alebo existujúce </w:t>
      </w:r>
      <w:proofErr w:type="spellStart"/>
      <w:r>
        <w:rPr>
          <w:b/>
          <w:bCs/>
          <w:i/>
          <w:iCs/>
        </w:rPr>
        <w:t>superpočítače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EuroHPC</w:t>
      </w:r>
      <w:proofErr w:type="spellEnd"/>
      <w:r>
        <w:rPr>
          <w:b/>
          <w:bCs/>
          <w:i/>
          <w:iCs/>
        </w:rPr>
        <w:t xml:space="preserve"> vylepšené o technológie umelej inteligencie.“</w:t>
      </w:r>
      <w:r>
        <w:rPr>
          <w:b/>
          <w:bCs/>
        </w:rPr>
        <w:t>;</w:t>
      </w:r>
    </w:p>
    <w:p>
      <w:pPr>
        <w:pStyle w:val="Point0"/>
        <w:spacing w:line="360" w:lineRule="auto"/>
        <w:rPr>
          <w:noProof/>
        </w:rPr>
      </w:pPr>
      <w:r>
        <w:t>7.</w:t>
      </w:r>
      <w:r>
        <w:tab/>
        <w:t>Vkladá sa tento článok 12a:</w:t>
      </w:r>
    </w:p>
    <w:p>
      <w:pPr>
        <w:pStyle w:val="Point2"/>
        <w:spacing w:line="360" w:lineRule="auto"/>
        <w:ind w:left="720" w:firstLine="0"/>
        <w:jc w:val="left"/>
        <w:rPr>
          <w:noProof/>
        </w:rPr>
      </w:pPr>
      <w:r>
        <w:t>„Článok 12a</w:t>
      </w:r>
      <w:r>
        <w:rPr>
          <w:i/>
        </w:rPr>
        <w:br/>
      </w:r>
      <w:r>
        <w:t xml:space="preserve">Nadobudnutie a vlastníctvo </w:t>
      </w:r>
      <w:proofErr w:type="spellStart"/>
      <w:r>
        <w:t>superpočítačov</w:t>
      </w:r>
      <w:proofErr w:type="spellEnd"/>
      <w:r>
        <w:t xml:space="preserve"> špecializovaných na umelú inteligenciu</w:t>
      </w:r>
    </w:p>
    <w:p>
      <w:pPr>
        <w:pStyle w:val="ManualNumPar1"/>
        <w:spacing w:line="360" w:lineRule="auto"/>
        <w:ind w:left="1570"/>
        <w:rPr>
          <w:noProof/>
        </w:rPr>
      </w:pPr>
      <w:r>
        <w:t>1.</w:t>
      </w:r>
      <w:r>
        <w:tab/>
        <w:t xml:space="preserve">Spoločný podnik nadobudne </w:t>
      </w:r>
      <w:proofErr w:type="spellStart"/>
      <w:r>
        <w:t>superpočítače</w:t>
      </w:r>
      <w:proofErr w:type="spellEnd"/>
      <w:r>
        <w:t xml:space="preserve"> špecializované na umelú inteligenciu a stane sa ich vlastníkom.</w:t>
      </w:r>
    </w:p>
    <w:p>
      <w:pPr>
        <w:pStyle w:val="ManualNumPar1"/>
        <w:spacing w:line="360" w:lineRule="auto"/>
        <w:ind w:left="1570"/>
        <w:rPr>
          <w:noProof/>
        </w:rPr>
      </w:pPr>
      <w:r>
        <w:t>2.</w:t>
      </w:r>
      <w:r>
        <w:tab/>
        <w:t xml:space="preserve">Finančný príspevok Únie uvedený v článku 5 ods. 1 pokrýva najviac 50 % nadobúdacích nákladov plus najviac 50 % prevádzkových nákladov </w:t>
      </w:r>
      <w:proofErr w:type="spellStart"/>
      <w:r>
        <w:t>superpočítačov</w:t>
      </w:r>
      <w:proofErr w:type="spellEnd"/>
      <w:r>
        <w:t xml:space="preserve"> špecializovaných na umelú inteligenciu.</w:t>
      </w:r>
    </w:p>
    <w:p>
      <w:pPr>
        <w:pStyle w:val="Text1"/>
        <w:spacing w:line="360" w:lineRule="auto"/>
        <w:ind w:left="1570"/>
        <w:rPr>
          <w:noProof/>
        </w:rPr>
      </w:pPr>
      <w:r>
        <w:t xml:space="preserve">Zvyšné celkové náklady na vlastníctvo </w:t>
      </w:r>
      <w:proofErr w:type="spellStart"/>
      <w:r>
        <w:t>superpočítačov</w:t>
      </w:r>
      <w:proofErr w:type="spellEnd"/>
      <w:r>
        <w:t xml:space="preserve"> špecializovaných na umelú inteligenciu kryje zúčastnený štát, v ktorom je usadený hostiteľský subjekt, alebo zúčastnené štáty hostiteľského konzorcia, pričom toto financovanie môže byť doplnené o príspevky uvedené v článku 6.</w:t>
      </w:r>
    </w:p>
    <w:p>
      <w:pPr>
        <w:pStyle w:val="ManualNumPar1"/>
        <w:spacing w:line="360" w:lineRule="auto"/>
        <w:ind w:left="1570"/>
        <w:rPr>
          <w:noProof/>
        </w:rPr>
      </w:pPr>
      <w:r>
        <w:t>3.</w:t>
      </w:r>
      <w:r>
        <w:tab/>
        <w:t xml:space="preserve">Výber dodávateľa </w:t>
      </w:r>
      <w:proofErr w:type="spellStart"/>
      <w:r>
        <w:t>superpočítačov</w:t>
      </w:r>
      <w:proofErr w:type="spellEnd"/>
      <w:r>
        <w:t xml:space="preserve"> špecializovaných na umelú inteligenciu sa zakladá na špecifikáciách obstarávania, ktoré sú založené na dopyte a v ktorých sa zohľadňujú požiadavky používateľov a všeobecné špecifikácie systému, ktoré poskytol vybraný hostiteľský subjekt vo svojej prihláške na výzvu na vyjadrenie záujmu. Výber zohľadňuje aj bezpečnosť dodávateľského reťazca.</w:t>
      </w:r>
    </w:p>
    <w:p>
      <w:pPr>
        <w:pStyle w:val="ManualNumPar1"/>
        <w:spacing w:line="360" w:lineRule="auto"/>
        <w:ind w:left="1570"/>
        <w:rPr>
          <w:noProof/>
        </w:rPr>
      </w:pPr>
      <w:r>
        <w:t>4.</w:t>
      </w:r>
      <w:r>
        <w:tab/>
        <w:t xml:space="preserve">Spoločný podnik môže konať ako prvý používateľ </w:t>
      </w:r>
      <w:proofErr w:type="spellStart"/>
      <w:r>
        <w:t>superpočítačov</w:t>
      </w:r>
      <w:proofErr w:type="spellEnd"/>
      <w:r>
        <w:t xml:space="preserve"> špecializovaných na umelú inteligenciu, v ktorých sa integrujú technológie vyvinuté predovšetkým v Únii.</w:t>
      </w:r>
    </w:p>
    <w:p>
      <w:pPr>
        <w:pStyle w:val="ManualNumPar1"/>
        <w:spacing w:line="360" w:lineRule="auto"/>
        <w:ind w:left="1570"/>
        <w:rPr>
          <w:noProof/>
        </w:rPr>
      </w:pPr>
      <w:r>
        <w:t>5.</w:t>
      </w:r>
      <w:r>
        <w:tab/>
        <w:t xml:space="preserve">Ak je to riadne odôvodnené z bezpečnostných dôvodov, správna rada môže v pracovnom programe rozhodnúť, že podmieni účasť dodávateľov na nadobúdaní </w:t>
      </w:r>
      <w:proofErr w:type="spellStart"/>
      <w:r>
        <w:t>superpočítačov</w:t>
      </w:r>
      <w:proofErr w:type="spellEnd"/>
      <w:r>
        <w:t xml:space="preserve"> špecializovaných na umelú inteligenciu v súlade s článkom 12 ods. 6 nariadenia (EÚ) 2021/694 alebo obmedzí účasť dodávateľov z bezpečnostných dôvodov alebo ak akcie priamo súvisia so strategickou autonómiou Únie v súlade s článkom 18 ods. 4 uvedeného nariadenia.</w:t>
      </w:r>
    </w:p>
    <w:p>
      <w:pPr>
        <w:pStyle w:val="ManualNumPar1"/>
        <w:spacing w:line="360" w:lineRule="auto"/>
        <w:ind w:left="1570"/>
        <w:rPr>
          <w:noProof/>
        </w:rPr>
      </w:pPr>
      <w:r>
        <w:t>6.</w:t>
      </w:r>
      <w:r>
        <w:tab/>
      </w:r>
      <w:proofErr w:type="spellStart"/>
      <w:r>
        <w:t>Superpočítače</w:t>
      </w:r>
      <w:proofErr w:type="spellEnd"/>
      <w:r>
        <w:t xml:space="preserve"> špecializované na umelú inteligenciu sa umiestnia v hostiteľskom subjekte </w:t>
      </w:r>
      <w:proofErr w:type="spellStart"/>
      <w:r>
        <w:t>superpočítača</w:t>
      </w:r>
      <w:proofErr w:type="spellEnd"/>
      <w:r>
        <w:t xml:space="preserve"> </w:t>
      </w:r>
      <w:proofErr w:type="spellStart"/>
      <w:r>
        <w:t>EuroHPC</w:t>
      </w:r>
      <w:proofErr w:type="spellEnd"/>
      <w:r>
        <w:t xml:space="preserve">, ktorý sa nachádza v Únii. </w:t>
      </w:r>
    </w:p>
    <w:p>
      <w:pPr>
        <w:pStyle w:val="ManualNumPar1"/>
        <w:spacing w:line="360" w:lineRule="auto"/>
        <w:ind w:left="1570"/>
        <w:rPr>
          <w:noProof/>
        </w:rPr>
      </w:pPr>
      <w:r>
        <w:lastRenderedPageBreak/>
        <w:t>7.</w:t>
      </w:r>
      <w:r>
        <w:tab/>
        <w:t xml:space="preserve">Bez toho, aby bola dotknutá likvidácia spoločného podniku uvedená v článku 23 ods. 4 stanov, sa vlastníctvo </w:t>
      </w:r>
      <w:proofErr w:type="spellStart"/>
      <w:r>
        <w:t>superpočítača</w:t>
      </w:r>
      <w:proofErr w:type="spellEnd"/>
      <w:r>
        <w:t xml:space="preserve"> špecializovaného na umelú inteligenciu môže previesť na príslušný hostiteľský subjekt alebo sa daný </w:t>
      </w:r>
      <w:proofErr w:type="spellStart"/>
      <w:r>
        <w:t>superpočítač</w:t>
      </w:r>
      <w:proofErr w:type="spellEnd"/>
      <w:r>
        <w:t xml:space="preserve"> môže predať inému subjektu alebo vyradiť z prevádzky na základe rozhodnutia správnej rady a v súlade s dohodou o poskytovaní hostiteľských služieb najskôr päť rokov po úspešnej preberacej skúške </w:t>
      </w:r>
      <w:proofErr w:type="spellStart"/>
      <w:r>
        <w:t>superpočítača</w:t>
      </w:r>
      <w:proofErr w:type="spellEnd"/>
      <w:r>
        <w:t xml:space="preserve"> špecializovaného na umelú inteligenciu nainštalovaného v hostiteľskom subjekte. V prípade prevodu vlastníctva </w:t>
      </w:r>
      <w:proofErr w:type="spellStart"/>
      <w:r>
        <w:t>superpočítača</w:t>
      </w:r>
      <w:proofErr w:type="spellEnd"/>
      <w:r>
        <w:t xml:space="preserve"> špecializovaného na umelú inteligenciu uhradí hostiteľský subjekt spoločnému podniku zostatkovú hodnotu </w:t>
      </w:r>
      <w:proofErr w:type="spellStart"/>
      <w:r>
        <w:t>superpočítača</w:t>
      </w:r>
      <w:proofErr w:type="spellEnd"/>
      <w:r>
        <w:t xml:space="preserve">, ktorého vlastníctvo sa prevádza. Ak sa vlastníctvo neprevedie na hostiteľský subjekt, ale prijme sa rozhodnutie o vyradení z prevádzky, príslušné náklady sa rozdelia rovnomerne medzi spoločný podnik a hostiteľský subjekt. Spoločný podnik nie je zodpovedný za žiadne náklady, ktoré vzniknú po prevode vlastníctva </w:t>
      </w:r>
      <w:proofErr w:type="spellStart"/>
      <w:r>
        <w:t>superpočítača</w:t>
      </w:r>
      <w:proofErr w:type="spellEnd"/>
      <w:r>
        <w:t xml:space="preserve"> špecializovaného na umelú inteligenciu alebo po jeho predaji či vyradení z prevádzky.</w:t>
      </w:r>
    </w:p>
    <w:p>
      <w:pPr>
        <w:pStyle w:val="Point0"/>
        <w:spacing w:line="360" w:lineRule="auto"/>
        <w:rPr>
          <w:noProof/>
        </w:rPr>
      </w:pPr>
      <w:r>
        <w:t>8.</w:t>
      </w:r>
      <w:r>
        <w:tab/>
        <w:t>Článok 15 sa mení takto:</w:t>
      </w:r>
    </w:p>
    <w:p>
      <w:pPr>
        <w:pStyle w:val="Point0"/>
        <w:spacing w:line="360" w:lineRule="auto"/>
        <w:ind w:left="1700"/>
        <w:rPr>
          <w:noProof/>
        </w:rPr>
      </w:pPr>
      <w:r>
        <w:t>a)</w:t>
      </w:r>
      <w:r>
        <w:tab/>
        <w:t>odsek 1 sa nahrádza takto:</w:t>
      </w:r>
    </w:p>
    <w:p>
      <w:pPr>
        <w:pStyle w:val="Text1"/>
        <w:spacing w:line="360" w:lineRule="auto"/>
        <w:ind w:left="2160" w:hanging="590"/>
        <w:rPr>
          <w:noProof/>
        </w:rPr>
      </w:pPr>
      <w:r>
        <w:t xml:space="preserve">„1. </w:t>
      </w:r>
      <w:r>
        <w:tab/>
        <w:t xml:space="preserve">Spoločný podnik môže vyhlásiť výzvu na vyjadrenie záujmu s cieľom modernizovať </w:t>
      </w:r>
      <w:proofErr w:type="spellStart"/>
      <w:r>
        <w:t>superpočítače</w:t>
      </w:r>
      <w:proofErr w:type="spellEnd"/>
      <w:r>
        <w:t xml:space="preserve"> </w:t>
      </w:r>
      <w:proofErr w:type="spellStart"/>
      <w:r>
        <w:t>EuroHPC</w:t>
      </w:r>
      <w:proofErr w:type="spellEnd"/>
      <w:r>
        <w:t xml:space="preserve">, ktoré vlastní alebo </w:t>
      </w:r>
      <w:proofErr w:type="spellStart"/>
      <w:r>
        <w:t>spoluvlastní</w:t>
      </w:r>
      <w:proofErr w:type="spellEnd"/>
      <w:r>
        <w:t xml:space="preserve">, zvýšiť výkonnosť </w:t>
      </w:r>
      <w:proofErr w:type="spellStart"/>
      <w:r>
        <w:t>superpočítača</w:t>
      </w:r>
      <w:proofErr w:type="spellEnd"/>
      <w:r>
        <w:t xml:space="preserve"> na úroveň blízku </w:t>
      </w:r>
      <w:proofErr w:type="spellStart"/>
      <w:r>
        <w:t>exaflopovej</w:t>
      </w:r>
      <w:proofErr w:type="spellEnd"/>
      <w:r>
        <w:t xml:space="preserve"> výkonnosti alebo zvýšiť spôsobilosti </w:t>
      </w:r>
      <w:proofErr w:type="spellStart"/>
      <w:r>
        <w:t>superpočítača</w:t>
      </w:r>
      <w:proofErr w:type="spellEnd"/>
      <w:r>
        <w:t xml:space="preserve"> v oblasti umelej inteligencie, alebo akýmkoľvek iným spôsobom zvýšiť prevádzkovú výkonnosť </w:t>
      </w:r>
      <w:proofErr w:type="spellStart"/>
      <w:r>
        <w:t>superpočítača</w:t>
      </w:r>
      <w:proofErr w:type="spellEnd"/>
      <w:r>
        <w:t xml:space="preserve"> vrátane kvantových akcelerátorov. Odsek 2 sa vypúšťa.</w:t>
      </w:r>
    </w:p>
    <w:p>
      <w:pPr>
        <w:pStyle w:val="Point0"/>
        <w:spacing w:line="360" w:lineRule="auto"/>
        <w:ind w:left="1700"/>
        <w:rPr>
          <w:noProof/>
        </w:rPr>
      </w:pPr>
      <w:r>
        <w:t>b)</w:t>
      </w:r>
      <w:r>
        <w:tab/>
        <w:t>odsek 5 sa nahrádza takto:</w:t>
      </w:r>
    </w:p>
    <w:p>
      <w:pPr>
        <w:pStyle w:val="Text1"/>
        <w:spacing w:line="360" w:lineRule="auto"/>
        <w:ind w:left="2160" w:hanging="590"/>
        <w:rPr>
          <w:noProof/>
        </w:rPr>
      </w:pPr>
      <w:r>
        <w:t>„5.</w:t>
      </w:r>
      <w:r>
        <w:tab/>
        <w:t xml:space="preserve">Percentuálny podiel finančného príspevku Únie na nadobúdacie náklady na modernizáciu je rovnaký ako percentuálny podiel finančného príspevku Únie na pôvodný </w:t>
      </w:r>
      <w:proofErr w:type="spellStart"/>
      <w:r>
        <w:t>superpočítač</w:t>
      </w:r>
      <w:proofErr w:type="spellEnd"/>
      <w:r>
        <w:t xml:space="preserve"> </w:t>
      </w:r>
      <w:proofErr w:type="spellStart"/>
      <w:r>
        <w:t>EuroHPC</w:t>
      </w:r>
      <w:proofErr w:type="spellEnd"/>
      <w:r>
        <w:t xml:space="preserve">, ktorý sa odpisuje počas očakávanej zostávajúcej životnosti pôvodného </w:t>
      </w:r>
      <w:proofErr w:type="spellStart"/>
      <w:r>
        <w:t>superpočítača</w:t>
      </w:r>
      <w:proofErr w:type="spellEnd"/>
      <w:r>
        <w:t xml:space="preserve">. Percentuálny podiel finančného príspevku Únie na dodatočné </w:t>
      </w:r>
      <w:r>
        <w:lastRenderedPageBreak/>
        <w:t xml:space="preserve">prevádzkové náklady na modernizáciu je rovnaký ako percentuálny podiel finančného príspevku Únie na pôvodný </w:t>
      </w:r>
      <w:proofErr w:type="spellStart"/>
      <w:r>
        <w:t>superpočítač</w:t>
      </w:r>
      <w:proofErr w:type="spellEnd"/>
      <w:r>
        <w:t xml:space="preserve"> </w:t>
      </w:r>
      <w:proofErr w:type="spellStart"/>
      <w:r>
        <w:t>EuroHPC</w:t>
      </w:r>
      <w:proofErr w:type="spellEnd"/>
      <w:r>
        <w:t>.</w:t>
      </w:r>
    </w:p>
    <w:p>
      <w:pPr>
        <w:pStyle w:val="Point0"/>
        <w:spacing w:line="360" w:lineRule="auto"/>
        <w:rPr>
          <w:noProof/>
        </w:rPr>
      </w:pPr>
      <w:r>
        <w:t>9.</w:t>
      </w:r>
      <w:r>
        <w:tab/>
        <w:t>Článok 16 sa mení takto:</w:t>
      </w:r>
    </w:p>
    <w:p>
      <w:pPr>
        <w:pStyle w:val="Point0"/>
        <w:spacing w:line="360" w:lineRule="auto"/>
        <w:ind w:left="1700"/>
        <w:rPr>
          <w:noProof/>
        </w:rPr>
      </w:pPr>
      <w:r>
        <w:t>a)</w:t>
      </w:r>
      <w:r>
        <w:tab/>
        <w:t>vkladá sa tento odsek 1b:</w:t>
      </w:r>
    </w:p>
    <w:p>
      <w:pPr>
        <w:pStyle w:val="Text1"/>
        <w:spacing w:line="360" w:lineRule="auto"/>
        <w:ind w:left="2160" w:hanging="590"/>
        <w:rPr>
          <w:i/>
          <w:iCs/>
          <w:noProof/>
        </w:rPr>
      </w:pPr>
      <w:r>
        <w:t xml:space="preserve">„1b. </w:t>
      </w:r>
      <w:r>
        <w:tab/>
      </w:r>
      <w:proofErr w:type="spellStart"/>
      <w:r>
        <w:t>Superpočítače</w:t>
      </w:r>
      <w:proofErr w:type="spellEnd"/>
      <w:r>
        <w:t xml:space="preserve"> špecializované na umelú inteligenciu a </w:t>
      </w:r>
      <w:proofErr w:type="spellStart"/>
      <w:r>
        <w:t>superpočítače</w:t>
      </w:r>
      <w:proofErr w:type="spellEnd"/>
      <w:r>
        <w:t xml:space="preserve"> </w:t>
      </w:r>
      <w:proofErr w:type="spellStart"/>
      <w:r>
        <w:t>EuroHPC</w:t>
      </w:r>
      <w:proofErr w:type="spellEnd"/>
      <w:r>
        <w:t xml:space="preserve"> modernizované na prácu s umelou inteligenciou sa v prvom rade používajú na vývoj, testovanie, hodnotenie a validáciu rozsiahlych tréningových modelov umelej inteligencie na všeobecné účely a nových aplikácií umelej inteligencie, ako aj na ďalší vývoj riešení v oblasti umelej inteligencie v Únii, ktoré si vyžadujú vysokovýkonnú výpočtovú techniku a vykonávanie rozsiahlych algoritmov umelej inteligencie na riešenie vedeckých problémov.</w:t>
      </w:r>
    </w:p>
    <w:p>
      <w:pPr>
        <w:pStyle w:val="Point0"/>
        <w:spacing w:line="360" w:lineRule="auto"/>
        <w:ind w:left="1700"/>
        <w:rPr>
          <w:noProof/>
        </w:rPr>
      </w:pPr>
      <w:r>
        <w:t>b)</w:t>
      </w:r>
      <w:r>
        <w:tab/>
        <w:t>vkladá sa tento odsek 2b:</w:t>
      </w:r>
    </w:p>
    <w:p>
      <w:pPr>
        <w:pStyle w:val="Text1"/>
        <w:spacing w:line="360" w:lineRule="auto"/>
        <w:ind w:left="2160" w:hanging="590"/>
        <w:rPr>
          <w:noProof/>
        </w:rPr>
      </w:pPr>
      <w:r>
        <w:t xml:space="preserve">„2b. </w:t>
      </w:r>
      <w:r>
        <w:tab/>
        <w:t xml:space="preserve">Správna rada vymedzí ▌podmienky prístupu pre </w:t>
      </w:r>
      <w:proofErr w:type="spellStart"/>
      <w:r>
        <w:t>superpočítače</w:t>
      </w:r>
      <w:proofErr w:type="spellEnd"/>
      <w:r>
        <w:t xml:space="preserve"> špecializované na umelú inteligenciu a </w:t>
      </w:r>
      <w:proofErr w:type="spellStart"/>
      <w:r>
        <w:t>superpočítače</w:t>
      </w:r>
      <w:proofErr w:type="spellEnd"/>
      <w:r>
        <w:t xml:space="preserve"> </w:t>
      </w:r>
      <w:proofErr w:type="spellStart"/>
      <w:r>
        <w:t>EuroHPC</w:t>
      </w:r>
      <w:proofErr w:type="spellEnd"/>
      <w:r>
        <w:t xml:space="preserve"> modernizované na prácu s umelou inteligenciou v súlade s článkom 17, pričom zohľadní osobitné potreby </w:t>
      </w:r>
      <w:proofErr w:type="spellStart"/>
      <w:r>
        <w:t>startupového</w:t>
      </w:r>
      <w:proofErr w:type="spellEnd"/>
      <w:r>
        <w:t xml:space="preserve"> a výskumného ekosystému umelej inteligencie. </w:t>
      </w:r>
      <w:r>
        <w:rPr>
          <w:b/>
          <w:bCs/>
          <w:i/>
          <w:iCs/>
        </w:rPr>
        <w:t xml:space="preserve">Správna rada môže vymedziť osobitné podmienky prístupu pre rôzne typy používateľov alebo aplikácií vrátane </w:t>
      </w:r>
      <w:r>
        <w:t>osobitného prístupu</w:t>
      </w:r>
      <w:r>
        <w:rPr>
          <w:b/>
          <w:bCs/>
          <w:i/>
          <w:iCs/>
        </w:rPr>
        <w:t xml:space="preserve"> pre </w:t>
      </w:r>
      <w:proofErr w:type="spellStart"/>
      <w:r>
        <w:rPr>
          <w:b/>
          <w:bCs/>
          <w:i/>
          <w:iCs/>
        </w:rPr>
        <w:t>startupy</w:t>
      </w:r>
      <w:proofErr w:type="spellEnd"/>
      <w:r>
        <w:rPr>
          <w:b/>
          <w:bCs/>
          <w:i/>
          <w:iCs/>
        </w:rPr>
        <w:t xml:space="preserve"> a MSP.</w:t>
      </w:r>
      <w:r>
        <w:rPr>
          <w:b/>
          <w:i/>
        </w:rPr>
        <w:t xml:space="preserve"> </w:t>
      </w:r>
      <w:r>
        <w:rPr>
          <w:b/>
          <w:bCs/>
          <w:i/>
          <w:iCs/>
        </w:rPr>
        <w:t>Bezpečnosť a kvalita služieb musí byť rovnaká pre všetkých používateľov v rámci každej kategórie používateľov.</w:t>
      </w:r>
      <w:r>
        <w:t xml:space="preserve"> Na prístup sú oprávnené len návrhy na vývoj dôveryhodných a etických modelov, systémov a aplikácií umelej inteligencie, ktoré sú v súlade s hodnotami </w:t>
      </w:r>
      <w:r>
        <w:rPr>
          <w:b/>
          <w:bCs/>
          <w:i/>
          <w:iCs/>
        </w:rPr>
        <w:t>Únie, najmä s tými, ktoré sú zakotvené v článku 2 Zmluvy o Európskej únii a v Charte základných práv Európskej únie.</w:t>
      </w:r>
      <w:r>
        <w:t xml:space="preserve"> </w:t>
      </w:r>
      <w:r>
        <w:rPr>
          <w:b/>
          <w:bCs/>
          <w:i/>
          <w:iCs/>
        </w:rPr>
        <w:t xml:space="preserve">Kritériá prístupu, metodiky a usmernenia týkajúce sa </w:t>
      </w:r>
      <w:proofErr w:type="spellStart"/>
      <w:r>
        <w:rPr>
          <w:b/>
          <w:bCs/>
          <w:i/>
          <w:iCs/>
        </w:rPr>
        <w:t>prioritizácie</w:t>
      </w:r>
      <w:proofErr w:type="spellEnd"/>
      <w:r>
        <w:rPr>
          <w:b/>
          <w:bCs/>
          <w:i/>
          <w:iCs/>
        </w:rPr>
        <w:t xml:space="preserve"> prístupu sa vymedzia v súlade s prístupom založeným na etike už v štádiu návrhu pre umelú inteligenciu a s podporou mechanizmu etického hodnotenia programu Horizont Európa.“;</w:t>
      </w:r>
    </w:p>
    <w:p>
      <w:pPr>
        <w:pStyle w:val="Point0"/>
        <w:spacing w:line="360" w:lineRule="auto"/>
        <w:rPr>
          <w:noProof/>
        </w:rPr>
      </w:pPr>
      <w:r>
        <w:t>10.</w:t>
      </w:r>
      <w:r>
        <w:tab/>
        <w:t>V článku 17 sa odsek 1 nahrádza takto:</w:t>
      </w:r>
    </w:p>
    <w:p>
      <w:pPr>
        <w:pStyle w:val="Text1"/>
        <w:spacing w:line="360" w:lineRule="auto"/>
        <w:ind w:left="1440" w:hanging="720"/>
        <w:rPr>
          <w:noProof/>
        </w:rPr>
      </w:pPr>
      <w:r>
        <w:lastRenderedPageBreak/>
        <w:t xml:space="preserve">„1. </w:t>
      </w:r>
      <w:r>
        <w:tab/>
        <w:t xml:space="preserve">Podiel Únie na čase na prístup ku každému špičkovému </w:t>
      </w:r>
      <w:proofErr w:type="spellStart"/>
      <w:r>
        <w:t>superpočítaču</w:t>
      </w:r>
      <w:proofErr w:type="spellEnd"/>
      <w:r>
        <w:t xml:space="preserve">, kvantovému </w:t>
      </w:r>
      <w:proofErr w:type="spellStart"/>
      <w:r>
        <w:t>superpočítaču</w:t>
      </w:r>
      <w:proofErr w:type="spellEnd"/>
      <w:r>
        <w:t xml:space="preserve"> a </w:t>
      </w:r>
      <w:proofErr w:type="spellStart"/>
      <w:r>
        <w:t>superpočítaču</w:t>
      </w:r>
      <w:proofErr w:type="spellEnd"/>
      <w:r>
        <w:t xml:space="preserve"> </w:t>
      </w:r>
      <w:proofErr w:type="spellStart"/>
      <w:r>
        <w:t>EuroHPC</w:t>
      </w:r>
      <w:proofErr w:type="spellEnd"/>
      <w:r>
        <w:t xml:space="preserve"> špecializovanému na umelú inteligenciu je priamo úmerný finančnému príspevku Únie uvedenému v článku 5 ods. 1 na celkové náklady na vlastníctvo </w:t>
      </w:r>
      <w:proofErr w:type="spellStart"/>
      <w:r>
        <w:t>superpočítača</w:t>
      </w:r>
      <w:proofErr w:type="spellEnd"/>
      <w:r>
        <w:t xml:space="preserve"> </w:t>
      </w:r>
      <w:proofErr w:type="spellStart"/>
      <w:r>
        <w:t>EuroHPC</w:t>
      </w:r>
      <w:proofErr w:type="spellEnd"/>
      <w:r>
        <w:t xml:space="preserve">, a teda neprekročí 50 % celkového času na prístup k </w:t>
      </w:r>
      <w:proofErr w:type="spellStart"/>
      <w:r>
        <w:t>superpočítaču</w:t>
      </w:r>
      <w:proofErr w:type="spellEnd"/>
      <w:r>
        <w:t xml:space="preserve"> </w:t>
      </w:r>
      <w:proofErr w:type="spellStart"/>
      <w:r>
        <w:t>EuroHPC</w:t>
      </w:r>
      <w:proofErr w:type="spellEnd"/>
      <w:r>
        <w:t>.“</w:t>
      </w:r>
    </w:p>
    <w:p>
      <w:pPr>
        <w:pStyle w:val="Titrearticle"/>
        <w:spacing w:line="360" w:lineRule="auto"/>
        <w:rPr>
          <w:noProof/>
        </w:rPr>
      </w:pPr>
      <w:r>
        <w:tab/>
        <w:t>Článok 2</w:t>
      </w:r>
    </w:p>
    <w:p>
      <w:pPr>
        <w:spacing w:line="360" w:lineRule="auto"/>
        <w:rPr>
          <w:noProof/>
        </w:rPr>
      </w:pPr>
      <w:r>
        <w:t xml:space="preserve">Toto nariadenie nadobúda účinnosť dvadsiatym dňom po jeho uverejnení v </w:t>
      </w:r>
      <w:r>
        <w:rPr>
          <w:i/>
          <w:iCs/>
        </w:rPr>
        <w:t>Úradnom vestníku Európskej únie.</w:t>
      </w:r>
    </w:p>
    <w:p>
      <w:pPr>
        <w:pStyle w:val="Applicationdirecte"/>
        <w:spacing w:line="360" w:lineRule="auto"/>
        <w:rPr>
          <w:noProof/>
        </w:rPr>
      </w:pPr>
      <w:r>
        <w:t>Toto nariadenie je záväzné v celom rozsahu a priamo uplatniteľné vo všetkých členských štátoch.</w:t>
      </w:r>
    </w:p>
    <w:p>
      <w:pPr>
        <w:pStyle w:val="Fait"/>
        <w:spacing w:line="360" w:lineRule="auto"/>
        <w:rPr>
          <w:noProof/>
        </w:rPr>
      </w:pPr>
      <w:r>
        <w:t>V …</w:t>
      </w:r>
    </w:p>
    <w:p>
      <w:pPr>
        <w:pStyle w:val="Institutionquisigne"/>
        <w:spacing w:line="360" w:lineRule="auto"/>
        <w:rPr>
          <w:noProof/>
        </w:rPr>
      </w:pPr>
      <w:r>
        <w:tab/>
        <w:t>Za Radu</w:t>
      </w:r>
    </w:p>
    <w:p>
      <w:pPr>
        <w:pStyle w:val="Personnequisigne"/>
        <w:spacing w:line="360" w:lineRule="auto"/>
        <w:jc w:val="both"/>
      </w:pPr>
      <w:r>
        <w:tab/>
        <w:t>predseda/predsedníčka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t>*</w:t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Pozmeňujúce návrhy: nový alebo zmenený text sa označuje hrubou kurzívou; vypustenia sa označujú symbolom ▌.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…, …, s. ….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Stanovisko z..., Ú. v. EÚ C …, …, s. ….</w:t>
      </w:r>
    </w:p>
  </w:footnote>
  <w:footnote w:id="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normaltextrun"/>
          <w:sz w:val="24"/>
          <w:lang w:val="sk-SK"/>
        </w:rPr>
        <w:t xml:space="preserve"> </w:t>
      </w:r>
      <w:r>
        <w:rPr>
          <w:rStyle w:val="normaltextrun"/>
          <w:sz w:val="24"/>
          <w:lang w:val="sk-SK"/>
        </w:rPr>
        <w:tab/>
        <w:t>Nariadenie Európskeho parlamentu a Rady (EÚ) 2024/ ..., ktorým sa stanovujú harmonizované pravidlá v oblasti umelej inteligencie (akt o umelej inteligencii) a menia niektoré legislatívne akty Únie (Ú. v. EÚ L ...).</w:t>
      </w:r>
    </w:p>
  </w:footnote>
  <w:footnote w:id="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Nariadenie Rady (EÚ) 2021/1173 z 13. júla 2021 o zriadení spoločného podniku pre európsku vysokovýkonnú výpočtovú techniku a o zrušení nariadenia (EÚ) 2018/1488 (Ú. v. EÚ L 256, 19.7.2021, s. </w:t>
      </w:r>
      <w:r>
        <w:rPr>
          <w:sz w:val="24"/>
          <w:lang w:val="sk-SK"/>
        </w:rPr>
        <w:t xml:space="preserve">3, ELI: </w:t>
      </w:r>
      <w:hyperlink r:id="rId1" w:history="1">
        <w:r>
          <w:rPr>
            <w:rStyle w:val="Hyperlink"/>
            <w:sz w:val="24"/>
            <w:lang w:val="sk-SK"/>
          </w:rPr>
          <w:t>http://data.europa.eu/eli/reg/2021/1173/oj</w:t>
        </w:r>
      </w:hyperlink>
      <w:r>
        <w:rPr>
          <w:sz w:val="24"/>
          <w:lang w:val="sk-SK"/>
        </w:rPr>
        <w:t>).</w:t>
      </w:r>
    </w:p>
  </w:footnote>
  <w:footnote w:id="6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b/>
          <w:bCs/>
          <w:i/>
          <w:iCs/>
          <w:sz w:val="24"/>
          <w:lang w:val="sk-SK"/>
        </w:rPr>
        <w:t xml:space="preserve"> </w:t>
      </w:r>
      <w:r>
        <w:rPr>
          <w:b/>
          <w:bCs/>
          <w:i/>
          <w:iCs/>
          <w:sz w:val="24"/>
          <w:lang w:val="sk-SK"/>
        </w:rPr>
        <w:tab/>
        <w:t>Prijaté texty, P9_TA(2023)0480.</w:t>
      </w:r>
    </w:p>
  </w:footnote>
  <w:footnote w:id="7">
    <w:p>
      <w:pPr>
        <w:pStyle w:val="FootnoteText"/>
        <w:ind w:left="567" w:hanging="567"/>
        <w:rPr>
          <w:b/>
          <w:i/>
          <w:sz w:val="24"/>
          <w:lang w:val="sk-SK"/>
        </w:rPr>
      </w:pPr>
      <w:r>
        <w:rPr>
          <w:rStyle w:val="FootnoteReference"/>
          <w:b/>
          <w:i/>
          <w:sz w:val="24"/>
          <w:lang w:val="sk-SK"/>
        </w:rPr>
        <w:footnoteRef/>
      </w:r>
      <w:r>
        <w:rPr>
          <w:b/>
          <w:bCs/>
          <w:i/>
          <w:iCs/>
          <w:sz w:val="24"/>
          <w:lang w:val="sk-SK"/>
        </w:rPr>
        <w:t xml:space="preserve"> </w:t>
      </w:r>
      <w:r>
        <w:rPr>
          <w:b/>
          <w:bCs/>
          <w:i/>
          <w:iCs/>
          <w:sz w:val="24"/>
          <w:lang w:val="sk-SK"/>
        </w:rPr>
        <w:tab/>
        <w:t>Smernica Európskeho parlamentu a Rady (EÚ) 2023/1791 z 13. septembra 2023 o energetickej efektívnosti a o zmene nariadenia (EÚ) 2023/955 (Ú. v. EÚ L 231, 20.9.2023, s.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1/2024"/>
    <w:docVar w:name="dvlangue" w:val="SK"/>
    <w:docVar w:name="dvnumam" w:val="0"/>
    <w:docVar w:name="dvpe" w:val="759.744"/>
    <w:docVar w:name="dvrapporteur" w:val="Spravodajkyňa: "/>
    <w:docVar w:name="dvstar" w:val="*"/>
    <w:docVar w:name="dvtitre" w:val="Legislatívne uznesenie Európskeho parlamentu z xx. apríla 2024 o návrhu nariadenia Rady, ktorým sa mení nariadenie (EÚ) 2021/1173, pokiaľ ide o iniciatívu EuroHPC pre startupy na posilnenie vedúceho postavenia Európy v oblasti dôveryhodnej umelej inteligencie(COM(2024)0029 – C9-0013/2024 – 2024/0016(CNS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49E30-0975-49F1-B534-394BCBE0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ext1">
    <w:name w:val="Text 1"/>
    <w:basedOn w:val="Normal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</w:style>
  <w:style w:type="character" w:customStyle="1" w:styleId="eop">
    <w:name w:val="eop"/>
    <w:basedOn w:val="DefaultParagraphFont"/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9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1/11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E50C7-216E-49E0-9A9C-53ADA7EE2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3300</Words>
  <Characters>21901</Characters>
  <Application>Microsoft Office Word</Application>
  <DocSecurity>0</DocSecurity>
  <Lines>182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3</cp:revision>
  <cp:lastPrinted>2004-11-19T15:42:00Z</cp:lastPrinted>
  <dcterms:created xsi:type="dcterms:W3CDTF">2024-04-24T19:54:00Z</dcterms:created>
  <dcterms:modified xsi:type="dcterms:W3CDTF">2024-09-09T12:40:00Z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A9-0161/2024</vt:lpwstr>
  </property>
  <property fmtid="{D5CDD505-2E9C-101B-9397-08002B2CF9AE}" pid="4" name="&lt;Type&gt;">
    <vt:lpwstr>RR</vt:lpwstr>
  </property>
</Properties>
</file>