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4EAF" w:rsidTr="0010095E">
        <w:trPr>
          <w:trHeight w:hRule="exact" w:val="1418"/>
        </w:trPr>
        <w:tc>
          <w:tcPr>
            <w:tcW w:w="6804" w:type="dxa"/>
            <w:shd w:val="clear" w:color="auto" w:fill="auto"/>
            <w:vAlign w:val="center"/>
          </w:tcPr>
          <w:p w:rsidR="00751A4A" w:rsidRPr="00B84EAF" w:rsidRDefault="002C3492" w:rsidP="0010095E">
            <w:pPr>
              <w:pStyle w:val="EPName"/>
            </w:pPr>
            <w:r w:rsidRPr="00B84EAF">
              <w:t>Europaparlamentet</w:t>
            </w:r>
          </w:p>
          <w:p w:rsidR="00751A4A" w:rsidRPr="00B84EAF" w:rsidRDefault="00817416" w:rsidP="00756632">
            <w:pPr>
              <w:pStyle w:val="EPTerm"/>
              <w:rPr>
                <w:rStyle w:val="HideTWBExt"/>
                <w:noProof w:val="0"/>
                <w:vanish w:val="0"/>
                <w:color w:val="auto"/>
              </w:rPr>
            </w:pPr>
            <w:r w:rsidRPr="00B84EAF">
              <w:t>2019-2024</w:t>
            </w:r>
          </w:p>
        </w:tc>
        <w:tc>
          <w:tcPr>
            <w:tcW w:w="2268" w:type="dxa"/>
            <w:shd w:val="clear" w:color="auto" w:fill="auto"/>
          </w:tcPr>
          <w:p w:rsidR="00751A4A" w:rsidRPr="00B84EAF" w:rsidRDefault="00187494" w:rsidP="0010095E">
            <w:pPr>
              <w:pStyle w:val="EPLogo"/>
            </w:pPr>
            <w:r w:rsidRPr="00B84EA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84EAF" w:rsidRDefault="00D058B8" w:rsidP="004C5D52">
      <w:pPr>
        <w:pStyle w:val="LineTop"/>
      </w:pPr>
    </w:p>
    <w:p w:rsidR="00680577" w:rsidRPr="00B84EAF" w:rsidRDefault="002C3492" w:rsidP="00680577">
      <w:pPr>
        <w:pStyle w:val="EPBodyTA1"/>
      </w:pPr>
      <w:r w:rsidRPr="00B84EAF">
        <w:t>ANTAGNA TEXTER</w:t>
      </w:r>
    </w:p>
    <w:p w:rsidR="00D058B8" w:rsidRPr="00B84EAF" w:rsidRDefault="00D058B8" w:rsidP="00D058B8">
      <w:pPr>
        <w:pStyle w:val="LineBottom"/>
      </w:pPr>
    </w:p>
    <w:p w:rsidR="002C3492" w:rsidRPr="00B84EAF" w:rsidRDefault="002C3492" w:rsidP="002C3492">
      <w:pPr>
        <w:pStyle w:val="ATHeading1"/>
      </w:pPr>
      <w:bookmarkStart w:id="0" w:name="TANumber"/>
      <w:r w:rsidRPr="00B84EAF">
        <w:t>P9_TA(2024)0</w:t>
      </w:r>
      <w:bookmarkEnd w:id="0"/>
      <w:r w:rsidR="00C663CC" w:rsidRPr="00B84EAF">
        <w:t>359</w:t>
      </w:r>
    </w:p>
    <w:p w:rsidR="002C3492" w:rsidRPr="00B84EAF" w:rsidRDefault="00B84EAF" w:rsidP="00B84EAF">
      <w:pPr>
        <w:pStyle w:val="ATHeading2"/>
      </w:pPr>
      <w:bookmarkStart w:id="1" w:name="title"/>
      <w:proofErr w:type="spellStart"/>
      <w:r w:rsidRPr="00B84EAF">
        <w:t>EuroHPC</w:t>
      </w:r>
      <w:proofErr w:type="spellEnd"/>
      <w:r w:rsidRPr="00B84EAF">
        <w:t>-initiativ för uppstartsföretag för att stärka det europeiska ledarskapet inom tillförlitlig</w:t>
      </w:r>
      <w:r w:rsidRPr="00B84EAF">
        <w:t xml:space="preserve"> </w:t>
      </w:r>
      <w:r w:rsidRPr="00B84EAF">
        <w:t>artific</w:t>
      </w:r>
      <w:bookmarkStart w:id="2" w:name="_GoBack"/>
      <w:bookmarkEnd w:id="2"/>
      <w:r w:rsidRPr="00B84EAF">
        <w:t>iell intelligens</w:t>
      </w:r>
    </w:p>
    <w:p w:rsidR="002C3492" w:rsidRPr="00B84EAF" w:rsidRDefault="002C3492" w:rsidP="002C3492">
      <w:pPr>
        <w:rPr>
          <w:i/>
          <w:vanish/>
        </w:rPr>
      </w:pPr>
      <w:r w:rsidRPr="00B84EAF">
        <w:rPr>
          <w:i/>
        </w:rPr>
        <w:fldChar w:fldCharType="begin"/>
      </w:r>
      <w:r w:rsidRPr="00B84EAF">
        <w:rPr>
          <w:i/>
        </w:rPr>
        <w:instrText xml:space="preserve"> TC"(</w:instrText>
      </w:r>
      <w:bookmarkStart w:id="3" w:name="DocNumber"/>
      <w:r w:rsidRPr="00B84EAF">
        <w:rPr>
          <w:i/>
        </w:rPr>
        <w:instrText>A9-0161/2024</w:instrText>
      </w:r>
      <w:bookmarkEnd w:id="3"/>
      <w:r w:rsidRPr="00B84EAF">
        <w:rPr>
          <w:i/>
        </w:rPr>
        <w:instrText xml:space="preserve"> - Föredragande: Maria da Graça Carvalho)"\l3 \n&gt; \* MERGEFORMAT </w:instrText>
      </w:r>
      <w:r w:rsidRPr="00B84EAF">
        <w:rPr>
          <w:i/>
        </w:rPr>
        <w:fldChar w:fldCharType="end"/>
      </w:r>
    </w:p>
    <w:p w:rsidR="002C3492" w:rsidRPr="00B84EAF" w:rsidRDefault="002C3492" w:rsidP="002C3492">
      <w:pPr>
        <w:rPr>
          <w:vanish/>
        </w:rPr>
      </w:pPr>
      <w:bookmarkStart w:id="4" w:name="Commission"/>
      <w:r w:rsidRPr="00B84EAF">
        <w:rPr>
          <w:vanish/>
        </w:rPr>
        <w:t>Utskottet för industrifrågor, forskning och energi</w:t>
      </w:r>
      <w:bookmarkEnd w:id="4"/>
    </w:p>
    <w:p w:rsidR="002C3492" w:rsidRPr="00B84EAF" w:rsidRDefault="002C3492" w:rsidP="002C3492">
      <w:pPr>
        <w:rPr>
          <w:vanish/>
        </w:rPr>
      </w:pPr>
      <w:bookmarkStart w:id="5" w:name="PE"/>
      <w:r w:rsidRPr="00B84EAF">
        <w:rPr>
          <w:vanish/>
        </w:rPr>
        <w:t>PE759.744</w:t>
      </w:r>
      <w:bookmarkEnd w:id="5"/>
    </w:p>
    <w:p w:rsidR="002C3492" w:rsidRPr="00B84EAF" w:rsidRDefault="002C3492" w:rsidP="002C3492">
      <w:pPr>
        <w:pStyle w:val="ATHeading3"/>
      </w:pPr>
      <w:bookmarkStart w:id="6" w:name="Sujet"/>
      <w:r w:rsidRPr="00B84EAF">
        <w:t xml:space="preserve">Europaparlamentets lagstiftningsresolution av den </w:t>
      </w:r>
      <w:r w:rsidR="00590307" w:rsidRPr="00B84EAF">
        <w:t xml:space="preserve">24 </w:t>
      </w:r>
      <w:r w:rsidR="00E4147F" w:rsidRPr="00B84EAF">
        <w:t xml:space="preserve">april </w:t>
      </w:r>
      <w:r w:rsidRPr="00B84EAF">
        <w:t xml:space="preserve">2024 om förslaget till rådets förordning om ändring av förordning (EU) 2021/1173 vad gäller ett </w:t>
      </w:r>
      <w:proofErr w:type="spellStart"/>
      <w:r w:rsidRPr="00B84EAF">
        <w:t>EuroHPC</w:t>
      </w:r>
      <w:proofErr w:type="spellEnd"/>
      <w:r w:rsidRPr="00B84EAF">
        <w:t>-initiativ för uppstartsföretag för att stärka det europeiska ledarskapet inom tillförlitlig artificiell intelligens</w:t>
      </w:r>
      <w:bookmarkEnd w:id="6"/>
      <w:r w:rsidRPr="00B84EAF">
        <w:t xml:space="preserve"> </w:t>
      </w:r>
      <w:bookmarkStart w:id="7" w:name="References"/>
      <w:r w:rsidRPr="00B84EAF">
        <w:t>(COM(2024)0029 – C9-0013/2024 – 2024/0016(CNS))</w:t>
      </w:r>
      <w:bookmarkEnd w:id="7"/>
    </w:p>
    <w:p w:rsidR="002C3492" w:rsidRPr="00B84EAF" w:rsidRDefault="002C3492" w:rsidP="002C3492"/>
    <w:p w:rsidR="00D95D9A" w:rsidRPr="00B84EAF" w:rsidRDefault="00D95D9A" w:rsidP="00D95D9A">
      <w:pPr>
        <w:pStyle w:val="NormalBold"/>
      </w:pPr>
      <w:bookmarkStart w:id="8" w:name="TextBodyBegin"/>
      <w:bookmarkEnd w:id="1"/>
      <w:bookmarkEnd w:id="8"/>
      <w:r w:rsidRPr="00B84EAF">
        <w:t>(Särskilt lagstiftningsförfarande – samråd)</w:t>
      </w:r>
    </w:p>
    <w:p w:rsidR="00D95D9A" w:rsidRPr="00B84EAF" w:rsidRDefault="00D95D9A" w:rsidP="00D95D9A">
      <w:pPr>
        <w:pStyle w:val="EPComma"/>
      </w:pPr>
      <w:r w:rsidRPr="00B84EAF">
        <w:rPr>
          <w:i/>
          <w:iCs/>
        </w:rPr>
        <w:t>Europaparlamentet utfärdar denna resolution</w:t>
      </w:r>
    </w:p>
    <w:p w:rsidR="00D95D9A" w:rsidRPr="00B84EAF" w:rsidRDefault="00D95D9A" w:rsidP="00D95D9A">
      <w:pPr>
        <w:pStyle w:val="NormalHanging12a"/>
      </w:pPr>
      <w:r w:rsidRPr="00B84EAF">
        <w:t>–</w:t>
      </w:r>
      <w:r w:rsidRPr="00B84EAF">
        <w:tab/>
        <w:t>med beaktande av kommissionens förslag till rådet (COM(2024)0029),</w:t>
      </w:r>
    </w:p>
    <w:p w:rsidR="00D95D9A" w:rsidRPr="00B84EAF" w:rsidRDefault="00D95D9A" w:rsidP="00D95D9A">
      <w:pPr>
        <w:pStyle w:val="NormalHanging12a"/>
      </w:pPr>
      <w:r w:rsidRPr="00B84EAF">
        <w:t>–</w:t>
      </w:r>
      <w:r w:rsidRPr="00B84EAF">
        <w:tab/>
        <w:t>med beaktande av artikel 187 och artikel 188 första stycket i fördraget om Europeiska unionens funktionssätt i enlighet med vilka Europaparlamentet har hörts av rådet (C9-0013/2024),</w:t>
      </w:r>
    </w:p>
    <w:p w:rsidR="00D95D9A" w:rsidRPr="00B84EAF" w:rsidRDefault="00D95D9A" w:rsidP="00D95D9A">
      <w:pPr>
        <w:pStyle w:val="NormalHanging12a"/>
      </w:pPr>
      <w:r w:rsidRPr="00B84EAF">
        <w:t>–</w:t>
      </w:r>
      <w:r w:rsidRPr="00B84EAF">
        <w:tab/>
        <w:t>med beaktande av artikel 82 i arbetsordningen,</w:t>
      </w:r>
    </w:p>
    <w:p w:rsidR="00D95D9A" w:rsidRPr="00B84EAF" w:rsidRDefault="00D95D9A" w:rsidP="00D95D9A">
      <w:pPr>
        <w:pStyle w:val="NormalHanging12a"/>
      </w:pPr>
      <w:r w:rsidRPr="00B84EAF">
        <w:t>–</w:t>
      </w:r>
      <w:r w:rsidRPr="00B84EAF">
        <w:tab/>
        <w:t>med beaktande av betänkandet från utskottet för industrifrågor, forskning och energi (A9-0161/2024).</w:t>
      </w:r>
    </w:p>
    <w:p w:rsidR="00D95D9A" w:rsidRPr="00B84EAF" w:rsidRDefault="00D95D9A" w:rsidP="00D95D9A">
      <w:pPr>
        <w:pStyle w:val="NormalHanging12a"/>
      </w:pPr>
      <w:r w:rsidRPr="00B84EAF">
        <w:t>1.</w:t>
      </w:r>
      <w:r w:rsidRPr="00B84EAF">
        <w:tab/>
        <w:t>Europaparlamentet godkänner kommissionens förslag såsom ändrat av parlamentet.</w:t>
      </w:r>
    </w:p>
    <w:p w:rsidR="00D95D9A" w:rsidRPr="00B84EAF" w:rsidRDefault="00D95D9A" w:rsidP="00D95D9A">
      <w:pPr>
        <w:pStyle w:val="NormalHanging12a"/>
      </w:pPr>
      <w:r w:rsidRPr="00B84EAF">
        <w:t>2.</w:t>
      </w:r>
      <w:r w:rsidRPr="00B84EAF">
        <w:tab/>
        <w:t>Europaparlamentet uppmanar kommissionen att ändra sitt förslag i överensstämmelse härmed, i enlighet med artikel 293.2 i fördraget om Europeiska unionens funktionssätt.</w:t>
      </w:r>
    </w:p>
    <w:p w:rsidR="00D95D9A" w:rsidRPr="00B84EAF" w:rsidRDefault="00D95D9A" w:rsidP="00D95D9A">
      <w:pPr>
        <w:pStyle w:val="NormalHanging12a"/>
      </w:pPr>
      <w:r w:rsidRPr="00B84EAF">
        <w:t>3.</w:t>
      </w:r>
      <w:r w:rsidRPr="00B84EAF">
        <w:tab/>
        <w:t>Rådet uppmanas att underrätta Europaparlamentet om rådet har för avsikt att avvika från den text som parlamentet har godkänt.</w:t>
      </w:r>
    </w:p>
    <w:p w:rsidR="00D95D9A" w:rsidRPr="00B84EAF" w:rsidRDefault="00D95D9A" w:rsidP="00D95D9A">
      <w:pPr>
        <w:pStyle w:val="NormalHanging12a"/>
      </w:pPr>
      <w:r w:rsidRPr="00B84EAF">
        <w:t>4.</w:t>
      </w:r>
      <w:r w:rsidRPr="00B84EAF">
        <w:tab/>
        <w:t>Rådet uppmanas att på nytt höra Europaparlamentet om rådet har för avsikt att väsentligt ändra kommissionens förslag.</w:t>
      </w:r>
    </w:p>
    <w:p w:rsidR="00D95D9A" w:rsidRPr="00B84EAF" w:rsidRDefault="00D95D9A" w:rsidP="00D95D9A">
      <w:pPr>
        <w:pStyle w:val="NormalHanging12a"/>
      </w:pPr>
      <w:r w:rsidRPr="00B84EAF">
        <w:t>5.</w:t>
      </w:r>
      <w:r w:rsidRPr="00B84EAF">
        <w:tab/>
        <w:t>Europaparlamentet uppdrar åt talmannen att översända parlamentets ståndpunkt till rådet, kommissionen och de nationella parlamenten.</w:t>
      </w:r>
    </w:p>
    <w:p w:rsidR="00D95D9A" w:rsidRPr="00B84EAF" w:rsidRDefault="00D95D9A" w:rsidP="00D95D9A">
      <w:pPr>
        <w:widowControl/>
      </w:pPr>
      <w:r w:rsidRPr="00B84EAF">
        <w:br w:type="page"/>
      </w:r>
    </w:p>
    <w:p w:rsidR="00D95D9A" w:rsidRPr="00B84EAF" w:rsidRDefault="00D95D9A" w:rsidP="00D95D9A">
      <w:pPr>
        <w:pStyle w:val="AmNumberTabs"/>
        <w:keepNext/>
      </w:pPr>
      <w:r w:rsidRPr="00B84EAF">
        <w:lastRenderedPageBreak/>
        <w:t>Ändring</w:t>
      </w:r>
      <w:r w:rsidRPr="00B84EAF">
        <w:tab/>
      </w:r>
      <w:r w:rsidRPr="00B84EAF">
        <w:tab/>
        <w:t>1</w:t>
      </w:r>
    </w:p>
    <w:p w:rsidR="00D95D9A" w:rsidRPr="00B84EAF" w:rsidRDefault="00D95D9A" w:rsidP="00D95D9A">
      <w:pPr>
        <w:pStyle w:val="AmHeadingConsam"/>
      </w:pPr>
      <w:r w:rsidRPr="00B84EAF">
        <w:t>EUROPAPARLAMENTETS ÄNDRINGSFÖRSLAG</w:t>
      </w:r>
      <w:r w:rsidRPr="00B84EAF">
        <w:rPr>
          <w:rStyle w:val="FootnoteReference"/>
        </w:rPr>
        <w:footnoteReference w:customMarkFollows="1" w:id="1"/>
        <w:t>*</w:t>
      </w:r>
    </w:p>
    <w:p w:rsidR="00D95D9A" w:rsidRPr="00B84EAF" w:rsidRDefault="00D95D9A" w:rsidP="00D95D9A">
      <w:pPr>
        <w:pStyle w:val="NormalCenter12a"/>
      </w:pPr>
      <w:r w:rsidRPr="00B84EAF">
        <w:t>till kommissionens förslag</w:t>
      </w:r>
    </w:p>
    <w:p w:rsidR="00D95D9A" w:rsidRPr="00B84EAF" w:rsidRDefault="00D95D9A" w:rsidP="00D95D9A">
      <w:pPr>
        <w:pStyle w:val="NormalCenter12a"/>
      </w:pPr>
      <w:r w:rsidRPr="00B84EAF">
        <w:t>---------------------------------------------------------</w:t>
      </w:r>
    </w:p>
    <w:p w:rsidR="00D95D9A" w:rsidRPr="00B84EAF" w:rsidRDefault="00D95D9A" w:rsidP="00D95D9A">
      <w:pPr>
        <w:pStyle w:val="Rfrenceinterinstitutionnelle"/>
        <w:rPr>
          <w:noProof/>
        </w:rPr>
      </w:pPr>
      <w:r w:rsidRPr="00B84EAF">
        <w:t>2024/0016(CNS)</w:t>
      </w:r>
    </w:p>
    <w:p w:rsidR="00D95D9A" w:rsidRPr="00B84EAF" w:rsidRDefault="00D95D9A" w:rsidP="00D95D9A">
      <w:pPr>
        <w:pStyle w:val="Statut"/>
        <w:rPr>
          <w:noProof/>
        </w:rPr>
      </w:pPr>
      <w:r w:rsidRPr="00B84EAF">
        <w:t>Förslag till</w:t>
      </w:r>
    </w:p>
    <w:p w:rsidR="00D95D9A" w:rsidRPr="00B84EAF" w:rsidRDefault="00D95D9A" w:rsidP="00D95D9A">
      <w:pPr>
        <w:pStyle w:val="Typedudocument"/>
        <w:rPr>
          <w:noProof/>
        </w:rPr>
      </w:pPr>
      <w:r w:rsidRPr="00B84EAF">
        <w:t>RÅDETS FÖRORDNING</w:t>
      </w:r>
    </w:p>
    <w:p w:rsidR="00D95D9A" w:rsidRPr="00B84EAF" w:rsidRDefault="00D95D9A" w:rsidP="00D95D9A">
      <w:pPr>
        <w:pStyle w:val="Titreobjet"/>
        <w:rPr>
          <w:noProof/>
        </w:rPr>
      </w:pPr>
      <w:r w:rsidRPr="00B84EAF">
        <w:t xml:space="preserve">om ändring av förordning (EU) 2021/1173 vad gäller ett </w:t>
      </w:r>
      <w:proofErr w:type="spellStart"/>
      <w:r w:rsidRPr="00B84EAF">
        <w:t>EuroHPC</w:t>
      </w:r>
      <w:proofErr w:type="spellEnd"/>
      <w:r w:rsidRPr="00B84EAF">
        <w:t>-initiativ för uppstartsföretag för att stärka det europeiska ledarskapet inom tillförlitlig artificiell intelligens</w:t>
      </w:r>
    </w:p>
    <w:p w:rsidR="00D95D9A" w:rsidRPr="00B84EAF" w:rsidRDefault="00D95D9A" w:rsidP="0031542B">
      <w:pPr>
        <w:pStyle w:val="Institutionquiagit"/>
        <w:spacing w:before="120" w:line="360" w:lineRule="auto"/>
        <w:jc w:val="left"/>
        <w:rPr>
          <w:noProof/>
        </w:rPr>
      </w:pPr>
      <w:r w:rsidRPr="00B84EAF">
        <w:t>EUROPEISKA UNIONENS RÅD HAR ANTAGIT DENNA FÖRORDNING</w:t>
      </w:r>
    </w:p>
    <w:p w:rsidR="00D95D9A" w:rsidRPr="00B84EAF" w:rsidRDefault="00D95D9A" w:rsidP="0031542B">
      <w:pPr>
        <w:spacing w:before="120" w:after="120" w:line="360" w:lineRule="auto"/>
        <w:rPr>
          <w:rFonts w:eastAsia="Calibri"/>
          <w:noProof/>
          <w:szCs w:val="22"/>
        </w:rPr>
      </w:pPr>
      <w:r w:rsidRPr="00B84EAF">
        <w:t>med beaktande av fördraget om Europeiska unionens funktionssätt, särskilt artikel 187 och artikel 188 första stycket,</w:t>
      </w:r>
    </w:p>
    <w:p w:rsidR="00D95D9A" w:rsidRPr="00B84EAF" w:rsidRDefault="00D95D9A" w:rsidP="0031542B">
      <w:pPr>
        <w:spacing w:before="120" w:after="120" w:line="360" w:lineRule="auto"/>
        <w:rPr>
          <w:rFonts w:eastAsia="Calibri"/>
          <w:noProof/>
          <w:szCs w:val="22"/>
        </w:rPr>
      </w:pPr>
      <w:r w:rsidRPr="00B84EAF">
        <w:t>med beaktande av Europeiska kommissionens förslag,</w:t>
      </w:r>
    </w:p>
    <w:p w:rsidR="00D95D9A" w:rsidRPr="00B84EAF" w:rsidRDefault="00D95D9A" w:rsidP="0031542B">
      <w:pPr>
        <w:spacing w:before="120" w:after="120" w:line="360" w:lineRule="auto"/>
        <w:rPr>
          <w:noProof/>
        </w:rPr>
      </w:pPr>
      <w:r w:rsidRPr="00B84EAF">
        <w:t>med beaktande av Europaparlamentets yttrande</w:t>
      </w:r>
      <w:r w:rsidRPr="00B84EAF">
        <w:rPr>
          <w:rStyle w:val="FootnoteReference"/>
          <w:noProof/>
        </w:rPr>
        <w:footnoteReference w:id="2"/>
      </w:r>
      <w:r w:rsidRPr="00B84EAF">
        <w:t>,</w:t>
      </w:r>
    </w:p>
    <w:p w:rsidR="00D95D9A" w:rsidRPr="00B84EAF" w:rsidRDefault="00D95D9A" w:rsidP="0031542B">
      <w:pPr>
        <w:spacing w:before="120" w:after="120" w:line="360" w:lineRule="auto"/>
        <w:rPr>
          <w:rFonts w:eastAsia="Calibri"/>
          <w:noProof/>
          <w:szCs w:val="22"/>
        </w:rPr>
      </w:pPr>
      <w:r w:rsidRPr="00B84EAF">
        <w:t>med beaktande av Europeiska ekonomiska och sociala kommitténs yttrande</w:t>
      </w:r>
      <w:r w:rsidRPr="00B84EAF">
        <w:rPr>
          <w:rStyle w:val="FootnoteReference"/>
          <w:noProof/>
        </w:rPr>
        <w:footnoteReference w:id="3"/>
      </w:r>
      <w:r w:rsidRPr="00B84EAF">
        <w:t xml:space="preserve">, </w:t>
      </w:r>
    </w:p>
    <w:p w:rsidR="00D95D9A" w:rsidRPr="00B84EAF" w:rsidRDefault="00D95D9A" w:rsidP="0031542B">
      <w:pPr>
        <w:spacing w:before="120" w:after="120" w:line="360" w:lineRule="auto"/>
        <w:rPr>
          <w:rFonts w:eastAsia="Calibri"/>
          <w:noProof/>
          <w:szCs w:val="22"/>
        </w:rPr>
      </w:pPr>
      <w:r w:rsidRPr="00B84EAF">
        <w:t>i enlighet med ett särskilt lagstiftningsförfarande, och</w:t>
      </w:r>
    </w:p>
    <w:p w:rsidR="00D95D9A" w:rsidRPr="00B84EAF" w:rsidRDefault="00D95D9A" w:rsidP="0031542B">
      <w:pPr>
        <w:spacing w:before="120" w:after="120" w:line="360" w:lineRule="auto"/>
        <w:rPr>
          <w:rFonts w:eastAsia="Calibri"/>
          <w:noProof/>
          <w:szCs w:val="22"/>
        </w:rPr>
      </w:pPr>
      <w:r w:rsidRPr="00B84EAF">
        <w:t>av följande skäl:</w:t>
      </w:r>
    </w:p>
    <w:p w:rsidR="00D95D9A" w:rsidRPr="00B84EAF" w:rsidRDefault="00D95D9A" w:rsidP="0031542B">
      <w:pPr>
        <w:pStyle w:val="ManualConsidrant"/>
        <w:spacing w:line="360" w:lineRule="auto"/>
        <w:jc w:val="left"/>
        <w:rPr>
          <w:noProof/>
        </w:rPr>
      </w:pPr>
      <w:r w:rsidRPr="00B84EAF">
        <w:t>(1)</w:t>
      </w:r>
      <w:r w:rsidRPr="00B84EAF">
        <w:tab/>
      </w:r>
      <w:r w:rsidRPr="00B84EAF">
        <w:rPr>
          <w:rStyle w:val="normaltextrun"/>
        </w:rPr>
        <w:t>Europaparlamentets och rådets förordning (EU) 2024/... om harmoniserade regler för artificiell intelligens (rättsakt om artificiell intelligens)</w:t>
      </w:r>
      <w:r w:rsidRPr="00B84EAF">
        <w:rPr>
          <w:rStyle w:val="FootnoteReference"/>
          <w:noProof/>
        </w:rPr>
        <w:footnoteReference w:id="4"/>
      </w:r>
      <w:r w:rsidRPr="00B84EAF">
        <w:rPr>
          <w:rStyle w:val="normaltextrun"/>
        </w:rPr>
        <w:t xml:space="preserve"> syftar till</w:t>
      </w:r>
      <w:r w:rsidRPr="00B84EAF">
        <w:t xml:space="preserve"> att förbättra den inre marknadens funktion genom att fastställa en enhetlig rättslig ram, särskilt för </w:t>
      </w:r>
      <w:r w:rsidRPr="00B84EAF">
        <w:lastRenderedPageBreak/>
        <w:t xml:space="preserve">utveckling, marknadsföring och användning av artificiell intelligens i överensstämmelse med unionens värden. </w:t>
      </w:r>
    </w:p>
    <w:p w:rsidR="00D95D9A" w:rsidRPr="00B84EAF" w:rsidRDefault="00D95D9A" w:rsidP="0031542B">
      <w:pPr>
        <w:pStyle w:val="ManualConsidrant"/>
        <w:spacing w:line="360" w:lineRule="auto"/>
        <w:jc w:val="left"/>
        <w:rPr>
          <w:noProof/>
        </w:rPr>
      </w:pPr>
      <w:r w:rsidRPr="00B84EAF">
        <w:t>(2)</w:t>
      </w:r>
      <w:r w:rsidRPr="00B84EAF">
        <w:tab/>
        <w:t>Sedan 2021, när rådets förordning (EU) 2021/1173</w:t>
      </w:r>
      <w:r w:rsidRPr="00B84EAF">
        <w:rPr>
          <w:rStyle w:val="FootnoteReference"/>
          <w:noProof/>
        </w:rPr>
        <w:footnoteReference w:id="5"/>
      </w:r>
      <w:r w:rsidRPr="00B84EAF">
        <w:t xml:space="preserve"> antogs, har det gjorts enorma tekniska framsteg på området artificiell intelligens (AI), som har blivit ett mycket strategiskt och omtvistat område globalt. Unionen är i framkant i ansträngningarna för att stödja </w:t>
      </w:r>
      <w:r w:rsidRPr="00B84EAF">
        <w:rPr>
          <w:b/>
          <w:bCs/>
          <w:i/>
          <w:iCs/>
        </w:rPr>
        <w:t>etisk och</w:t>
      </w:r>
      <w:r w:rsidRPr="00B84EAF">
        <w:t xml:space="preserve"> ansvarsfull innovation inom tillförlitlig AI samtidigt som unionen fastställer skyddsmekanismer och utvecklar en ändamålsenlig styrning.</w:t>
      </w:r>
    </w:p>
    <w:p w:rsidR="00D95D9A" w:rsidRPr="00B84EAF" w:rsidRDefault="00D95D9A" w:rsidP="0031542B">
      <w:pPr>
        <w:pStyle w:val="ManualConsidrant"/>
        <w:spacing w:line="360" w:lineRule="auto"/>
        <w:jc w:val="left"/>
        <w:rPr>
          <w:rStyle w:val="eop"/>
          <w:noProof/>
          <w:szCs w:val="20"/>
          <w:lang w:eastAsia="en-GB"/>
        </w:rPr>
      </w:pPr>
      <w:r w:rsidRPr="00B84EAF">
        <w:t>(3)</w:t>
      </w:r>
      <w:r w:rsidRPr="00B84EAF">
        <w:tab/>
      </w:r>
      <w:r w:rsidRPr="00B84EAF">
        <w:rPr>
          <w:rStyle w:val="normaltextrun"/>
        </w:rPr>
        <w:t>Den 13 september 2023 tillkännagav kommissionen, som en del av en övergripande strategi för att stödja ansvarsfull innovation inom AI, ett nytt strategiskt initiativ för att göra unionens högpresterande datorkapacitet tillgänglig för innovativa europeiska uppstartsföretag inom tillförlitlig AI som vill träna sina modeller. Detta kompletterar arbetet med att fastställa skyddsåtgärder för AI genom förordning (EU) 2024/..., inrätta styrningsstrukturer och stödja innovation genom den samordnade planen om artificiell intelligens. </w:t>
      </w:r>
    </w:p>
    <w:p w:rsidR="00D95D9A" w:rsidRPr="00B84EAF" w:rsidRDefault="00D95D9A" w:rsidP="0031542B">
      <w:pPr>
        <w:spacing w:before="120" w:after="120" w:line="360" w:lineRule="auto"/>
        <w:ind w:left="709" w:hanging="709"/>
      </w:pPr>
      <w:r w:rsidRPr="00B84EAF">
        <w:rPr>
          <w:b/>
          <w:i/>
        </w:rPr>
        <w:t>(3a)</w:t>
      </w:r>
      <w:r w:rsidRPr="00B84EAF">
        <w:rPr>
          <w:b/>
          <w:i/>
        </w:rPr>
        <w:tab/>
      </w:r>
      <w:r w:rsidRPr="00B84EAF">
        <w:rPr>
          <w:b/>
          <w:bCs/>
          <w:i/>
          <w:iCs/>
        </w:rPr>
        <w:t>För att dra nytta av unionens superdatorinfrastruktur och främja ett innovativt europeiskt AI-ekosystem, bland annat genom inrättandet av AI-fabriker i hela unionen, fastställer kommissionen i sitt meddelande av den 24 januari 2024 om främjande av nystartade företag och innovation inom tillförlitlig artificiell intelligens en strategisk investeringsram för att göra det möjligt för uppstartsföretag och industrin i unionen att utnyttja sin potential att bli globala föregångare när det gäller tillförlitliga avancerade AI-modeller, AI-system och AI-tillämpningar.</w:t>
      </w:r>
    </w:p>
    <w:p w:rsidR="00D95D9A" w:rsidRPr="00B84EAF" w:rsidRDefault="00D95D9A" w:rsidP="0031542B">
      <w:pPr>
        <w:pStyle w:val="ManualConsidrant"/>
        <w:spacing w:line="360" w:lineRule="auto"/>
        <w:jc w:val="left"/>
      </w:pPr>
      <w:r w:rsidRPr="00B84EAF">
        <w:t>(4)</w:t>
      </w:r>
      <w:r w:rsidRPr="00B84EAF">
        <w:tab/>
        <w:t>Med tanke på att unionens kraftfullaste superdatorkapacitet i världsklass finns i anläggningarna hos det gemensamma företaget för ett europeiskt högpresterande datorsystem (</w:t>
      </w:r>
      <w:r w:rsidRPr="00B84EAF">
        <w:rPr>
          <w:i/>
          <w:iCs/>
        </w:rPr>
        <w:t>det gemensamma företaget</w:t>
      </w:r>
      <w:r w:rsidRPr="00B84EAF">
        <w:t>), är det dessa anläggningar som bör göras tillgängliga så att kommissionens initiativ kan förverkligas. Det är därför nödvändigt att det gemensamma företaget, utöver sina sex befintliga mål, får ytterligare ett mål som omfattar superdatorernas bidrag till unionens nya AI-initiativ</w:t>
      </w:r>
      <w:r w:rsidRPr="00B84EAF">
        <w:rPr>
          <w:b/>
          <w:bCs/>
          <w:i/>
          <w:iCs/>
        </w:rPr>
        <w:t>, varvid man säkerställer rättvisa, öppenhet, tillförlitlighet och en positiv samhällspåverkan och tillgodoser unionens behov och mål</w:t>
      </w:r>
      <w:r w:rsidRPr="00B84EAF">
        <w:t>.</w:t>
      </w:r>
    </w:p>
    <w:p w:rsidR="00D95D9A" w:rsidRPr="00B84EAF" w:rsidRDefault="00D95D9A" w:rsidP="0031542B">
      <w:pPr>
        <w:pStyle w:val="ManualConsidrant"/>
        <w:spacing w:line="360" w:lineRule="auto"/>
        <w:jc w:val="left"/>
        <w:rPr>
          <w:noProof/>
        </w:rPr>
      </w:pPr>
      <w:r w:rsidRPr="00B84EAF">
        <w:t>(5)</w:t>
      </w:r>
      <w:r w:rsidRPr="00B84EAF">
        <w:tab/>
        <w:t xml:space="preserve">Det nya målet skulle göra det möjligt för det gemensamma företaget att utföra aktiviteter i form av </w:t>
      </w:r>
      <w:r w:rsidRPr="00B84EAF">
        <w:rPr>
          <w:b/>
          <w:bCs/>
          <w:i/>
          <w:iCs/>
        </w:rPr>
        <w:t xml:space="preserve">uppgradering eller </w:t>
      </w:r>
      <w:r w:rsidRPr="00B84EAF">
        <w:t xml:space="preserve">förvärv och drift av AI-dedikerade superdatorer eller partitioner av superdatorer för att möjliggöra snabb maskininlärning och träning av </w:t>
      </w:r>
      <w:r w:rsidRPr="00B84EAF">
        <w:rPr>
          <w:b/>
          <w:bCs/>
          <w:i/>
          <w:iCs/>
        </w:rPr>
        <w:t>tillförlitliga och etiska</w:t>
      </w:r>
      <w:r w:rsidRPr="00B84EAF">
        <w:t xml:space="preserve"> stora AI-grundmodeller </w:t>
      </w:r>
      <w:r w:rsidRPr="00B84EAF">
        <w:rPr>
          <w:b/>
          <w:bCs/>
          <w:i/>
          <w:iCs/>
        </w:rPr>
        <w:t>och därigenom stärka unionens konkurrenskraft och industriella bas inom AI</w:t>
      </w:r>
      <w:r w:rsidRPr="00B84EAF">
        <w:t xml:space="preserve">. Det gemensamma företaget bör också tillåtas att skapa ett nytt åtkomstläge till sina datorresurser </w:t>
      </w:r>
      <w:r w:rsidRPr="00B84EAF">
        <w:rPr>
          <w:b/>
          <w:bCs/>
          <w:i/>
          <w:iCs/>
        </w:rPr>
        <w:t>i synnerhet</w:t>
      </w:r>
      <w:r w:rsidRPr="00B84EAF">
        <w:t xml:space="preserve"> för AI-uppstartsföretag och AI-forskarvärlden och utveckla särskilda AI-tillämpningar</w:t>
      </w:r>
      <w:r w:rsidRPr="00B84EAF">
        <w:rPr>
          <w:b/>
          <w:bCs/>
          <w:i/>
          <w:iCs/>
        </w:rPr>
        <w:t>, AI-modeller och AI-system</w:t>
      </w:r>
      <w:r w:rsidRPr="00B84EAF">
        <w:t xml:space="preserve"> som optimerats för att köras på superdatorerna</w:t>
      </w:r>
      <w:r w:rsidRPr="00B84EAF">
        <w:rPr>
          <w:b/>
          <w:bCs/>
          <w:i/>
          <w:iCs/>
        </w:rPr>
        <w:t>, samtidigt som man värnar om öppen åtkomst, rättvisa och öppenhet</w:t>
      </w:r>
      <w:r w:rsidRPr="00B84EAF">
        <w:t xml:space="preserve">. Dessa ändringar skulle göra det möjligt för det gemensamma företaget att erbjuda anpassad datorkapacitet och anpassade datortjänster för att främja storskalig träning, utveckling och användning av AI i unionen, vilket inte är möjligt enligt den nuvarande förordningen. </w:t>
      </w:r>
    </w:p>
    <w:p w:rsidR="00D95D9A" w:rsidRPr="00B84EAF" w:rsidRDefault="00D95D9A" w:rsidP="0031542B">
      <w:pPr>
        <w:spacing w:before="120" w:after="120" w:line="360" w:lineRule="auto"/>
        <w:ind w:left="709" w:hanging="709"/>
        <w:rPr>
          <w:b/>
        </w:rPr>
      </w:pPr>
      <w:r w:rsidRPr="00B84EAF">
        <w:rPr>
          <w:b/>
          <w:i/>
        </w:rPr>
        <w:t>(5a)</w:t>
      </w:r>
      <w:r w:rsidRPr="00B84EAF">
        <w:rPr>
          <w:b/>
        </w:rPr>
        <w:tab/>
      </w:r>
      <w:r w:rsidRPr="00B84EAF">
        <w:rPr>
          <w:b/>
          <w:i/>
        </w:rPr>
        <w:t xml:space="preserve">Det gemensamma företaget bör inrätta en enda kontaktpunkt på grundval av principerna om öppen åtkomst, på ett sätt som gör att olika typer av användare fullt ut kan utnyttja potentialen hos AI i samband med superdatorer. De möjligheter som AI-fabriker ger bör förmedlas brett till uppstartsföretag, små och medelstora företag, innovationsekosystemet och forskare som arbetar med europeiska program, och de många fördelar som AI kan erbjuda inom superdatortillämpningar bör lyftas fram. Samarbetet på unionsnivå mellan AI-fabriker bör tillgängliggöra datorkapacitet som en tjänst i hela unionen, som är väsentlig som understöd till de tjänster som erbjuds, och ytterligare underlätta åtkomsten till denna kritiska infrastruktur. Detta kommer även att tjäna utvecklingen av efterfrågestyrda </w:t>
      </w:r>
      <w:proofErr w:type="spellStart"/>
      <w:r w:rsidRPr="00B84EAF">
        <w:rPr>
          <w:b/>
          <w:i/>
        </w:rPr>
        <w:t>EuroHPC</w:t>
      </w:r>
      <w:proofErr w:type="spellEnd"/>
      <w:r w:rsidRPr="00B84EAF">
        <w:rPr>
          <w:b/>
          <w:i/>
        </w:rPr>
        <w:t>-superdatorer och säkerställa att infrastrukturen tillgodoser föränderliga behov hos användare och sektorer i hela unionen.</w:t>
      </w:r>
    </w:p>
    <w:p w:rsidR="00D95D9A" w:rsidRPr="00B84EAF" w:rsidRDefault="00D95D9A" w:rsidP="0031542B">
      <w:pPr>
        <w:spacing w:before="120" w:after="120" w:line="360" w:lineRule="auto"/>
        <w:ind w:left="709" w:hanging="709"/>
        <w:rPr>
          <w:szCs w:val="24"/>
        </w:rPr>
      </w:pPr>
      <w:r w:rsidRPr="00B84EAF">
        <w:rPr>
          <w:b/>
          <w:i/>
        </w:rPr>
        <w:t xml:space="preserve">(5b) </w:t>
      </w:r>
      <w:r w:rsidRPr="00B84EAF">
        <w:rPr>
          <w:b/>
          <w:i/>
        </w:rPr>
        <w:tab/>
        <w:t xml:space="preserve">I Europaparlamentets resolution av den 14 december 2023 om ökad innovation samt industriell och teknisk konkurrenskraft genom en gynnsam miljö för uppstartsföretag och </w:t>
      </w:r>
      <w:proofErr w:type="spellStart"/>
      <w:r w:rsidRPr="00B84EAF">
        <w:rPr>
          <w:b/>
          <w:i/>
        </w:rPr>
        <w:t>scaleup</w:t>
      </w:r>
      <w:proofErr w:type="spellEnd"/>
      <w:r w:rsidRPr="00B84EAF">
        <w:rPr>
          <w:b/>
          <w:i/>
        </w:rPr>
        <w:t>-företag</w:t>
      </w:r>
      <w:r w:rsidRPr="00B84EAF">
        <w:rPr>
          <w:rStyle w:val="FootnoteReference"/>
          <w:b/>
          <w:i/>
        </w:rPr>
        <w:footnoteReference w:id="6"/>
      </w:r>
      <w:r w:rsidRPr="00B84EAF">
        <w:rPr>
          <w:b/>
          <w:i/>
        </w:rPr>
        <w:t xml:space="preserve"> betonas att </w:t>
      </w:r>
      <w:proofErr w:type="spellStart"/>
      <w:r w:rsidRPr="00B84EAF">
        <w:rPr>
          <w:b/>
          <w:i/>
        </w:rPr>
        <w:t>scaleup</w:t>
      </w:r>
      <w:proofErr w:type="spellEnd"/>
      <w:r w:rsidRPr="00B84EAF">
        <w:rPr>
          <w:b/>
          <w:i/>
        </w:rPr>
        <w:t xml:space="preserve">-företag spelar en avgörande roll för att driva på innovation, jobbskapande och ekonomisk tillväxt i unionen, och kommissionen och medlemsstaterna uppmanas att anta en lämplig definition av </w:t>
      </w:r>
      <w:proofErr w:type="spellStart"/>
      <w:r w:rsidRPr="00B84EAF">
        <w:rPr>
          <w:b/>
          <w:i/>
        </w:rPr>
        <w:t>scaleup</w:t>
      </w:r>
      <w:proofErr w:type="spellEnd"/>
      <w:r w:rsidRPr="00B84EAF">
        <w:rPr>
          <w:b/>
          <w:i/>
        </w:rPr>
        <w:t>-företag baserade på skalbarhet, samtidigt som hänsyn tas till skillnaderna mellan uppstartsföretag och små och medelstora företag.</w:t>
      </w:r>
      <w:r w:rsidRPr="00B84EAF">
        <w:rPr>
          <w:b/>
          <w:i/>
          <w:snapToGrid w:val="0"/>
        </w:rPr>
        <w:t xml:space="preserve"> </w:t>
      </w:r>
      <w:r w:rsidRPr="00B84EAF">
        <w:rPr>
          <w:b/>
          <w:i/>
        </w:rPr>
        <w:t xml:space="preserve">Det gemensamma företagets styrelse bör fastställa villkor för åtkomst till sådana AI-dedikerade superdatorer och relevanta stödtjänster för användare i olika kategorier, såsom uppstartsföretag, </w:t>
      </w:r>
      <w:proofErr w:type="spellStart"/>
      <w:r w:rsidRPr="00B84EAF">
        <w:rPr>
          <w:b/>
          <w:i/>
        </w:rPr>
        <w:t>scaleup</w:t>
      </w:r>
      <w:proofErr w:type="spellEnd"/>
      <w:r w:rsidRPr="00B84EAF">
        <w:rPr>
          <w:b/>
          <w:i/>
        </w:rPr>
        <w:t>-företag, små och medelstora företag, högre utbildningsanstalter och forskningscentrum, i syfte att övervinna begränsningar i form av kostnader och brist på resursexpertis.</w:t>
      </w:r>
    </w:p>
    <w:p w:rsidR="00D95D9A" w:rsidRPr="00B84EAF" w:rsidRDefault="00D95D9A" w:rsidP="0031542B">
      <w:pPr>
        <w:spacing w:before="120" w:after="120" w:line="360" w:lineRule="auto"/>
        <w:ind w:left="709" w:hanging="709"/>
        <w:rPr>
          <w:szCs w:val="24"/>
        </w:rPr>
      </w:pPr>
      <w:r w:rsidRPr="00B84EAF">
        <w:rPr>
          <w:b/>
          <w:i/>
        </w:rPr>
        <w:t>(5c)</w:t>
      </w:r>
      <w:r w:rsidRPr="00B84EAF">
        <w:rPr>
          <w:b/>
          <w:i/>
        </w:rPr>
        <w:tab/>
        <w:t>Eftersom användningen av superdatorer för AI kräver en högre användning av data är det viktigt att de antingen finns i närheten av eller är anslutna till en befintlig eller planerad datacentral via höghastighetsnät. Dessutom bör sådana datacentraler fullt ut uppfylla kraven i artikel 12 i Europaparlamentets och rådets direktiv (EU) 2023/1791</w:t>
      </w:r>
      <w:r w:rsidRPr="00B84EAF">
        <w:rPr>
          <w:rStyle w:val="FootnoteReference"/>
          <w:b/>
          <w:bCs/>
          <w:i/>
          <w:iCs/>
        </w:rPr>
        <w:footnoteReference w:id="7"/>
      </w:r>
      <w:r w:rsidRPr="00B84EAF">
        <w:rPr>
          <w:b/>
          <w:i/>
        </w:rPr>
        <w:t xml:space="preserve"> och bör i framtiden vara sammankopplade med gemensamma europeiska dataområden för att underlätta träning av modeller inom centrala sektorsområden. </w:t>
      </w:r>
      <w:proofErr w:type="spellStart"/>
      <w:r w:rsidRPr="00B84EAF">
        <w:rPr>
          <w:b/>
          <w:i/>
        </w:rPr>
        <w:t>Värdenheterna</w:t>
      </w:r>
      <w:proofErr w:type="spellEnd"/>
      <w:r w:rsidRPr="00B84EAF">
        <w:rPr>
          <w:b/>
          <w:i/>
        </w:rPr>
        <w:t xml:space="preserve"> bör effektivt kunna använda ekonomiskt stöd från de gemensamma europeiska dataområdena för att förbättra sin infrastruktur, bland annat för att förvärva eller uppgradera datacentraler. </w:t>
      </w:r>
      <w:r w:rsidRPr="00B84EAF">
        <w:rPr>
          <w:b/>
          <w:bCs/>
          <w:i/>
        </w:rPr>
        <w:t>Synergier mellan de olika initiativen bör främjas.</w:t>
      </w:r>
      <w:r w:rsidRPr="00B84EAF">
        <w:t xml:space="preserve"> </w:t>
      </w:r>
    </w:p>
    <w:p w:rsidR="00D95D9A" w:rsidRPr="00B84EAF" w:rsidRDefault="00D95D9A" w:rsidP="0031542B">
      <w:pPr>
        <w:spacing w:before="120" w:after="120" w:line="360" w:lineRule="auto"/>
        <w:ind w:left="709" w:hanging="709"/>
        <w:rPr>
          <w:b/>
          <w:bCs/>
          <w:i/>
          <w:iCs/>
        </w:rPr>
      </w:pPr>
      <w:r w:rsidRPr="00B84EAF">
        <w:rPr>
          <w:b/>
          <w:i/>
        </w:rPr>
        <w:t>(5d)</w:t>
      </w:r>
      <w:r w:rsidRPr="00B84EAF">
        <w:rPr>
          <w:b/>
          <w:i/>
        </w:rPr>
        <w:tab/>
        <w:t xml:space="preserve">Eftersom användningen av superdatorer för AI kräver en betydande ökning av datorkapaciteten, som i sin tur leder till ökad energiförbrukning, bör </w:t>
      </w:r>
      <w:proofErr w:type="spellStart"/>
      <w:r w:rsidRPr="00B84EAF">
        <w:rPr>
          <w:b/>
          <w:i/>
        </w:rPr>
        <w:t>värdenheterna</w:t>
      </w:r>
      <w:proofErr w:type="spellEnd"/>
      <w:r w:rsidRPr="00B84EAF">
        <w:rPr>
          <w:b/>
          <w:i/>
        </w:rPr>
        <w:t xml:space="preserve"> ha planer för sin energieffektivitet och miljöhållbarhet. Dessa planer bör säkerställa att superdatorn har tillgång till säker och stabil nätanslutning och elförsörjning, helst genom ren energi till ett överkomligt pris, inbegripet användning av energiköpsavtal, som också kan baseras på förnybar energi, och användning av lokalproducerad el. AI-modeller bör dessutom uppfylla de energiförbrukningskrav som fastställs i förordning </w:t>
      </w:r>
      <w:r w:rsidR="001B1A4E" w:rsidRPr="00B84EAF">
        <w:rPr>
          <w:b/>
          <w:i/>
        </w:rPr>
        <w:t>(EU) 2024/</w:t>
      </w:r>
      <w:r w:rsidRPr="00B84EAF">
        <w:rPr>
          <w:b/>
          <w:i/>
        </w:rPr>
        <w:t>.. [rättsakt om artificiell intelligens]. Rapporteringsskyldigheter för AI-modeller för allmänna ändamål som fastställs i den förordningen ska uppfyllas.</w:t>
      </w:r>
    </w:p>
    <w:p w:rsidR="00D95D9A" w:rsidRPr="00B84EAF" w:rsidRDefault="00D95D9A" w:rsidP="0031542B">
      <w:pPr>
        <w:spacing w:before="120" w:after="120" w:line="360" w:lineRule="auto"/>
        <w:ind w:left="709" w:hanging="709"/>
        <w:rPr>
          <w:b/>
        </w:rPr>
      </w:pPr>
      <w:r w:rsidRPr="00B84EAF">
        <w:rPr>
          <w:b/>
          <w:i/>
        </w:rPr>
        <w:t>(5e)</w:t>
      </w:r>
      <w:r w:rsidRPr="00B84EAF">
        <w:rPr>
          <w:b/>
          <w:i/>
        </w:rPr>
        <w:tab/>
        <w:t>AI-fabriker kommer att tillhandahålla omfattande stödtjänster för superdatorer till AI-inriktade uppstartsföretag, små innovativa företag och det bredare forsknings- och innovationsekosystemet. Dessa tjänster är avgörande för att underlätta åtkomst till superdatorer och erbjuda särskilda programmeringsinrättningar och algoritmstöd för utveckling, testning, utvärdering och validering av AI-träningsmodeller och -system. Vidare hjälper de till med att skapa nya användningsfall och framväxande tillämpningar inom unionens strategiska områden, däribland robotteknik och tillverkning, nya material och batterier, rymd- och luftfart, mobilitet, uppkopplat och automatiserat framförande av fordon, hälso- och sjukvård, bioteknik, energi, klimatförändringar och klimatanpassning, komplex systemdynamik, virtuella världar och digitala tvillingar, cybersäkerhet, jordbruksmetoder, forskning och innovation och den offentliga sektorn.</w:t>
      </w:r>
    </w:p>
    <w:p w:rsidR="00D95D9A" w:rsidRPr="00B84EAF" w:rsidRDefault="00D95D9A" w:rsidP="0031542B">
      <w:pPr>
        <w:pStyle w:val="ManualConsidrant"/>
        <w:spacing w:line="360" w:lineRule="auto"/>
        <w:jc w:val="left"/>
        <w:rPr>
          <w:noProof/>
        </w:rPr>
      </w:pPr>
      <w:r w:rsidRPr="00B84EAF">
        <w:t>(6)</w:t>
      </w:r>
      <w:r w:rsidRPr="00B84EAF">
        <w:tab/>
        <w:t>För att anpassa den här förordningens tillämpningsdatum till tillämpningsdatumet för bestämmelserna i Europaparlamentets och rådets förordning (EU) 2024/... om harmoniserade regler för artificiell intelligens bör den här förordningen tillämpas utan onödigt dröjsmål.</w:t>
      </w:r>
    </w:p>
    <w:p w:rsidR="00D95D9A" w:rsidRPr="00B84EAF" w:rsidRDefault="00D95D9A" w:rsidP="0031542B">
      <w:pPr>
        <w:pStyle w:val="ManualConsidrant"/>
        <w:spacing w:line="360" w:lineRule="auto"/>
        <w:jc w:val="left"/>
        <w:rPr>
          <w:noProof/>
        </w:rPr>
      </w:pPr>
      <w:r w:rsidRPr="00B84EAF">
        <w:t>(7)</w:t>
      </w:r>
      <w:r w:rsidRPr="00B84EAF">
        <w:tab/>
        <w:t>Förordning (EU) 2021/1173 bör därför ändras i enlighet med detta.</w:t>
      </w:r>
    </w:p>
    <w:p w:rsidR="00D95D9A" w:rsidRPr="00B84EAF" w:rsidRDefault="00D95D9A" w:rsidP="0031542B">
      <w:pPr>
        <w:pStyle w:val="Formuledadoption"/>
        <w:spacing w:line="360" w:lineRule="auto"/>
        <w:jc w:val="left"/>
        <w:rPr>
          <w:noProof/>
        </w:rPr>
      </w:pPr>
      <w:r w:rsidRPr="00B84EAF">
        <w:t>HÄRIGENOM FÖRESKRIVS FÖLJANDE.</w:t>
      </w:r>
    </w:p>
    <w:p w:rsidR="00D95D9A" w:rsidRPr="00B84EAF" w:rsidRDefault="00D95D9A" w:rsidP="0031542B">
      <w:pPr>
        <w:pStyle w:val="Titrearticle"/>
        <w:spacing w:before="120" w:line="360" w:lineRule="auto"/>
        <w:rPr>
          <w:noProof/>
        </w:rPr>
      </w:pPr>
      <w:r w:rsidRPr="00B84EAF">
        <w:t>Artikel 1</w:t>
      </w:r>
    </w:p>
    <w:p w:rsidR="00D95D9A" w:rsidRPr="00B84EAF" w:rsidRDefault="00D95D9A" w:rsidP="0031542B">
      <w:pPr>
        <w:spacing w:before="120" w:after="120" w:line="360" w:lineRule="auto"/>
        <w:rPr>
          <w:noProof/>
        </w:rPr>
      </w:pPr>
      <w:r w:rsidRPr="00B84EAF">
        <w:t xml:space="preserve">Förordning (EU) 2021/1173 ska ändras på följande sätt: </w:t>
      </w:r>
    </w:p>
    <w:p w:rsidR="00D95D9A" w:rsidRPr="00B84EAF" w:rsidRDefault="00D95D9A" w:rsidP="0031542B">
      <w:pPr>
        <w:pStyle w:val="ListParagraph"/>
        <w:spacing w:line="360" w:lineRule="auto"/>
        <w:ind w:left="1080"/>
        <w:jc w:val="left"/>
        <w:rPr>
          <w:noProof/>
        </w:rPr>
      </w:pPr>
    </w:p>
    <w:p w:rsidR="00D95D9A" w:rsidRPr="00B84EAF" w:rsidRDefault="00D95D9A" w:rsidP="0031542B">
      <w:pPr>
        <w:pStyle w:val="Point0"/>
        <w:spacing w:line="360" w:lineRule="auto"/>
        <w:jc w:val="left"/>
        <w:rPr>
          <w:noProof/>
        </w:rPr>
      </w:pPr>
      <w:r w:rsidRPr="00B84EAF">
        <w:t>1.</w:t>
      </w:r>
      <w:r w:rsidRPr="00B84EAF">
        <w:tab/>
        <w:t>Artikel 2 ska ändras på följande sätt:</w:t>
      </w:r>
    </w:p>
    <w:p w:rsidR="00D95D9A" w:rsidRPr="00B84EAF" w:rsidRDefault="00D95D9A" w:rsidP="0031542B">
      <w:pPr>
        <w:pStyle w:val="Point0"/>
        <w:spacing w:line="360" w:lineRule="auto"/>
        <w:ind w:left="1700"/>
        <w:jc w:val="left"/>
        <w:rPr>
          <w:noProof/>
        </w:rPr>
      </w:pPr>
      <w:r w:rsidRPr="00B84EAF">
        <w:t>a)</w:t>
      </w:r>
      <w:r w:rsidRPr="00B84EAF">
        <w:tab/>
        <w:t>Följande punkter ska införas som punkterna 3a och 3b:</w:t>
      </w:r>
    </w:p>
    <w:p w:rsidR="00D95D9A" w:rsidRPr="00B84EAF" w:rsidRDefault="00D95D9A" w:rsidP="0031542B">
      <w:pPr>
        <w:pStyle w:val="ListParagraph"/>
        <w:spacing w:line="360" w:lineRule="auto"/>
        <w:ind w:left="2160" w:hanging="590"/>
        <w:jc w:val="left"/>
        <w:rPr>
          <w:noProof/>
        </w:rPr>
      </w:pPr>
      <w:r w:rsidRPr="00B84EAF">
        <w:t xml:space="preserve">”3b. </w:t>
      </w:r>
      <w:r w:rsidRPr="00B84EAF">
        <w:tab/>
      </w:r>
      <w:r w:rsidRPr="00B84EAF">
        <w:rPr>
          <w:i/>
          <w:iCs/>
        </w:rPr>
        <w:t>AI-dedikerad superdator</w:t>
      </w:r>
      <w:r w:rsidRPr="00B84EAF">
        <w:t xml:space="preserve">: en superdator som främst är utformad för att träna storskaliga modeller med artificiell intelligens för </w:t>
      </w:r>
      <w:r w:rsidRPr="00B84EAF">
        <w:rPr>
          <w:b/>
          <w:bCs/>
          <w:i/>
          <w:iCs/>
        </w:rPr>
        <w:t>civila</w:t>
      </w:r>
      <w:r w:rsidRPr="00B84EAF">
        <w:t xml:space="preserve"> allmänna ändamål och framväxande tillämpningar med artificiell intelligens </w:t>
      </w:r>
      <w:r w:rsidRPr="00B84EAF">
        <w:rPr>
          <w:b/>
          <w:bCs/>
          <w:i/>
          <w:iCs/>
        </w:rPr>
        <w:t>och för att utveckla tekniker och system</w:t>
      </w:r>
      <w:r w:rsidRPr="00B84EAF">
        <w:t>.</w:t>
      </w:r>
    </w:p>
    <w:p w:rsidR="00D95D9A" w:rsidRPr="00B84EAF" w:rsidRDefault="00D95D9A" w:rsidP="0031542B">
      <w:pPr>
        <w:pStyle w:val="ListParagraph"/>
        <w:spacing w:line="360" w:lineRule="auto"/>
        <w:ind w:left="1570"/>
        <w:jc w:val="left"/>
        <w:rPr>
          <w:noProof/>
        </w:rPr>
      </w:pPr>
    </w:p>
    <w:p w:rsidR="00D95D9A" w:rsidRPr="00B84EAF" w:rsidRDefault="00D95D9A" w:rsidP="0031542B">
      <w:pPr>
        <w:pStyle w:val="ListParagraph"/>
        <w:spacing w:line="360" w:lineRule="auto"/>
        <w:ind w:left="2160" w:hanging="590"/>
        <w:jc w:val="left"/>
        <w:rPr>
          <w:noProof/>
        </w:rPr>
      </w:pPr>
      <w:r w:rsidRPr="00B84EAF">
        <w:t xml:space="preserve">3c. </w:t>
      </w:r>
      <w:r w:rsidRPr="00B84EAF">
        <w:tab/>
      </w:r>
      <w:r w:rsidRPr="00B84EAF">
        <w:rPr>
          <w:i/>
          <w:iCs/>
        </w:rPr>
        <w:t>AI-fabrik</w:t>
      </w:r>
      <w:r w:rsidRPr="00B84EAF">
        <w:t xml:space="preserve">: ett centraliserat eller distribuerat </w:t>
      </w:r>
      <w:r w:rsidRPr="00B84EAF">
        <w:rPr>
          <w:b/>
          <w:bCs/>
          <w:i/>
          <w:iCs/>
        </w:rPr>
        <w:t>öppet ekosystem</w:t>
      </w:r>
      <w:r w:rsidRPr="00B84EAF">
        <w:t xml:space="preserve"> som tillhandahåller en infrastruktur för AI-superdatortjänster bestående av en AI-dedikerad superdator </w:t>
      </w:r>
      <w:r w:rsidRPr="00B84EAF">
        <w:rPr>
          <w:b/>
          <w:bCs/>
          <w:i/>
          <w:iCs/>
        </w:rPr>
        <w:t>eller</w:t>
      </w:r>
      <w:r w:rsidRPr="00B84EAF">
        <w:t xml:space="preserve"> en AI-partition av en superdator </w:t>
      </w:r>
      <w:r w:rsidRPr="00B84EAF">
        <w:rPr>
          <w:b/>
          <w:bCs/>
          <w:i/>
          <w:iCs/>
        </w:rPr>
        <w:t xml:space="preserve">eller en </w:t>
      </w:r>
      <w:proofErr w:type="spellStart"/>
      <w:r w:rsidRPr="00B84EAF">
        <w:rPr>
          <w:b/>
          <w:bCs/>
          <w:i/>
          <w:iCs/>
        </w:rPr>
        <w:t>EuroHPC</w:t>
      </w:r>
      <w:proofErr w:type="spellEnd"/>
      <w:r w:rsidRPr="00B84EAF">
        <w:rPr>
          <w:b/>
          <w:bCs/>
          <w:i/>
          <w:iCs/>
        </w:rPr>
        <w:t>-superdator som uppgraderats för artificiell intelligens,</w:t>
      </w:r>
      <w:r w:rsidRPr="00B84EAF">
        <w:t xml:space="preserve"> en associerad datacentral, särskild åtkomst och AI-inriktade superdatortjänster </w:t>
      </w:r>
      <w:r w:rsidRPr="00B84EAF">
        <w:rPr>
          <w:b/>
          <w:bCs/>
          <w:i/>
          <w:iCs/>
        </w:rPr>
        <w:t xml:space="preserve">som öppet och aktivt utvecklar, </w:t>
      </w:r>
      <w:r w:rsidRPr="00B84EAF">
        <w:t>lockar</w:t>
      </w:r>
      <w:r w:rsidRPr="00B84EAF">
        <w:rPr>
          <w:b/>
          <w:bCs/>
          <w:i/>
          <w:iCs/>
        </w:rPr>
        <w:t xml:space="preserve">, håller kvar </w:t>
      </w:r>
      <w:r w:rsidRPr="00B84EAF">
        <w:t xml:space="preserve">och samlar talanger för att </w:t>
      </w:r>
      <w:r w:rsidRPr="00B84EAF">
        <w:rPr>
          <w:b/>
          <w:bCs/>
          <w:i/>
          <w:iCs/>
        </w:rPr>
        <w:t>tillhandahålla den kompetens, de färdigheter och den kunskap som krävs, som bistår och vägleder användarna i användningen av superdatorer för artificiell intelligens och som tillhandahåller de tjänster som krävs för underhåll av superdatorerna</w:t>
      </w:r>
      <w:r w:rsidRPr="00B84EAF">
        <w:t>.”</w:t>
      </w:r>
    </w:p>
    <w:p w:rsidR="00D95D9A" w:rsidRPr="00B84EAF" w:rsidRDefault="00D95D9A" w:rsidP="0031542B">
      <w:pPr>
        <w:pStyle w:val="Point0"/>
        <w:spacing w:line="360" w:lineRule="auto"/>
        <w:ind w:left="1700"/>
        <w:jc w:val="left"/>
        <w:rPr>
          <w:noProof/>
        </w:rPr>
      </w:pPr>
      <w:r w:rsidRPr="00B84EAF">
        <w:t>b)</w:t>
      </w:r>
      <w:r w:rsidRPr="00B84EAF">
        <w:tab/>
        <w:t>Punkt 9 ska ersättas med följande:</w:t>
      </w:r>
    </w:p>
    <w:p w:rsidR="00D95D9A" w:rsidRPr="00B84EAF" w:rsidRDefault="00D95D9A" w:rsidP="0031542B">
      <w:pPr>
        <w:pStyle w:val="ListParagraph"/>
        <w:spacing w:line="360" w:lineRule="auto"/>
        <w:ind w:left="2160" w:hanging="590"/>
        <w:jc w:val="left"/>
        <w:rPr>
          <w:noProof/>
        </w:rPr>
      </w:pPr>
      <w:r w:rsidRPr="00B84EAF">
        <w:t xml:space="preserve">”9. </w:t>
      </w:r>
      <w:r w:rsidRPr="00B84EAF">
        <w:tab/>
      </w:r>
      <w:proofErr w:type="spellStart"/>
      <w:r w:rsidRPr="00B84EAF">
        <w:rPr>
          <w:i/>
          <w:iCs/>
        </w:rPr>
        <w:t>EuroHPC</w:t>
      </w:r>
      <w:proofErr w:type="spellEnd"/>
      <w:r w:rsidRPr="00B84EAF">
        <w:rPr>
          <w:i/>
          <w:iCs/>
        </w:rPr>
        <w:t>-superdator</w:t>
      </w:r>
      <w:r w:rsidRPr="00B84EAF">
        <w:t>: datorsystem som helt ägs av det gemensamma företaget eller som detta samäger tillsammans med deltagande stater eller ett konsortium av privata partner, och som kan vara en klassisk superdator (avancerad superdator, superdator i industriell klass, AI-dedikerad superdator eller superdator i mellanklass), en hybrid av klassisk dator och kvantdator, en kvantdator eller en kvantsimulator.”</w:t>
      </w:r>
    </w:p>
    <w:p w:rsidR="00D95D9A" w:rsidRPr="00B84EAF" w:rsidRDefault="00D95D9A" w:rsidP="0031542B">
      <w:pPr>
        <w:pStyle w:val="ListParagraph"/>
        <w:spacing w:line="360" w:lineRule="auto"/>
        <w:ind w:left="1570"/>
        <w:jc w:val="left"/>
        <w:rPr>
          <w:noProof/>
        </w:rPr>
      </w:pPr>
    </w:p>
    <w:p w:rsidR="00D95D9A" w:rsidRPr="00B84EAF" w:rsidRDefault="00D95D9A" w:rsidP="0031542B">
      <w:pPr>
        <w:pStyle w:val="Point0"/>
        <w:spacing w:line="360" w:lineRule="auto"/>
        <w:jc w:val="left"/>
        <w:rPr>
          <w:noProof/>
        </w:rPr>
      </w:pPr>
      <w:r w:rsidRPr="00B84EAF">
        <w:t>2.</w:t>
      </w:r>
      <w:r w:rsidRPr="00B84EAF">
        <w:tab/>
        <w:t>I artikel 3.2 ska följande led läggas till som led h:</w:t>
      </w:r>
    </w:p>
    <w:p w:rsidR="00D95D9A" w:rsidRPr="00B84EAF" w:rsidRDefault="00D95D9A" w:rsidP="0031542B">
      <w:pPr>
        <w:pStyle w:val="Point1"/>
        <w:spacing w:line="360" w:lineRule="auto"/>
        <w:jc w:val="left"/>
        <w:rPr>
          <w:noProof/>
        </w:rPr>
      </w:pPr>
      <w:r w:rsidRPr="00B84EAF">
        <w:t xml:space="preserve">”h) </w:t>
      </w:r>
      <w:r w:rsidRPr="00B84EAF">
        <w:tab/>
        <w:t>att utveckla och driva AI-fabrikerna till stöd för vidareutveckling av ett mycket konkurrenskraftigt</w:t>
      </w:r>
      <w:r w:rsidRPr="00B84EAF">
        <w:rPr>
          <w:b/>
          <w:bCs/>
          <w:i/>
          <w:iCs/>
        </w:rPr>
        <w:t>, hållbart, tillförlitligt och etiskt</w:t>
      </w:r>
      <w:r w:rsidRPr="00B84EAF">
        <w:t xml:space="preserve"> och innovativt ekosystem för artificiell intelligens inom unionen.”</w:t>
      </w:r>
    </w:p>
    <w:p w:rsidR="00D95D9A" w:rsidRPr="00B84EAF" w:rsidRDefault="00D95D9A" w:rsidP="0031542B">
      <w:pPr>
        <w:pStyle w:val="Point0"/>
        <w:spacing w:line="360" w:lineRule="auto"/>
        <w:jc w:val="left"/>
        <w:rPr>
          <w:noProof/>
        </w:rPr>
      </w:pPr>
      <w:r w:rsidRPr="00B84EAF">
        <w:t>3.</w:t>
      </w:r>
      <w:r w:rsidRPr="00B84EAF">
        <w:tab/>
        <w:t>I artikel 4.1 ska följande led läggas till som led h:</w:t>
      </w:r>
    </w:p>
    <w:p w:rsidR="00D95D9A" w:rsidRPr="00B84EAF" w:rsidRDefault="00D95D9A" w:rsidP="0031542B">
      <w:pPr>
        <w:pStyle w:val="Point1"/>
        <w:spacing w:line="360" w:lineRule="auto"/>
        <w:jc w:val="left"/>
        <w:rPr>
          <w:noProof/>
        </w:rPr>
      </w:pPr>
      <w:r w:rsidRPr="00B84EAF">
        <w:t xml:space="preserve">”h) Pelaren för AI-fabriker för tillförlitlig och etisk artificiell intelligens, som omfattar verksamhet för tillhandahållande av en infrastruktur för superdatortjänster inriktade på artificiell intelligens vars syfte är att vidareutveckla innovationsförmågan och kunskaperna inom ekosystemet för artificiell intelligens. </w:t>
      </w:r>
      <w:r w:rsidRPr="00B84EAF">
        <w:rPr>
          <w:b/>
          <w:bCs/>
          <w:i/>
          <w:iCs/>
        </w:rPr>
        <w:t>Verksamheten</w:t>
      </w:r>
      <w:r w:rsidRPr="00B84EAF">
        <w:t xml:space="preserve"> ska </w:t>
      </w:r>
      <w:r w:rsidRPr="00B84EAF">
        <w:rPr>
          <w:b/>
          <w:bCs/>
          <w:i/>
          <w:iCs/>
        </w:rPr>
        <w:t>bland annat</w:t>
      </w:r>
      <w:r w:rsidRPr="00B84EAF">
        <w:t xml:space="preserve"> </w:t>
      </w:r>
      <w:r w:rsidRPr="00B84EAF">
        <w:rPr>
          <w:b/>
          <w:bCs/>
          <w:i/>
          <w:iCs/>
        </w:rPr>
        <w:t>omfatta</w:t>
      </w:r>
      <w:r w:rsidRPr="00B84EAF">
        <w:t xml:space="preserve"> följande:</w:t>
      </w:r>
    </w:p>
    <w:p w:rsidR="00D95D9A" w:rsidRPr="00B84EAF" w:rsidRDefault="00D95D9A" w:rsidP="0031542B">
      <w:pPr>
        <w:pStyle w:val="Point2"/>
        <w:spacing w:line="360" w:lineRule="auto"/>
        <w:jc w:val="left"/>
        <w:rPr>
          <w:noProof/>
        </w:rPr>
      </w:pPr>
      <w:r w:rsidRPr="00B84EAF">
        <w:t>i)</w:t>
      </w:r>
      <w:r w:rsidRPr="00B84EAF">
        <w:tab/>
        <w:t>Förvärv och drift av AI-dedikerade superdatorer som är samlokaliserade med ▌datacentraler eller anslutna till datacentraler via nät med mycket hög hastighet.</w:t>
      </w:r>
    </w:p>
    <w:p w:rsidR="00D95D9A" w:rsidRPr="00B84EAF" w:rsidRDefault="00D95D9A" w:rsidP="0031542B">
      <w:pPr>
        <w:pStyle w:val="Point2"/>
        <w:spacing w:line="360" w:lineRule="auto"/>
        <w:jc w:val="left"/>
        <w:rPr>
          <w:noProof/>
        </w:rPr>
      </w:pPr>
      <w:r w:rsidRPr="00B84EAF">
        <w:t>ii)</w:t>
      </w:r>
      <w:r w:rsidRPr="00B84EAF">
        <w:tab/>
        <w:t xml:space="preserve">Uppgradering av befintliga </w:t>
      </w:r>
      <w:proofErr w:type="spellStart"/>
      <w:r w:rsidRPr="00B84EAF">
        <w:t>EuroHPC</w:t>
      </w:r>
      <w:proofErr w:type="spellEnd"/>
      <w:r w:rsidRPr="00B84EAF">
        <w:t>-superdatorer med kapacitet för artificiell intelligens.</w:t>
      </w:r>
    </w:p>
    <w:p w:rsidR="00D95D9A" w:rsidRPr="00B84EAF" w:rsidRDefault="00D95D9A" w:rsidP="0031542B">
      <w:pPr>
        <w:pStyle w:val="Point2"/>
        <w:spacing w:line="360" w:lineRule="auto"/>
        <w:jc w:val="left"/>
        <w:rPr>
          <w:noProof/>
        </w:rPr>
      </w:pPr>
      <w:r w:rsidRPr="00B84EAF">
        <w:t>iii)</w:t>
      </w:r>
      <w:r w:rsidRPr="00B84EAF">
        <w:tab/>
        <w:t xml:space="preserve">Tillgång till AI-dedikerade superdatorer eller </w:t>
      </w:r>
      <w:proofErr w:type="spellStart"/>
      <w:r w:rsidRPr="00B84EAF">
        <w:t>EuroHPC</w:t>
      </w:r>
      <w:proofErr w:type="spellEnd"/>
      <w:r w:rsidRPr="00B84EAF">
        <w:t xml:space="preserve">-superdatorer som uppgraderats med </w:t>
      </w:r>
      <w:r w:rsidRPr="00B84EAF">
        <w:rPr>
          <w:b/>
          <w:bCs/>
          <w:i/>
          <w:iCs/>
        </w:rPr>
        <w:t>kapacitet för</w:t>
      </w:r>
      <w:r w:rsidRPr="00B84EAF">
        <w:t xml:space="preserve"> artificiell intelligens, vilket innefattar en utvidgning av deras användning till ett stort antal offentliga och privata användare, inbegripet uppstartsföretag,</w:t>
      </w:r>
      <w:r w:rsidRPr="00B84EAF">
        <w:rPr>
          <w:b/>
          <w:bCs/>
          <w:i/>
          <w:iCs/>
        </w:rPr>
        <w:t xml:space="preserve"> </w:t>
      </w:r>
      <w:proofErr w:type="spellStart"/>
      <w:r w:rsidRPr="00B84EAF">
        <w:rPr>
          <w:b/>
          <w:bCs/>
          <w:i/>
          <w:iCs/>
        </w:rPr>
        <w:t>scaleup</w:t>
      </w:r>
      <w:proofErr w:type="spellEnd"/>
      <w:r w:rsidRPr="00B84EAF">
        <w:rPr>
          <w:b/>
          <w:bCs/>
          <w:i/>
          <w:iCs/>
        </w:rPr>
        <w:t xml:space="preserve">-företag, </w:t>
      </w:r>
      <w:r w:rsidRPr="00B84EAF">
        <w:t>små och medelstora företag</w:t>
      </w:r>
      <w:r w:rsidRPr="00B84EAF">
        <w:rPr>
          <w:b/>
          <w:bCs/>
          <w:i/>
          <w:iCs/>
        </w:rPr>
        <w:t>, högre utbildningsanstalter och forskarvärlden</w:t>
      </w:r>
      <w:r w:rsidRPr="00B84EAF">
        <w:t>.</w:t>
      </w:r>
    </w:p>
    <w:p w:rsidR="00D95D9A" w:rsidRPr="00B84EAF" w:rsidRDefault="00D95D9A" w:rsidP="0031542B">
      <w:pPr>
        <w:spacing w:before="120" w:after="120" w:line="360" w:lineRule="auto"/>
        <w:ind w:left="1984" w:hanging="567"/>
        <w:rPr>
          <w:rFonts w:eastAsia="Calibri"/>
          <w:noProof/>
          <w:szCs w:val="22"/>
        </w:rPr>
      </w:pPr>
      <w:proofErr w:type="spellStart"/>
      <w:r w:rsidRPr="00B84EAF">
        <w:rPr>
          <w:b/>
          <w:i/>
        </w:rPr>
        <w:t>iiia</w:t>
      </w:r>
      <w:proofErr w:type="spellEnd"/>
      <w:r w:rsidRPr="00B84EAF">
        <w:rPr>
          <w:b/>
          <w:i/>
        </w:rPr>
        <w:t>)</w:t>
      </w:r>
      <w:r w:rsidRPr="00B84EAF">
        <w:tab/>
      </w:r>
      <w:r w:rsidRPr="00B84EAF">
        <w:rPr>
          <w:b/>
          <w:bCs/>
          <w:i/>
          <w:iCs/>
        </w:rPr>
        <w:t xml:space="preserve">Bred förmedling av de möjligheter som AI-fabrikerna erbjuder uppstartsföretag, </w:t>
      </w:r>
      <w:proofErr w:type="spellStart"/>
      <w:r w:rsidRPr="00B84EAF">
        <w:rPr>
          <w:b/>
          <w:bCs/>
          <w:i/>
          <w:iCs/>
        </w:rPr>
        <w:t>scaleup</w:t>
      </w:r>
      <w:proofErr w:type="spellEnd"/>
      <w:r w:rsidRPr="00B84EAF">
        <w:rPr>
          <w:b/>
          <w:bCs/>
          <w:i/>
          <w:iCs/>
        </w:rPr>
        <w:t>-företag och forsknings- och innovationsgrupper.</w:t>
      </w:r>
    </w:p>
    <w:p w:rsidR="00D95D9A" w:rsidRPr="00B84EAF" w:rsidRDefault="00D95D9A" w:rsidP="0031542B">
      <w:pPr>
        <w:pStyle w:val="Point2"/>
        <w:spacing w:line="360" w:lineRule="auto"/>
        <w:jc w:val="left"/>
        <w:rPr>
          <w:noProof/>
        </w:rPr>
      </w:pPr>
      <w:r w:rsidRPr="00B84EAF">
        <w:t>iv)</w:t>
      </w:r>
      <w:r w:rsidRPr="00B84EAF">
        <w:tab/>
        <w:t xml:space="preserve">Drift av centraliserade eller distribuerade centraler med superdatortjänster inriktade på artificiell intelligens för att stödja de uppstartsföretag och forsknings- och innovationsekosystem inom artificiell intelligens som </w:t>
      </w:r>
      <w:r w:rsidRPr="00B84EAF">
        <w:rPr>
          <w:b/>
          <w:bCs/>
          <w:i/>
          <w:iCs/>
        </w:rPr>
        <w:t>bistår och vägleder användare, främjar tvärvetenskaplig forskning</w:t>
      </w:r>
      <w:r w:rsidRPr="00B84EAF">
        <w:t xml:space="preserve"> </w:t>
      </w:r>
      <w:r w:rsidRPr="00B84EAF">
        <w:rPr>
          <w:b/>
          <w:bCs/>
          <w:i/>
          <w:iCs/>
        </w:rPr>
        <w:t>och</w:t>
      </w:r>
      <w:r w:rsidRPr="00B84EAF">
        <w:t xml:space="preserve"> tillhandahåller algoritmstöd, stöd för vidareutveckling, träning, testning, utvärdering och validering av träningsmodeller och system för artificiell intelligens och stöd för utveckling av framväxande storskaliga tillämpningar med artificiell intelligens inom strategiska områden ▌.</w:t>
      </w:r>
    </w:p>
    <w:p w:rsidR="00D95D9A" w:rsidRPr="00B84EAF" w:rsidRDefault="00D95D9A" w:rsidP="0031542B">
      <w:pPr>
        <w:pStyle w:val="Point2"/>
        <w:spacing w:line="360" w:lineRule="auto"/>
        <w:jc w:val="left"/>
        <w:rPr>
          <w:noProof/>
        </w:rPr>
      </w:pPr>
      <w:r w:rsidRPr="00B84EAF">
        <w:t>v)</w:t>
      </w:r>
      <w:r w:rsidRPr="00B84EAF">
        <w:tab/>
        <w:t>Drift av superdatorvänliga programmeringsinrättningar, inbegripet för parallellisering av tillämpningar med artificiell intelligens för att optimera användningen av superdatorkapacitet</w:t>
      </w:r>
      <w:r w:rsidRPr="00B84EAF">
        <w:rPr>
          <w:b/>
          <w:bCs/>
          <w:i/>
          <w:iCs/>
        </w:rPr>
        <w:t>, och drift av andra superdatortjänster som möjliggör artificiell intelligens</w:t>
      </w:r>
      <w:r w:rsidRPr="00B84EAF">
        <w:t>.</w:t>
      </w:r>
    </w:p>
    <w:p w:rsidR="00D95D9A" w:rsidRPr="00B84EAF" w:rsidRDefault="00D95D9A" w:rsidP="0031542B">
      <w:pPr>
        <w:pStyle w:val="Point2"/>
        <w:spacing w:line="360" w:lineRule="auto"/>
        <w:jc w:val="left"/>
        <w:rPr>
          <w:noProof/>
        </w:rPr>
      </w:pPr>
      <w:r w:rsidRPr="00B84EAF">
        <w:t xml:space="preserve">  ▌</w:t>
      </w:r>
    </w:p>
    <w:p w:rsidR="00D95D9A" w:rsidRPr="00B84EAF" w:rsidRDefault="00D95D9A" w:rsidP="0031542B">
      <w:pPr>
        <w:pStyle w:val="Point2"/>
        <w:spacing w:line="360" w:lineRule="auto"/>
        <w:jc w:val="left"/>
        <w:rPr>
          <w:noProof/>
          <w:color w:val="000000" w:themeColor="text1"/>
        </w:rPr>
      </w:pPr>
      <w:r w:rsidRPr="00B84EAF">
        <w:t>vii)</w:t>
      </w:r>
      <w:r w:rsidRPr="00B84EAF">
        <w:tab/>
      </w:r>
      <w:r w:rsidRPr="00B84EAF">
        <w:rPr>
          <w:b/>
          <w:bCs/>
          <w:i/>
          <w:iCs/>
        </w:rPr>
        <w:t>Genom ett transparent, jämlikt och öppet förfarande,</w:t>
      </w:r>
      <w:r w:rsidRPr="00B84EAF">
        <w:t xml:space="preserve"> lockande, </w:t>
      </w:r>
      <w:proofErr w:type="spellStart"/>
      <w:r w:rsidRPr="00B84EAF">
        <w:t>poolning</w:t>
      </w:r>
      <w:proofErr w:type="spellEnd"/>
      <w:r w:rsidRPr="00B84EAF">
        <w:t xml:space="preserve">, ▌utbildning </w:t>
      </w:r>
      <w:r w:rsidRPr="00B84EAF">
        <w:rPr>
          <w:b/>
          <w:bCs/>
          <w:i/>
          <w:iCs/>
        </w:rPr>
        <w:t>och kvarhållande</w:t>
      </w:r>
      <w:r w:rsidRPr="00B84EAF">
        <w:t xml:space="preserve"> av talanger</w:t>
      </w:r>
      <w:r w:rsidRPr="00B84EAF">
        <w:rPr>
          <w:b/>
          <w:bCs/>
          <w:i/>
          <w:iCs/>
        </w:rPr>
        <w:t>, däribland studenter, utvecklare, forskare och användare,</w:t>
      </w:r>
      <w:r w:rsidRPr="00B84EAF">
        <w:t xml:space="preserve"> för att utveckla deras kompetens</w:t>
      </w:r>
      <w:r w:rsidRPr="00B84EAF">
        <w:rPr>
          <w:b/>
          <w:bCs/>
          <w:i/>
          <w:iCs/>
        </w:rPr>
        <w:t>,</w:t>
      </w:r>
      <w:r w:rsidRPr="00B84EAF">
        <w:t xml:space="preserve"> färdigheter </w:t>
      </w:r>
      <w:r w:rsidRPr="00B84EAF">
        <w:rPr>
          <w:b/>
          <w:bCs/>
          <w:i/>
          <w:iCs/>
        </w:rPr>
        <w:t>och kunskap</w:t>
      </w:r>
      <w:r w:rsidRPr="00B84EAF">
        <w:t xml:space="preserve"> i användandet av </w:t>
      </w:r>
      <w:proofErr w:type="spellStart"/>
      <w:r w:rsidRPr="00B84EAF">
        <w:t>EuroHPC</w:t>
      </w:r>
      <w:proofErr w:type="spellEnd"/>
      <w:r w:rsidRPr="00B84EAF">
        <w:t xml:space="preserve">-superdatorer för artificiell intelligens </w:t>
      </w:r>
      <w:r w:rsidRPr="00B84EAF">
        <w:rPr>
          <w:b/>
          <w:bCs/>
          <w:i/>
          <w:iCs/>
        </w:rPr>
        <w:t>samt erbjudande av skräddarsydd coachning</w:t>
      </w:r>
      <w:r w:rsidRPr="00B84EAF">
        <w:t>.</w:t>
      </w:r>
    </w:p>
    <w:p w:rsidR="00D95D9A" w:rsidRPr="00B84EAF" w:rsidRDefault="00D95D9A" w:rsidP="0031542B">
      <w:pPr>
        <w:pStyle w:val="Point2"/>
        <w:spacing w:line="360" w:lineRule="auto"/>
        <w:jc w:val="left"/>
        <w:rPr>
          <w:rFonts w:eastAsia="Times New Roman"/>
          <w:noProof/>
          <w:szCs w:val="24"/>
        </w:rPr>
      </w:pPr>
      <w:r w:rsidRPr="00B84EAF">
        <w:rPr>
          <w:color w:val="000000" w:themeColor="text1"/>
        </w:rPr>
        <w:t>viii)</w:t>
      </w:r>
      <w:r w:rsidRPr="00B84EAF">
        <w:rPr>
          <w:color w:val="000000" w:themeColor="text1"/>
        </w:rPr>
        <w:tab/>
      </w:r>
      <w:r w:rsidRPr="00B84EAF">
        <w:t>Interaktion med de andra AI-fabrikerna, med tillgängliggörande av deras tjänster i hela Europa</w:t>
      </w:r>
      <w:r w:rsidRPr="00B84EAF">
        <w:rPr>
          <w:b/>
          <w:bCs/>
          <w:i/>
          <w:iCs/>
        </w:rPr>
        <w:t>, med ständigt iakttagande av geografisk balans och en jämn könsfördelning,</w:t>
      </w:r>
      <w:r w:rsidRPr="00B84EAF">
        <w:t xml:space="preserve"> och samarbete med </w:t>
      </w:r>
      <w:proofErr w:type="spellStart"/>
      <w:r w:rsidRPr="00B84EAF">
        <w:t>EuroHPC</w:t>
      </w:r>
      <w:proofErr w:type="spellEnd"/>
      <w:r w:rsidRPr="00B84EAF">
        <w:t xml:space="preserve">-kompetenscentrum och </w:t>
      </w:r>
      <w:proofErr w:type="spellStart"/>
      <w:r w:rsidRPr="00B84EAF">
        <w:t>EuroHPC</w:t>
      </w:r>
      <w:proofErr w:type="spellEnd"/>
      <w:r w:rsidRPr="00B84EAF">
        <w:t xml:space="preserve">-spjutspetsenheter och med relevanta unionsinitiativ för artificiell intelligens, såsom naven för uppstartsföretag inom artificiell intelligens, ekosystem av artificiell intelligens och data, test- och experimentanläggningar för artificiell intelligens, den europeiska centrala plattformen för artificiell intelligens, de digitala innovationsnaven inriktade på artificiell intelligens, kunskaps- och innovationsgrupperna hos Europeiska institutet för innovation och teknik som är inriktade på artificiell intelligens, </w:t>
      </w:r>
      <w:r w:rsidRPr="00B84EAF">
        <w:rPr>
          <w:b/>
          <w:bCs/>
          <w:i/>
          <w:iCs/>
        </w:rPr>
        <w:t>gemensamma företag och partnerskap inom Horisont Europa som är inriktade på artificiell intelligens samt</w:t>
      </w:r>
      <w:r w:rsidRPr="00B84EAF">
        <w:t xml:space="preserve"> relevanta europeiska forskningsinfrastrukturer och andra relaterade initiativ.</w:t>
      </w:r>
    </w:p>
    <w:p w:rsidR="00D95D9A" w:rsidRPr="00B84EAF" w:rsidRDefault="00D95D9A" w:rsidP="0031542B">
      <w:pPr>
        <w:spacing w:before="120" w:after="120" w:line="360" w:lineRule="auto"/>
        <w:ind w:left="1984" w:hanging="567"/>
        <w:rPr>
          <w:b/>
          <w:i/>
          <w:noProof/>
        </w:rPr>
      </w:pPr>
      <w:proofErr w:type="spellStart"/>
      <w:r w:rsidRPr="00B84EAF">
        <w:rPr>
          <w:b/>
          <w:i/>
        </w:rPr>
        <w:t>viiia</w:t>
      </w:r>
      <w:proofErr w:type="spellEnd"/>
      <w:r w:rsidRPr="00B84EAF">
        <w:rPr>
          <w:b/>
          <w:i/>
        </w:rPr>
        <w:t xml:space="preserve">) </w:t>
      </w:r>
      <w:r w:rsidRPr="00B84EAF">
        <w:rPr>
          <w:b/>
          <w:i/>
        </w:rPr>
        <w:tab/>
        <w:t>Underhåll och optimering av superdatorer med kapacitet för artificiell intelligens, med säkerställande av deras tillförlitlighet och prestanda för avancerade datoruppgifter.”</w:t>
      </w:r>
    </w:p>
    <w:p w:rsidR="00D95D9A" w:rsidRPr="00B84EAF" w:rsidRDefault="00D95D9A" w:rsidP="0031542B">
      <w:pPr>
        <w:pStyle w:val="Point0"/>
        <w:spacing w:line="360" w:lineRule="auto"/>
        <w:jc w:val="left"/>
        <w:rPr>
          <w:noProof/>
        </w:rPr>
      </w:pPr>
      <w:r w:rsidRPr="00B84EAF">
        <w:t>4.</w:t>
      </w:r>
      <w:r w:rsidRPr="00B84EAF">
        <w:tab/>
        <w:t xml:space="preserve">▌Artikel 9.5 ska </w:t>
      </w:r>
      <w:r w:rsidRPr="00B84EAF">
        <w:rPr>
          <w:b/>
          <w:bCs/>
          <w:i/>
          <w:iCs/>
        </w:rPr>
        <w:t>ändras på följande sätt:</w:t>
      </w:r>
    </w:p>
    <w:p w:rsidR="00D95D9A" w:rsidRPr="00B84EAF" w:rsidRDefault="00D95D9A" w:rsidP="0031542B">
      <w:pPr>
        <w:pStyle w:val="Point0"/>
        <w:spacing w:line="360" w:lineRule="auto"/>
        <w:ind w:firstLine="0"/>
        <w:jc w:val="left"/>
        <w:rPr>
          <w:noProof/>
        </w:rPr>
      </w:pPr>
      <w:r w:rsidRPr="00B84EAF">
        <w:rPr>
          <w:b/>
          <w:i/>
        </w:rPr>
        <w:t>a)</w:t>
      </w:r>
      <w:r w:rsidRPr="00B84EAF">
        <w:rPr>
          <w:b/>
          <w:i/>
        </w:rPr>
        <w:tab/>
      </w:r>
      <w:r w:rsidRPr="00B84EAF">
        <w:t xml:space="preserve">Följande led ska läggas till som led g: </w:t>
      </w:r>
    </w:p>
    <w:p w:rsidR="00D95D9A" w:rsidRPr="00B84EAF" w:rsidRDefault="00D95D9A" w:rsidP="0031542B">
      <w:pPr>
        <w:pStyle w:val="Point1"/>
        <w:spacing w:line="360" w:lineRule="auto"/>
        <w:jc w:val="left"/>
        <w:rPr>
          <w:noProof/>
        </w:rPr>
      </w:pPr>
      <w:r w:rsidRPr="00B84EAF">
        <w:t xml:space="preserve">”g) </w:t>
      </w:r>
      <w:r w:rsidRPr="00B84EAF">
        <w:tab/>
        <w:t xml:space="preserve">För AI-dedikerade superdatorer ska följande ytterligare urvalskriterier gälla för </w:t>
      </w:r>
      <w:proofErr w:type="spellStart"/>
      <w:r w:rsidRPr="00B84EAF">
        <w:t>värdenheterna</w:t>
      </w:r>
      <w:proofErr w:type="spellEnd"/>
      <w:r w:rsidRPr="00B84EAF">
        <w:t>:</w:t>
      </w:r>
    </w:p>
    <w:p w:rsidR="00D95D9A" w:rsidRPr="00B84EAF" w:rsidRDefault="00D95D9A" w:rsidP="0031542B">
      <w:pPr>
        <w:pStyle w:val="Point1"/>
        <w:tabs>
          <w:tab w:val="left" w:pos="1843"/>
        </w:tabs>
        <w:spacing w:line="360" w:lineRule="auto"/>
        <w:ind w:left="1843" w:hanging="425"/>
        <w:jc w:val="left"/>
        <w:rPr>
          <w:noProof/>
        </w:rPr>
      </w:pPr>
      <w:r w:rsidRPr="00B84EAF">
        <w:t>i)</w:t>
      </w:r>
      <w:r w:rsidRPr="00B84EAF">
        <w:tab/>
        <w:t xml:space="preserve">Närhet </w:t>
      </w:r>
      <w:r w:rsidRPr="00B84EAF">
        <w:rPr>
          <w:b/>
          <w:bCs/>
          <w:i/>
          <w:iCs/>
        </w:rPr>
        <w:t>eller anslutning via nät med mycket hög hastighet</w:t>
      </w:r>
      <w:r w:rsidRPr="00B84EAF">
        <w:t xml:space="preserve"> till en </w:t>
      </w:r>
      <w:r w:rsidRPr="00B84EAF">
        <w:rPr>
          <w:b/>
          <w:bCs/>
          <w:i/>
          <w:iCs/>
        </w:rPr>
        <w:t>planerad eller</w:t>
      </w:r>
      <w:r w:rsidRPr="00B84EAF">
        <w:t xml:space="preserve"> etablerad datacentral</w:t>
      </w:r>
      <w:r w:rsidRPr="00B84EAF">
        <w:rPr>
          <w:b/>
          <w:bCs/>
          <w:i/>
          <w:iCs/>
        </w:rPr>
        <w:t>, i enlighet med artikel 12 i direktiv (EU) 2023/1791</w:t>
      </w:r>
      <w:r w:rsidRPr="00B84EAF">
        <w:t>.</w:t>
      </w:r>
    </w:p>
    <w:p w:rsidR="00D95D9A" w:rsidRPr="00B84EAF" w:rsidRDefault="00D95D9A" w:rsidP="0031542B">
      <w:pPr>
        <w:pStyle w:val="Point1"/>
        <w:tabs>
          <w:tab w:val="left" w:pos="1843"/>
        </w:tabs>
        <w:spacing w:line="360" w:lineRule="auto"/>
        <w:ind w:left="1843" w:hanging="425"/>
        <w:jc w:val="left"/>
        <w:rPr>
          <w:noProof/>
        </w:rPr>
      </w:pPr>
      <w:proofErr w:type="spellStart"/>
      <w:r w:rsidRPr="00B84EAF">
        <w:rPr>
          <w:b/>
          <w:i/>
        </w:rPr>
        <w:t>ia</w:t>
      </w:r>
      <w:proofErr w:type="spellEnd"/>
      <w:r w:rsidRPr="00B84EAF">
        <w:rPr>
          <w:b/>
          <w:i/>
        </w:rPr>
        <w:t xml:space="preserve">) </w:t>
      </w:r>
      <w:r w:rsidRPr="00B84EAF">
        <w:rPr>
          <w:b/>
          <w:i/>
        </w:rPr>
        <w:tab/>
      </w:r>
      <w:proofErr w:type="spellStart"/>
      <w:r w:rsidRPr="00B84EAF">
        <w:rPr>
          <w:b/>
          <w:bCs/>
          <w:i/>
          <w:iCs/>
        </w:rPr>
        <w:t>Värdenhetens</w:t>
      </w:r>
      <w:proofErr w:type="spellEnd"/>
      <w:r w:rsidRPr="00B84EAF">
        <w:rPr>
          <w:b/>
          <w:bCs/>
          <w:i/>
          <w:iCs/>
        </w:rPr>
        <w:t xml:space="preserve"> vision och planer beträffande den AI-dedikerade superdatorns energieffektivitet och miljöhållbarhet, med användning av en livscykelstrategi, lämplig tillgång till ren energi till ett överkomligt pris, även genom energiköpsavtal som kan baseras på förnybar energi, och användning av lokalproducerad el.</w:t>
      </w:r>
    </w:p>
    <w:p w:rsidR="00D95D9A" w:rsidRPr="00B84EAF" w:rsidRDefault="00D95D9A" w:rsidP="0031542B">
      <w:pPr>
        <w:pStyle w:val="Point1"/>
        <w:tabs>
          <w:tab w:val="left" w:pos="1843"/>
        </w:tabs>
        <w:spacing w:line="360" w:lineRule="auto"/>
        <w:ind w:left="1843" w:hanging="425"/>
        <w:jc w:val="left"/>
        <w:rPr>
          <w:noProof/>
        </w:rPr>
      </w:pPr>
      <w:r w:rsidRPr="00B84EAF">
        <w:t>ii)</w:t>
      </w:r>
      <w:r w:rsidRPr="00B84EAF">
        <w:tab/>
      </w:r>
      <w:proofErr w:type="spellStart"/>
      <w:r w:rsidRPr="00B84EAF">
        <w:t>Värdenhetens</w:t>
      </w:r>
      <w:proofErr w:type="spellEnd"/>
      <w:r w:rsidRPr="00B84EAF">
        <w:t xml:space="preserve"> vision, planer och kapacitet att ta itu med utmaningarna för ekosystemet av uppstartsföretag och forsknings- och innovationsekosystemet inom artificiell intelligens och för användarna av artificiell intelligens</w:t>
      </w:r>
      <w:r w:rsidRPr="00B84EAF">
        <w:rPr>
          <w:b/>
          <w:bCs/>
          <w:i/>
          <w:iCs/>
        </w:rPr>
        <w:t>, att förbättra ett sådant ekosystem genom att främja synergier och innovation, inbegripet investeringar i framtidens teknik, och att bidra till samt tillhandahålla</w:t>
      </w:r>
      <w:r w:rsidRPr="00B84EAF">
        <w:t xml:space="preserve"> en stödjande centraliserad eller distribuerad superdatortjänst inriktad på artificiell intelligens.</w:t>
      </w:r>
    </w:p>
    <w:p w:rsidR="00D95D9A" w:rsidRPr="00B84EAF" w:rsidRDefault="00D95D9A" w:rsidP="0031542B">
      <w:pPr>
        <w:pStyle w:val="Point1"/>
        <w:tabs>
          <w:tab w:val="left" w:pos="1843"/>
        </w:tabs>
        <w:spacing w:line="360" w:lineRule="auto"/>
        <w:ind w:left="1843" w:hanging="425"/>
        <w:jc w:val="left"/>
        <w:rPr>
          <w:noProof/>
        </w:rPr>
      </w:pPr>
      <w:r w:rsidRPr="00B84EAF">
        <w:t>iii)</w:t>
      </w:r>
      <w:r w:rsidRPr="00B84EAF">
        <w:tab/>
        <w:t>Kvalitet och relevans i fråga om erfarenhet och know-how hos den planerade grupp som kommer att ansvara för den stödjande miljön för superdatortjänster inriktade på artificiell intelligens.</w:t>
      </w:r>
    </w:p>
    <w:p w:rsidR="00D95D9A" w:rsidRPr="00B84EAF" w:rsidRDefault="00D95D9A" w:rsidP="0031542B">
      <w:pPr>
        <w:pStyle w:val="Point1"/>
        <w:tabs>
          <w:tab w:val="left" w:pos="1843"/>
        </w:tabs>
        <w:spacing w:line="360" w:lineRule="auto"/>
        <w:ind w:left="1843" w:hanging="425"/>
        <w:jc w:val="left"/>
        <w:rPr>
          <w:noProof/>
        </w:rPr>
      </w:pPr>
      <w:r w:rsidRPr="00B84EAF">
        <w:t xml:space="preserve">iv) Planer för samverkan och samarbete med andra AI-fabriker, med </w:t>
      </w:r>
      <w:proofErr w:type="spellStart"/>
      <w:r w:rsidRPr="00B84EAF">
        <w:t>EuroHPC</w:t>
      </w:r>
      <w:proofErr w:type="spellEnd"/>
      <w:r w:rsidRPr="00B84EAF">
        <w:t xml:space="preserve">-kompetenscentrum och </w:t>
      </w:r>
      <w:proofErr w:type="spellStart"/>
      <w:r w:rsidRPr="00B84EAF">
        <w:t>EuroHPC</w:t>
      </w:r>
      <w:proofErr w:type="spellEnd"/>
      <w:r w:rsidRPr="00B84EAF">
        <w:t>-spjutspetsenheter och med relevant verksamhet inom artificiell intelligens såsom nav för uppstartsföretag inom artificiell intelligens, ekosystemen av artificiell intelligens och data, test- och experimentanläggningar för artificiell intelligens, den europeiska centrala plattformen för artificiell intelligens, de digitala innovationsnaven inriktade på artificiell intelligens och andra relaterade initiativ.</w:t>
      </w:r>
    </w:p>
    <w:p w:rsidR="00D95D9A" w:rsidRPr="00B84EAF" w:rsidRDefault="00D95D9A" w:rsidP="0031542B">
      <w:pPr>
        <w:pStyle w:val="Point1"/>
        <w:tabs>
          <w:tab w:val="left" w:pos="1843"/>
        </w:tabs>
        <w:spacing w:line="360" w:lineRule="auto"/>
        <w:ind w:left="1843" w:hanging="425"/>
        <w:jc w:val="left"/>
        <w:rPr>
          <w:noProof/>
        </w:rPr>
      </w:pPr>
      <w:r w:rsidRPr="00B84EAF">
        <w:t xml:space="preserve">v) </w:t>
      </w:r>
      <w:proofErr w:type="spellStart"/>
      <w:r w:rsidRPr="00B84EAF">
        <w:t>Värdenhetens</w:t>
      </w:r>
      <w:proofErr w:type="spellEnd"/>
      <w:r w:rsidRPr="00B84EAF">
        <w:t xml:space="preserve"> befintliga kapacitet och framtida planer för att bidra till utvecklingen</w:t>
      </w:r>
      <w:r w:rsidRPr="00B84EAF">
        <w:rPr>
          <w:b/>
          <w:bCs/>
          <w:i/>
          <w:iCs/>
        </w:rPr>
        <w:t>, lockandet, utbildningen och kvarhållandet</w:t>
      </w:r>
      <w:r w:rsidRPr="00B84EAF">
        <w:t xml:space="preserve"> av talangreserven </w:t>
      </w:r>
      <w:r w:rsidRPr="00B84EAF">
        <w:rPr>
          <w:b/>
          <w:bCs/>
          <w:i/>
          <w:iCs/>
        </w:rPr>
        <w:t>och till skapandet av färdigheter, kapacitet och kompetens att använda superdatorer, inbegripet i form av stöd till uppstartsföretag genom inkubator- eller acceleratorprogram.</w:t>
      </w:r>
    </w:p>
    <w:p w:rsidR="00D95D9A" w:rsidRPr="00B84EAF" w:rsidRDefault="00D95D9A" w:rsidP="0031542B">
      <w:pPr>
        <w:pStyle w:val="Point1"/>
        <w:spacing w:line="360" w:lineRule="auto"/>
        <w:jc w:val="left"/>
        <w:rPr>
          <w:noProof/>
        </w:rPr>
      </w:pPr>
      <w:proofErr w:type="spellStart"/>
      <w:r w:rsidRPr="00B84EAF">
        <w:rPr>
          <w:b/>
          <w:i/>
        </w:rPr>
        <w:t>ga</w:t>
      </w:r>
      <w:proofErr w:type="spellEnd"/>
      <w:r w:rsidRPr="00B84EAF">
        <w:rPr>
          <w:b/>
          <w:i/>
        </w:rPr>
        <w:t>)</w:t>
      </w:r>
      <w:r w:rsidRPr="00B84EAF">
        <w:rPr>
          <w:b/>
          <w:i/>
        </w:rPr>
        <w:tab/>
      </w:r>
      <w:r w:rsidRPr="00B84EAF">
        <w:rPr>
          <w:b/>
          <w:bCs/>
          <w:i/>
          <w:iCs/>
        </w:rPr>
        <w:t xml:space="preserve">En befintlig </w:t>
      </w:r>
      <w:proofErr w:type="spellStart"/>
      <w:r w:rsidRPr="00B84EAF">
        <w:rPr>
          <w:b/>
          <w:bCs/>
          <w:i/>
          <w:iCs/>
        </w:rPr>
        <w:t>värdenhet</w:t>
      </w:r>
      <w:proofErr w:type="spellEnd"/>
      <w:r w:rsidRPr="00B84EAF">
        <w:rPr>
          <w:b/>
          <w:bCs/>
          <w:i/>
          <w:iCs/>
        </w:rPr>
        <w:t xml:space="preserve"> som väljs ut av styrelsen genom ett rättvist och transparent förfarande och efter en inbjudan att anmäla intresse får inrätta en AI-fabrik om den uppfyller de kriterier som avses i artikel 9.5 g</w:t>
      </w:r>
      <w:r w:rsidRPr="00B84EAF">
        <w:t>.”</w:t>
      </w:r>
    </w:p>
    <w:p w:rsidR="00D95D9A" w:rsidRPr="00B84EAF" w:rsidRDefault="00D95D9A" w:rsidP="0031542B">
      <w:pPr>
        <w:pStyle w:val="Point0"/>
        <w:spacing w:line="360" w:lineRule="auto"/>
        <w:ind w:hanging="708"/>
        <w:jc w:val="left"/>
        <w:rPr>
          <w:noProof/>
        </w:rPr>
      </w:pPr>
      <w:r w:rsidRPr="00B84EAF">
        <w:t>5.</w:t>
      </w:r>
      <w:r w:rsidRPr="00B84EAF">
        <w:tab/>
        <w:t>I artikel 9 ska följande punkt läggas till som punkt 6a:</w:t>
      </w:r>
    </w:p>
    <w:p w:rsidR="00D95D9A" w:rsidRPr="00B84EAF" w:rsidRDefault="00D95D9A" w:rsidP="0031542B">
      <w:pPr>
        <w:pStyle w:val="Point2"/>
        <w:spacing w:line="360" w:lineRule="auto"/>
        <w:ind w:left="1276" w:hanging="425"/>
        <w:jc w:val="left"/>
        <w:rPr>
          <w:i/>
          <w:iCs/>
          <w:noProof/>
        </w:rPr>
      </w:pPr>
      <w:r w:rsidRPr="00B84EAF">
        <w:t xml:space="preserve">”6a. </w:t>
      </w:r>
      <w:r w:rsidRPr="00B84EAF">
        <w:tab/>
      </w:r>
      <w:proofErr w:type="spellStart"/>
      <w:r w:rsidRPr="00B84EAF">
        <w:rPr>
          <w:b/>
          <w:bCs/>
          <w:i/>
          <w:iCs/>
        </w:rPr>
        <w:t>Värdenheterna</w:t>
      </w:r>
      <w:proofErr w:type="spellEnd"/>
      <w:r w:rsidRPr="00B84EAF">
        <w:t xml:space="preserve"> ska, för de AI-dedikerade superdatorer som avses i artikel 12a</w:t>
      </w:r>
      <w:r w:rsidRPr="00B84EAF">
        <w:rPr>
          <w:b/>
          <w:bCs/>
          <w:i/>
          <w:iCs/>
        </w:rPr>
        <w:t xml:space="preserve">, samt för de </w:t>
      </w:r>
      <w:proofErr w:type="spellStart"/>
      <w:r w:rsidRPr="00B84EAF">
        <w:rPr>
          <w:b/>
          <w:bCs/>
          <w:i/>
          <w:iCs/>
        </w:rPr>
        <w:t>EuroHPC</w:t>
      </w:r>
      <w:proofErr w:type="spellEnd"/>
      <w:r w:rsidRPr="00B84EAF">
        <w:rPr>
          <w:b/>
          <w:bCs/>
          <w:i/>
          <w:iCs/>
        </w:rPr>
        <w:t>-superdatorer som avses i artiklarna 11, 12, 12a, 14 och 15</w:t>
      </w:r>
      <w:r w:rsidRPr="00B84EAF">
        <w:t>, inrätta en enda kontaktpunkt för uppstartsföretag</w:t>
      </w:r>
      <w:r w:rsidRPr="00B84EAF">
        <w:rPr>
          <w:b/>
          <w:bCs/>
          <w:i/>
          <w:iCs/>
        </w:rPr>
        <w:t xml:space="preserve">, </w:t>
      </w:r>
      <w:proofErr w:type="spellStart"/>
      <w:r w:rsidRPr="00B84EAF">
        <w:rPr>
          <w:b/>
          <w:bCs/>
          <w:i/>
          <w:iCs/>
        </w:rPr>
        <w:t>scaleup</w:t>
      </w:r>
      <w:proofErr w:type="spellEnd"/>
      <w:r w:rsidRPr="00B84EAF">
        <w:rPr>
          <w:b/>
          <w:bCs/>
          <w:i/>
          <w:iCs/>
        </w:rPr>
        <w:t>-företag, små och medelstora företag</w:t>
      </w:r>
      <w:r w:rsidRPr="00B84EAF">
        <w:t xml:space="preserve"> och andra användare för att underlätta tillgången till sina stödtjänster </w:t>
      </w:r>
      <w:r w:rsidRPr="00B84EAF">
        <w:rPr>
          <w:b/>
          <w:bCs/>
          <w:i/>
          <w:iCs/>
        </w:rPr>
        <w:t>och för att stödja utvecklingen av deras färdigheter och kompetens</w:t>
      </w:r>
      <w:r w:rsidRPr="00B84EAF">
        <w:t>.”</w:t>
      </w:r>
    </w:p>
    <w:p w:rsidR="00D95D9A" w:rsidRPr="00B84EAF" w:rsidRDefault="00D95D9A" w:rsidP="0031542B">
      <w:pPr>
        <w:pStyle w:val="Point0"/>
        <w:spacing w:line="360" w:lineRule="auto"/>
        <w:jc w:val="left"/>
        <w:rPr>
          <w:noProof/>
        </w:rPr>
      </w:pPr>
      <w:r w:rsidRPr="00B84EAF">
        <w:t>6.</w:t>
      </w:r>
      <w:r w:rsidRPr="00B84EAF">
        <w:tab/>
        <w:t>I artikel 10.2 ska led l ersättas med följande:</w:t>
      </w:r>
    </w:p>
    <w:p w:rsidR="00D95D9A" w:rsidRPr="00B84EAF" w:rsidRDefault="00D95D9A" w:rsidP="0031542B">
      <w:pPr>
        <w:pStyle w:val="Point2"/>
        <w:spacing w:line="360" w:lineRule="auto"/>
        <w:ind w:left="1276" w:hanging="425"/>
        <w:jc w:val="left"/>
        <w:rPr>
          <w:i/>
          <w:iCs/>
          <w:noProof/>
        </w:rPr>
      </w:pPr>
      <w:r w:rsidRPr="00B84EAF">
        <w:t xml:space="preserve">”l) </w:t>
      </w:r>
      <w:r w:rsidRPr="00B84EAF">
        <w:tab/>
        <w:t xml:space="preserve">De särskilda villkor som är tillämpliga när en </w:t>
      </w:r>
      <w:proofErr w:type="spellStart"/>
      <w:r w:rsidRPr="00B84EAF">
        <w:t>värdenhet</w:t>
      </w:r>
      <w:proofErr w:type="spellEnd"/>
      <w:r w:rsidRPr="00B84EAF">
        <w:t xml:space="preserve"> driver en </w:t>
      </w:r>
      <w:proofErr w:type="spellStart"/>
      <w:r w:rsidRPr="00B84EAF">
        <w:t>EuroHPC</w:t>
      </w:r>
      <w:proofErr w:type="spellEnd"/>
      <w:r w:rsidRPr="00B84EAF">
        <w:t>-superdator för industriell användning</w:t>
      </w:r>
      <w:r w:rsidRPr="00B84EAF">
        <w:rPr>
          <w:b/>
          <w:bCs/>
          <w:i/>
          <w:iCs/>
        </w:rPr>
        <w:t>,</w:t>
      </w:r>
      <w:r w:rsidRPr="00B84EAF">
        <w:t xml:space="preserve"> en AI-dedikerad superdator </w:t>
      </w:r>
      <w:r w:rsidRPr="00B84EAF">
        <w:rPr>
          <w:b/>
          <w:bCs/>
          <w:i/>
          <w:iCs/>
        </w:rPr>
        <w:t xml:space="preserve">eller en befintlig </w:t>
      </w:r>
      <w:proofErr w:type="spellStart"/>
      <w:r w:rsidRPr="00B84EAF">
        <w:rPr>
          <w:b/>
          <w:bCs/>
          <w:i/>
          <w:iCs/>
        </w:rPr>
        <w:t>EuroHPC</w:t>
      </w:r>
      <w:proofErr w:type="spellEnd"/>
      <w:r w:rsidRPr="00B84EAF">
        <w:rPr>
          <w:b/>
          <w:bCs/>
          <w:i/>
          <w:iCs/>
        </w:rPr>
        <w:t>-superdator som uppgraderats med kapacitet</w:t>
      </w:r>
      <w:r w:rsidRPr="00B84EAF">
        <w:t xml:space="preserve"> </w:t>
      </w:r>
      <w:r w:rsidRPr="00B84EAF">
        <w:rPr>
          <w:b/>
          <w:bCs/>
          <w:i/>
          <w:iCs/>
        </w:rPr>
        <w:t>för artificiell intelligens</w:t>
      </w:r>
      <w:r w:rsidRPr="00B84EAF">
        <w:t>.”</w:t>
      </w:r>
    </w:p>
    <w:p w:rsidR="00D95D9A" w:rsidRPr="00B84EAF" w:rsidRDefault="00D95D9A" w:rsidP="0031542B">
      <w:pPr>
        <w:pStyle w:val="Point0"/>
        <w:spacing w:line="360" w:lineRule="auto"/>
        <w:jc w:val="left"/>
        <w:rPr>
          <w:noProof/>
        </w:rPr>
      </w:pPr>
      <w:r w:rsidRPr="00B84EAF">
        <w:t>7.</w:t>
      </w:r>
      <w:r w:rsidRPr="00B84EAF">
        <w:tab/>
        <w:t>Följande artikel ska införas som artikel 12a:</w:t>
      </w:r>
    </w:p>
    <w:p w:rsidR="00D95D9A" w:rsidRPr="00B84EAF" w:rsidRDefault="00D95D9A" w:rsidP="0031542B">
      <w:pPr>
        <w:pStyle w:val="Point2"/>
        <w:spacing w:line="360" w:lineRule="auto"/>
        <w:ind w:left="720" w:firstLine="0"/>
        <w:jc w:val="left"/>
        <w:rPr>
          <w:noProof/>
        </w:rPr>
      </w:pPr>
      <w:r w:rsidRPr="00B84EAF">
        <w:t>”</w:t>
      </w:r>
      <w:r w:rsidRPr="00B84EAF">
        <w:rPr>
          <w:i/>
          <w:iCs/>
        </w:rPr>
        <w:t>Artikel 12a</w:t>
      </w:r>
      <w:r w:rsidRPr="00B84EAF">
        <w:br/>
        <w:t>Förvärv och ägande av AI-dedikerade superdatorer</w:t>
      </w:r>
    </w:p>
    <w:p w:rsidR="00D95D9A" w:rsidRPr="00B84EAF" w:rsidRDefault="00D95D9A" w:rsidP="0031542B">
      <w:pPr>
        <w:pStyle w:val="ManualNumPar1"/>
        <w:spacing w:line="360" w:lineRule="auto"/>
        <w:ind w:left="1570"/>
        <w:jc w:val="left"/>
        <w:rPr>
          <w:noProof/>
        </w:rPr>
      </w:pPr>
      <w:r w:rsidRPr="00B84EAF">
        <w:t>1.</w:t>
      </w:r>
      <w:r w:rsidRPr="00B84EAF">
        <w:tab/>
        <w:t>Det gemensamma företaget ska upphandla AI-dedikerade superdatorer och ska äga dem.</w:t>
      </w:r>
    </w:p>
    <w:p w:rsidR="00D95D9A" w:rsidRPr="00B84EAF" w:rsidRDefault="00D95D9A" w:rsidP="0031542B">
      <w:pPr>
        <w:pStyle w:val="ManualNumPar1"/>
        <w:spacing w:line="360" w:lineRule="auto"/>
        <w:ind w:left="1570"/>
        <w:jc w:val="left"/>
        <w:rPr>
          <w:noProof/>
        </w:rPr>
      </w:pPr>
      <w:r w:rsidRPr="00B84EAF">
        <w:t>2.</w:t>
      </w:r>
      <w:r w:rsidRPr="00B84EAF">
        <w:tab/>
        <w:t>Unionens finansiella bidrag enligt artikel 5.1 ska täcka upp till 50 % av anskaffningskostnaderna plus upp till 50 % av driftskostnaderna för AI-dedikerade superdatorer.</w:t>
      </w:r>
    </w:p>
    <w:p w:rsidR="00D95D9A" w:rsidRPr="00B84EAF" w:rsidRDefault="00D95D9A" w:rsidP="0031542B">
      <w:pPr>
        <w:pStyle w:val="Text1"/>
        <w:spacing w:line="360" w:lineRule="auto"/>
        <w:ind w:left="1570"/>
        <w:jc w:val="left"/>
        <w:rPr>
          <w:noProof/>
        </w:rPr>
      </w:pPr>
      <w:r w:rsidRPr="00B84EAF">
        <w:t xml:space="preserve">Den återstående andelen av den totala ägandekostnaden för de AI-dedikerade superdatorerna ska täckas av den deltagande stat där </w:t>
      </w:r>
      <w:proofErr w:type="spellStart"/>
      <w:r w:rsidRPr="00B84EAF">
        <w:t>värdenheten</w:t>
      </w:r>
      <w:proofErr w:type="spellEnd"/>
      <w:r w:rsidRPr="00B84EAF">
        <w:t xml:space="preserve"> är etablerad eller av de deltagande staterna i värdkonsortiet och eventuellt kompletteras med de bidrag som avses i artikel 6.</w:t>
      </w:r>
    </w:p>
    <w:p w:rsidR="00D95D9A" w:rsidRPr="00B84EAF" w:rsidRDefault="00D95D9A" w:rsidP="0031542B">
      <w:pPr>
        <w:pStyle w:val="ManualNumPar1"/>
        <w:spacing w:line="360" w:lineRule="auto"/>
        <w:ind w:left="1570"/>
        <w:jc w:val="left"/>
        <w:rPr>
          <w:noProof/>
        </w:rPr>
      </w:pPr>
      <w:r w:rsidRPr="00B84EAF">
        <w:t>3.</w:t>
      </w:r>
      <w:r w:rsidRPr="00B84EAF">
        <w:tab/>
        <w:t xml:space="preserve">Leverantören av de AI-dedikerade superdatorerna ska väljas ut på grundval av kravspecifikationer som ska vara efterfrågestyrda och beakta de användarkrav och allmänna systemspecifikationer som den utvalda </w:t>
      </w:r>
      <w:proofErr w:type="spellStart"/>
      <w:r w:rsidRPr="00B84EAF">
        <w:t>värdenheten</w:t>
      </w:r>
      <w:proofErr w:type="spellEnd"/>
      <w:r w:rsidRPr="00B84EAF">
        <w:t xml:space="preserve"> anger i sin ansökan till inbjudan att anmäla intresse. Urvalet ska också ske med beaktande av säkerheten i leveranskedjan.</w:t>
      </w:r>
    </w:p>
    <w:p w:rsidR="00D95D9A" w:rsidRPr="00B84EAF" w:rsidRDefault="00D95D9A" w:rsidP="0031542B">
      <w:pPr>
        <w:pStyle w:val="ManualNumPar1"/>
        <w:spacing w:line="360" w:lineRule="auto"/>
        <w:ind w:left="1570"/>
        <w:jc w:val="left"/>
        <w:rPr>
          <w:noProof/>
        </w:rPr>
      </w:pPr>
      <w:r w:rsidRPr="00B84EAF">
        <w:t>4.</w:t>
      </w:r>
      <w:r w:rsidRPr="00B84EAF">
        <w:tab/>
        <w:t>Det gemensamma företaget får agera som första användare av AI-dedikerade superdatorer som integrerar teknik som främst utvecklas i unionen.</w:t>
      </w:r>
    </w:p>
    <w:p w:rsidR="00D95D9A" w:rsidRPr="00B84EAF" w:rsidRDefault="00D95D9A" w:rsidP="0031542B">
      <w:pPr>
        <w:pStyle w:val="ManualNumPar1"/>
        <w:spacing w:line="360" w:lineRule="auto"/>
        <w:ind w:left="1570"/>
        <w:jc w:val="left"/>
        <w:rPr>
          <w:noProof/>
        </w:rPr>
      </w:pPr>
      <w:r w:rsidRPr="00B84EAF">
        <w:t>5.</w:t>
      </w:r>
      <w:r w:rsidRPr="00B84EAF">
        <w:tab/>
        <w:t>Styrelsen får, om så är vederbörligen motiverat av säkerhetsskäl, i arbetsprogrammet besluta att villkora leverantörernas deltagande i förvärvet av AI-dedikerade superdatorer i enlighet med artikel 12.6 i förordning (EU) 2021/694 eller att begränsa leverantörers deltagande av säkerhetsskäl eller när det gäller åtgärder som är direkt kopplade till unionens strategiska oberoende, i enlighet med artikel 18.4 i den förordningen.</w:t>
      </w:r>
    </w:p>
    <w:p w:rsidR="00D95D9A" w:rsidRPr="00B84EAF" w:rsidRDefault="00D95D9A" w:rsidP="0031542B">
      <w:pPr>
        <w:pStyle w:val="ManualNumPar1"/>
        <w:spacing w:line="360" w:lineRule="auto"/>
        <w:ind w:left="1570"/>
        <w:jc w:val="left"/>
        <w:rPr>
          <w:noProof/>
        </w:rPr>
      </w:pPr>
      <w:r w:rsidRPr="00B84EAF">
        <w:t>6.</w:t>
      </w:r>
      <w:r w:rsidRPr="00B84EAF">
        <w:tab/>
        <w:t xml:space="preserve">De AI-dedikerade superdatorerna ska placeras hos en </w:t>
      </w:r>
      <w:proofErr w:type="spellStart"/>
      <w:r w:rsidRPr="00B84EAF">
        <w:t>värdenhet</w:t>
      </w:r>
      <w:proofErr w:type="spellEnd"/>
      <w:r w:rsidRPr="00B84EAF">
        <w:t xml:space="preserve"> för en </w:t>
      </w:r>
      <w:proofErr w:type="spellStart"/>
      <w:r w:rsidRPr="00B84EAF">
        <w:t>EuroHPC</w:t>
      </w:r>
      <w:proofErr w:type="spellEnd"/>
      <w:r w:rsidRPr="00B84EAF">
        <w:t xml:space="preserve">-superdator belägen i unionen. </w:t>
      </w:r>
    </w:p>
    <w:p w:rsidR="00D95D9A" w:rsidRPr="00B84EAF" w:rsidRDefault="00D95D9A" w:rsidP="0031542B">
      <w:pPr>
        <w:pStyle w:val="ManualNumPar1"/>
        <w:spacing w:line="360" w:lineRule="auto"/>
        <w:ind w:left="1570"/>
        <w:jc w:val="left"/>
        <w:rPr>
          <w:noProof/>
        </w:rPr>
      </w:pPr>
      <w:r w:rsidRPr="00B84EAF">
        <w:t>7.</w:t>
      </w:r>
      <w:r w:rsidRPr="00B84EAF">
        <w:tab/>
        <w:t xml:space="preserve">Tidigast </w:t>
      </w:r>
      <w:r w:rsidRPr="00B84EAF">
        <w:rPr>
          <w:b/>
          <w:bCs/>
          <w:i/>
          <w:iCs/>
        </w:rPr>
        <w:t>fem</w:t>
      </w:r>
      <w:r w:rsidRPr="00B84EAF">
        <w:t xml:space="preserve"> år efter en framgångsrik acceptanstestning av den AI-dedikerade superdator som installerats hos en </w:t>
      </w:r>
      <w:proofErr w:type="spellStart"/>
      <w:r w:rsidRPr="00B84EAF">
        <w:t>värdenhet</w:t>
      </w:r>
      <w:proofErr w:type="spellEnd"/>
      <w:r w:rsidRPr="00B84EAF">
        <w:t xml:space="preserve"> får ägandet av den AI-dedikerade superdatorn överföras till respektive </w:t>
      </w:r>
      <w:proofErr w:type="spellStart"/>
      <w:r w:rsidRPr="00B84EAF">
        <w:t>värdenhet</w:t>
      </w:r>
      <w:proofErr w:type="spellEnd"/>
      <w:r w:rsidRPr="00B84EAF">
        <w:t xml:space="preserve">, säljas till en annan enhet eller avvecklas efter styrelsens beslut och i enlighet med värdtjänstavtalet, vilket inte påverkar avvecklingen av det gemensamma företaget enligt artikel 23.4 i stadgarna. Vid överlåtelse av ägandet av en AI-dedikerad superdator ska </w:t>
      </w:r>
      <w:proofErr w:type="spellStart"/>
      <w:r w:rsidRPr="00B84EAF">
        <w:t>värdenheten</w:t>
      </w:r>
      <w:proofErr w:type="spellEnd"/>
      <w:r w:rsidRPr="00B84EAF">
        <w:t xml:space="preserve"> till det gemensamma företaget betala restvärdet för den superdator som överlåts. Om ägandet inte överlåts till </w:t>
      </w:r>
      <w:proofErr w:type="spellStart"/>
      <w:r w:rsidRPr="00B84EAF">
        <w:t>värdenheten</w:t>
      </w:r>
      <w:proofErr w:type="spellEnd"/>
      <w:r w:rsidRPr="00B84EAF">
        <w:t xml:space="preserve"> och ett avvecklingsbeslut fattas, ska de relevanta kostnaderna delas lika mellan det gemensamma företaget och </w:t>
      </w:r>
      <w:proofErr w:type="spellStart"/>
      <w:r w:rsidRPr="00B84EAF">
        <w:t>värdenheten</w:t>
      </w:r>
      <w:proofErr w:type="spellEnd"/>
      <w:r w:rsidRPr="00B84EAF">
        <w:t>. Det gemensamma företaget ska inte bära ansvaret för kostnader som uppkommit efter det att ägandet av den AI-dedikerade superdatorn överförts eller efter det att den sålts eller avvecklats.”</w:t>
      </w:r>
    </w:p>
    <w:p w:rsidR="00D95D9A" w:rsidRPr="00B84EAF" w:rsidRDefault="00D95D9A" w:rsidP="0031542B">
      <w:pPr>
        <w:pStyle w:val="Point0"/>
        <w:spacing w:line="360" w:lineRule="auto"/>
        <w:jc w:val="left"/>
        <w:rPr>
          <w:noProof/>
        </w:rPr>
      </w:pPr>
      <w:r w:rsidRPr="00B84EAF">
        <w:t>8.</w:t>
      </w:r>
      <w:r w:rsidRPr="00B84EAF">
        <w:tab/>
        <w:t>Artikel 15 ska ändras på följande sätt:</w:t>
      </w:r>
    </w:p>
    <w:p w:rsidR="00D95D9A" w:rsidRPr="00B84EAF" w:rsidRDefault="00D95D9A" w:rsidP="0031542B">
      <w:pPr>
        <w:pStyle w:val="Point0"/>
        <w:spacing w:line="360" w:lineRule="auto"/>
        <w:ind w:left="1700"/>
        <w:jc w:val="left"/>
        <w:rPr>
          <w:noProof/>
        </w:rPr>
      </w:pPr>
      <w:r w:rsidRPr="00B84EAF">
        <w:t>a)</w:t>
      </w:r>
      <w:r w:rsidRPr="00B84EAF">
        <w:tab/>
        <w:t>Punkt 1 ska ersättas med följande:</w:t>
      </w:r>
    </w:p>
    <w:p w:rsidR="00D95D9A" w:rsidRPr="00B84EAF" w:rsidRDefault="00D95D9A" w:rsidP="0031542B">
      <w:pPr>
        <w:pStyle w:val="Text1"/>
        <w:spacing w:line="360" w:lineRule="auto"/>
        <w:ind w:left="2160" w:hanging="590"/>
        <w:jc w:val="left"/>
        <w:rPr>
          <w:noProof/>
        </w:rPr>
      </w:pPr>
      <w:r w:rsidRPr="00B84EAF">
        <w:t xml:space="preserve">”1. </w:t>
      </w:r>
      <w:r w:rsidRPr="00B84EAF">
        <w:tab/>
        <w:t xml:space="preserve">Det gemensamma företaget får utlysa en inbjudan att anmäla intresse för att uppgradera </w:t>
      </w:r>
      <w:proofErr w:type="spellStart"/>
      <w:r w:rsidRPr="00B84EAF">
        <w:t>EuroHPC</w:t>
      </w:r>
      <w:proofErr w:type="spellEnd"/>
      <w:r w:rsidRPr="00B84EAF">
        <w:t xml:space="preserve">-superdatorer som det äger eller samäger, </w:t>
      </w:r>
      <w:r w:rsidRPr="00B84EAF">
        <w:rPr>
          <w:iCs/>
        </w:rPr>
        <w:t xml:space="preserve">för att höja prestandanivån för superdatorn nära </w:t>
      </w:r>
      <w:proofErr w:type="spellStart"/>
      <w:r w:rsidRPr="00B84EAF">
        <w:rPr>
          <w:iCs/>
        </w:rPr>
        <w:t>exaskala</w:t>
      </w:r>
      <w:proofErr w:type="spellEnd"/>
      <w:r w:rsidRPr="00B84EAF">
        <w:rPr>
          <w:iCs/>
        </w:rPr>
        <w:t>, för att öka superdatorns kapacitet i fråga om artificiell intelligens eller för att öka superdatorns operativa prestanda på något annat sätt, inbegripet genom kvantacceleratorer</w:t>
      </w:r>
      <w:r w:rsidRPr="00B84EAF">
        <w:t>.” Punkt 2 ska utgå.</w:t>
      </w:r>
    </w:p>
    <w:p w:rsidR="00D95D9A" w:rsidRPr="00B84EAF" w:rsidRDefault="00D95D9A" w:rsidP="0031542B">
      <w:pPr>
        <w:pStyle w:val="Point0"/>
        <w:spacing w:line="360" w:lineRule="auto"/>
        <w:ind w:left="1700"/>
        <w:jc w:val="left"/>
        <w:rPr>
          <w:noProof/>
        </w:rPr>
      </w:pPr>
      <w:r w:rsidRPr="00B84EAF">
        <w:t>b)</w:t>
      </w:r>
      <w:r w:rsidRPr="00B84EAF">
        <w:tab/>
        <w:t>Artikel 5 ska ersättas med följande:</w:t>
      </w:r>
    </w:p>
    <w:p w:rsidR="00D95D9A" w:rsidRPr="00B84EAF" w:rsidRDefault="00D95D9A" w:rsidP="0031542B">
      <w:pPr>
        <w:pStyle w:val="Text1"/>
        <w:spacing w:line="360" w:lineRule="auto"/>
        <w:ind w:left="2160" w:hanging="590"/>
        <w:jc w:val="left"/>
        <w:rPr>
          <w:noProof/>
        </w:rPr>
      </w:pPr>
      <w:r w:rsidRPr="00B84EAF">
        <w:t>”5.</w:t>
      </w:r>
      <w:r w:rsidRPr="00B84EAF">
        <w:tab/>
        <w:t xml:space="preserve">Procentandelen av unionens finansiella bidrag till anskaffningskostnaderna för uppgraderingen ska vara densamma som procentandelen av unionens finansiella bidrag till den ursprungliga </w:t>
      </w:r>
      <w:proofErr w:type="spellStart"/>
      <w:r w:rsidRPr="00B84EAF">
        <w:t>EuroHPC</w:t>
      </w:r>
      <w:proofErr w:type="spellEnd"/>
      <w:r w:rsidRPr="00B84EAF">
        <w:t xml:space="preserve">-superdatorn, med avskrivning för den ursprungliga superdatorns förväntade återstående livstid. Procentandelen av unionens finansiella bidrag till de extra driftskostnaderna för uppgraderingen ska vara densamma som procentandelen av unionens finansiella bidrag till den ursprungliga </w:t>
      </w:r>
      <w:proofErr w:type="spellStart"/>
      <w:r w:rsidRPr="00B84EAF">
        <w:t>EuroHPC</w:t>
      </w:r>
      <w:proofErr w:type="spellEnd"/>
      <w:r w:rsidRPr="00B84EAF">
        <w:t>-superdatorn.”</w:t>
      </w:r>
    </w:p>
    <w:p w:rsidR="00D95D9A" w:rsidRPr="00B84EAF" w:rsidRDefault="00D95D9A" w:rsidP="0031542B">
      <w:pPr>
        <w:pStyle w:val="Point0"/>
        <w:spacing w:line="360" w:lineRule="auto"/>
        <w:jc w:val="left"/>
        <w:rPr>
          <w:noProof/>
        </w:rPr>
      </w:pPr>
      <w:r w:rsidRPr="00B84EAF">
        <w:t>9.</w:t>
      </w:r>
      <w:r w:rsidRPr="00B84EAF">
        <w:tab/>
        <w:t>Artikel 16 ska ändras på följande sätt:</w:t>
      </w:r>
    </w:p>
    <w:p w:rsidR="00D95D9A" w:rsidRPr="00B84EAF" w:rsidRDefault="00D95D9A" w:rsidP="0031542B">
      <w:pPr>
        <w:pStyle w:val="Point0"/>
        <w:spacing w:line="360" w:lineRule="auto"/>
        <w:ind w:left="1700"/>
        <w:jc w:val="left"/>
        <w:rPr>
          <w:noProof/>
        </w:rPr>
      </w:pPr>
      <w:r w:rsidRPr="00B84EAF">
        <w:t>a)</w:t>
      </w:r>
      <w:r w:rsidRPr="00B84EAF">
        <w:tab/>
        <w:t>Följande punkt ska införas som punkt 1b:</w:t>
      </w:r>
    </w:p>
    <w:p w:rsidR="00D95D9A" w:rsidRPr="00B84EAF" w:rsidRDefault="00D95D9A" w:rsidP="0031542B">
      <w:pPr>
        <w:pStyle w:val="Text1"/>
        <w:spacing w:line="360" w:lineRule="auto"/>
        <w:ind w:left="2160" w:hanging="590"/>
        <w:jc w:val="left"/>
        <w:rPr>
          <w:i/>
          <w:iCs/>
          <w:noProof/>
        </w:rPr>
      </w:pPr>
      <w:r w:rsidRPr="00B84EAF">
        <w:t xml:space="preserve">”1b. </w:t>
      </w:r>
      <w:r w:rsidRPr="00B84EAF">
        <w:tab/>
        <w:t xml:space="preserve">AI-dedikerade superdatorer och </w:t>
      </w:r>
      <w:proofErr w:type="spellStart"/>
      <w:r w:rsidRPr="00B84EAF">
        <w:t>EuroHPC</w:t>
      </w:r>
      <w:proofErr w:type="spellEnd"/>
      <w:r w:rsidRPr="00B84EAF">
        <w:t>-superdatorer som uppgraderats för kapacitet för artificiell intelligens ska i första hand användas för utveckling, testning, utvärdering och validering av storskaliga träningsmodeller för artificiell intelligens för allmänna ändamål och framväxande tillämpningar med artificiell intelligens, samt för vidareutveckling av lösningar med artificiell intelligens inom unionen som kräver högpresterande datorsystem och för verkställande av storskaliga algoritmer för artificiell intelligens för att lösa vetenskapliga problem.”</w:t>
      </w:r>
    </w:p>
    <w:p w:rsidR="00D95D9A" w:rsidRPr="00B84EAF" w:rsidRDefault="00D95D9A" w:rsidP="0031542B">
      <w:pPr>
        <w:pStyle w:val="Point0"/>
        <w:spacing w:line="360" w:lineRule="auto"/>
        <w:ind w:left="1700"/>
        <w:jc w:val="left"/>
        <w:rPr>
          <w:noProof/>
        </w:rPr>
      </w:pPr>
      <w:r w:rsidRPr="00B84EAF">
        <w:t>b)</w:t>
      </w:r>
      <w:r w:rsidRPr="00B84EAF">
        <w:tab/>
        <w:t>Följande punkt ska införas som punkt 2b:</w:t>
      </w:r>
    </w:p>
    <w:p w:rsidR="00D95D9A" w:rsidRPr="00B84EAF" w:rsidRDefault="00D95D9A" w:rsidP="0031542B">
      <w:pPr>
        <w:pStyle w:val="Text1"/>
        <w:spacing w:line="360" w:lineRule="auto"/>
        <w:ind w:left="2160" w:hanging="590"/>
        <w:jc w:val="left"/>
        <w:rPr>
          <w:noProof/>
        </w:rPr>
      </w:pPr>
      <w:r w:rsidRPr="00B84EAF">
        <w:t xml:space="preserve">”2b. </w:t>
      </w:r>
      <w:r w:rsidRPr="00B84EAF">
        <w:tab/>
        <w:t xml:space="preserve">Styrelsen ska fastställa ▌åtkomstvillkor för de AI-dedikerade superdatorerna och de </w:t>
      </w:r>
      <w:proofErr w:type="spellStart"/>
      <w:r w:rsidRPr="00B84EAF">
        <w:t>EuroHPC</w:t>
      </w:r>
      <w:proofErr w:type="spellEnd"/>
      <w:r w:rsidRPr="00B84EAF">
        <w:t xml:space="preserve">-superdatorer som uppgraderats för kapacitet för artificiell intelligens i enlighet med artikel 17, med beaktande av de särskilda behoven hos uppstartsföretag och forskningsekosystem inom artificiell intelligens. </w:t>
      </w:r>
      <w:r w:rsidRPr="00B84EAF">
        <w:rPr>
          <w:b/>
          <w:bCs/>
          <w:i/>
          <w:iCs/>
        </w:rPr>
        <w:t xml:space="preserve">Styrelsen får fastställa specifika åtkomstvillkor för olika typer av användare eller tillämpningar, inbegripet </w:t>
      </w:r>
      <w:r w:rsidRPr="00B84EAF">
        <w:t>särskild åtkomst för uppstartsföretag</w:t>
      </w:r>
      <w:r w:rsidRPr="00B84EAF">
        <w:rPr>
          <w:b/>
          <w:bCs/>
          <w:i/>
          <w:iCs/>
        </w:rPr>
        <w:t xml:space="preserve">, </w:t>
      </w:r>
      <w:proofErr w:type="spellStart"/>
      <w:r w:rsidRPr="00B84EAF">
        <w:rPr>
          <w:b/>
          <w:bCs/>
          <w:i/>
          <w:iCs/>
        </w:rPr>
        <w:t>scaleup</w:t>
      </w:r>
      <w:proofErr w:type="spellEnd"/>
      <w:r w:rsidRPr="00B84EAF">
        <w:rPr>
          <w:b/>
          <w:bCs/>
          <w:i/>
          <w:iCs/>
        </w:rPr>
        <w:t>-företag och små och medelstora företag.</w:t>
      </w:r>
      <w:r w:rsidRPr="00B84EAF">
        <w:rPr>
          <w:b/>
          <w:i/>
        </w:rPr>
        <w:t xml:space="preserve"> </w:t>
      </w:r>
      <w:r w:rsidRPr="00B84EAF">
        <w:rPr>
          <w:b/>
          <w:bCs/>
          <w:i/>
          <w:iCs/>
        </w:rPr>
        <w:t>Säkerheten och tjänstekvaliteten ska vara densamma för alla användare inom varje användarkategori.</w:t>
      </w:r>
      <w:r w:rsidRPr="00B84EAF">
        <w:t xml:space="preserve"> Endast förslag för att utveckla tillförlitliga och etiska modeller, system och tillämpningar med artificiell intelligens som överensstämmer med </w:t>
      </w:r>
      <w:r w:rsidRPr="00B84EAF">
        <w:rPr>
          <w:b/>
          <w:bCs/>
          <w:i/>
          <w:iCs/>
        </w:rPr>
        <w:t>unionens regler och</w:t>
      </w:r>
      <w:r w:rsidRPr="00B84EAF">
        <w:t xml:space="preserve"> värden</w:t>
      </w:r>
      <w:r w:rsidRPr="00B84EAF">
        <w:rPr>
          <w:b/>
          <w:bCs/>
          <w:i/>
          <w:iCs/>
        </w:rPr>
        <w:t>, särskilt de som fastställs i artikel 2 i fördraget om Europeiska unionen och i Europeiska unionens stadga om de grundläggande rättigheterna,</w:t>
      </w:r>
      <w:r w:rsidRPr="00B84EAF">
        <w:t xml:space="preserve"> ska vara berättigade till åtkomst. </w:t>
      </w:r>
      <w:r w:rsidRPr="00B84EAF">
        <w:rPr>
          <w:b/>
          <w:bCs/>
          <w:i/>
          <w:iCs/>
        </w:rPr>
        <w:t>Åtkomstkriterierna, metoderna och vägledningen om prioritering av åtkomst kommer att fastställas i enlighet med ett tillvägagångssätt med inbyggd etik för artificiell intelligens och med stöd av Horisont Europas etikbedömningsmekanism.</w:t>
      </w:r>
      <w:r w:rsidRPr="00B84EAF">
        <w:t>”</w:t>
      </w:r>
    </w:p>
    <w:p w:rsidR="00D95D9A" w:rsidRPr="00B84EAF" w:rsidRDefault="00D95D9A" w:rsidP="0031542B">
      <w:pPr>
        <w:pStyle w:val="Point0"/>
        <w:spacing w:line="360" w:lineRule="auto"/>
        <w:jc w:val="left"/>
        <w:rPr>
          <w:noProof/>
        </w:rPr>
      </w:pPr>
      <w:r w:rsidRPr="00B84EAF">
        <w:t>10.</w:t>
      </w:r>
      <w:r w:rsidRPr="00B84EAF">
        <w:tab/>
        <w:t>Artikel 17.1 ska ersättas med följande:</w:t>
      </w:r>
    </w:p>
    <w:p w:rsidR="00D95D9A" w:rsidRPr="00B84EAF" w:rsidRDefault="00D95D9A" w:rsidP="0031542B">
      <w:pPr>
        <w:pStyle w:val="Text1"/>
        <w:spacing w:line="360" w:lineRule="auto"/>
        <w:ind w:left="1440" w:hanging="720"/>
        <w:jc w:val="left"/>
        <w:rPr>
          <w:noProof/>
        </w:rPr>
      </w:pPr>
      <w:r w:rsidRPr="00B84EAF">
        <w:t xml:space="preserve">”1. </w:t>
      </w:r>
      <w:r w:rsidRPr="00B84EAF">
        <w:tab/>
        <w:t xml:space="preserve">Unionens andel av åtkomsttiden till varje avancerad </w:t>
      </w:r>
      <w:proofErr w:type="spellStart"/>
      <w:r w:rsidRPr="00B84EAF">
        <w:t>EuroHPC</w:t>
      </w:r>
      <w:proofErr w:type="spellEnd"/>
      <w:r w:rsidRPr="00B84EAF">
        <w:t xml:space="preserve">-superdator, </w:t>
      </w:r>
      <w:proofErr w:type="spellStart"/>
      <w:r w:rsidRPr="00B84EAF">
        <w:t>EuroHPC</w:t>
      </w:r>
      <w:proofErr w:type="spellEnd"/>
      <w:r w:rsidRPr="00B84EAF">
        <w:t xml:space="preserve">-kvantdator och AI-dedikerad </w:t>
      </w:r>
      <w:proofErr w:type="spellStart"/>
      <w:r w:rsidRPr="00B84EAF">
        <w:t>EuroHPC</w:t>
      </w:r>
      <w:proofErr w:type="spellEnd"/>
      <w:r w:rsidRPr="00B84EAF">
        <w:t xml:space="preserve">-superdator ska stå i direkt proportion till unionens finansiella bidrag enligt artikel 5.1 till de totala ägandekostnaderna för </w:t>
      </w:r>
      <w:proofErr w:type="spellStart"/>
      <w:r w:rsidRPr="00B84EAF">
        <w:t>EuroHPC</w:t>
      </w:r>
      <w:proofErr w:type="spellEnd"/>
      <w:r w:rsidRPr="00B84EAF">
        <w:t xml:space="preserve">-superdatorn och ska inte överstiga 50 % av den totala åtkomsttiden till </w:t>
      </w:r>
      <w:proofErr w:type="spellStart"/>
      <w:r w:rsidRPr="00B84EAF">
        <w:t>EuroHPC</w:t>
      </w:r>
      <w:proofErr w:type="spellEnd"/>
      <w:r w:rsidRPr="00B84EAF">
        <w:t>-superdatorn.”</w:t>
      </w:r>
    </w:p>
    <w:p w:rsidR="00D95D9A" w:rsidRPr="00B84EAF" w:rsidRDefault="00D95D9A" w:rsidP="0031542B">
      <w:pPr>
        <w:pStyle w:val="Titrearticle"/>
        <w:spacing w:before="120" w:line="360" w:lineRule="auto"/>
        <w:rPr>
          <w:noProof/>
        </w:rPr>
      </w:pPr>
      <w:r w:rsidRPr="00B84EAF">
        <w:tab/>
        <w:t>Artikel 2</w:t>
      </w:r>
    </w:p>
    <w:p w:rsidR="00D95D9A" w:rsidRPr="00B84EAF" w:rsidRDefault="00D95D9A" w:rsidP="0031542B">
      <w:pPr>
        <w:spacing w:before="120" w:after="120" w:line="360" w:lineRule="auto"/>
        <w:rPr>
          <w:noProof/>
        </w:rPr>
      </w:pPr>
      <w:r w:rsidRPr="00B84EAF">
        <w:t xml:space="preserve">Denna förordning träder i kraft den tjugonde dagen efter det att den har offentliggjorts i </w:t>
      </w:r>
      <w:r w:rsidRPr="00B84EAF">
        <w:rPr>
          <w:i/>
          <w:iCs/>
        </w:rPr>
        <w:t>Europeiska unionens officiella tidning</w:t>
      </w:r>
      <w:r w:rsidRPr="00B84EAF">
        <w:t>.</w:t>
      </w:r>
    </w:p>
    <w:p w:rsidR="00D95D9A" w:rsidRPr="00B84EAF" w:rsidRDefault="00D95D9A" w:rsidP="0031542B">
      <w:pPr>
        <w:pStyle w:val="Applicationdirecte"/>
        <w:spacing w:before="120" w:line="360" w:lineRule="auto"/>
        <w:jc w:val="left"/>
        <w:rPr>
          <w:noProof/>
        </w:rPr>
      </w:pPr>
      <w:r w:rsidRPr="00B84EAF">
        <w:t>Denna förordning är till alla delar bindande och direkt tillämplig i alla medlemsstater.</w:t>
      </w:r>
    </w:p>
    <w:p w:rsidR="00D95D9A" w:rsidRPr="00B84EAF" w:rsidRDefault="00D95D9A" w:rsidP="00397204">
      <w:pPr>
        <w:pStyle w:val="Fait"/>
        <w:jc w:val="left"/>
        <w:rPr>
          <w:noProof/>
        </w:rPr>
      </w:pPr>
      <w:r w:rsidRPr="00B84EAF">
        <w:t>Utfärdad i ...</w:t>
      </w:r>
    </w:p>
    <w:p w:rsidR="00D95D9A" w:rsidRPr="00B84EAF" w:rsidRDefault="00D95D9A" w:rsidP="00397204">
      <w:pPr>
        <w:pStyle w:val="Institutionquisigne"/>
        <w:jc w:val="left"/>
        <w:rPr>
          <w:noProof/>
        </w:rPr>
      </w:pPr>
      <w:r w:rsidRPr="00B84EAF">
        <w:tab/>
        <w:t>På rådets vägnar</w:t>
      </w:r>
    </w:p>
    <w:p w:rsidR="00D95D9A" w:rsidRPr="00B84EAF" w:rsidRDefault="00D95D9A" w:rsidP="00397204">
      <w:pPr>
        <w:pStyle w:val="Personnequisigne"/>
        <w:rPr>
          <w:noProof/>
        </w:rPr>
      </w:pPr>
      <w:r w:rsidRPr="00B84EAF">
        <w:tab/>
        <w:t>Ordförande</w:t>
      </w:r>
    </w:p>
    <w:p w:rsidR="00D95D9A" w:rsidRPr="00B84EAF" w:rsidRDefault="00D95D9A" w:rsidP="00D95D9A"/>
    <w:p w:rsidR="00E365E1" w:rsidRPr="00B84EAF" w:rsidRDefault="00E365E1" w:rsidP="00D95D9A">
      <w:pPr>
        <w:rPr>
          <w:sz w:val="28"/>
          <w:lang w:eastAsia="fr-FR"/>
        </w:rPr>
      </w:pPr>
      <w:bookmarkStart w:id="9" w:name="TextBodyEnd"/>
      <w:bookmarkEnd w:id="9"/>
    </w:p>
    <w:sectPr w:rsidR="00E365E1" w:rsidRPr="00B84EAF" w:rsidSect="003A11E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492" w:rsidRPr="003A11EC" w:rsidRDefault="002C3492">
      <w:r w:rsidRPr="003A11EC">
        <w:separator/>
      </w:r>
    </w:p>
  </w:endnote>
  <w:endnote w:type="continuationSeparator" w:id="0">
    <w:p w:rsidR="002C3492" w:rsidRPr="003A11EC" w:rsidRDefault="002C3492">
      <w:r w:rsidRPr="003A11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11E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11E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11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492" w:rsidRPr="003A11EC" w:rsidRDefault="002C3492">
      <w:r w:rsidRPr="003A11EC">
        <w:separator/>
      </w:r>
    </w:p>
  </w:footnote>
  <w:footnote w:type="continuationSeparator" w:id="0">
    <w:p w:rsidR="002C3492" w:rsidRPr="003A11EC" w:rsidRDefault="002C3492">
      <w:r w:rsidRPr="003A11EC">
        <w:continuationSeparator/>
      </w:r>
    </w:p>
  </w:footnote>
  <w:footnote w:id="1">
    <w:p w:rsidR="00D95D9A" w:rsidRPr="003A11EC" w:rsidRDefault="00D95D9A" w:rsidP="003A11EC">
      <w:pPr>
        <w:pStyle w:val="FootnoteText"/>
        <w:ind w:left="567" w:hanging="567"/>
        <w:rPr>
          <w:sz w:val="24"/>
          <w:lang w:val="sv-SE"/>
        </w:rPr>
      </w:pPr>
      <w:r w:rsidRPr="003A11EC">
        <w:rPr>
          <w:rStyle w:val="FootnoteReference"/>
          <w:sz w:val="24"/>
          <w:lang w:val="sv-SE"/>
        </w:rPr>
        <w:t>*</w:t>
      </w:r>
      <w:r w:rsidR="003A11EC" w:rsidRPr="003A11EC">
        <w:rPr>
          <w:sz w:val="24"/>
          <w:lang w:val="sv-SE"/>
        </w:rPr>
        <w:t xml:space="preserve"> </w:t>
      </w:r>
      <w:r w:rsidR="003A11EC" w:rsidRPr="003A11EC">
        <w:rPr>
          <w:sz w:val="24"/>
          <w:lang w:val="sv-SE"/>
        </w:rPr>
        <w:tab/>
      </w:r>
      <w:r w:rsidRPr="003A11EC">
        <w:rPr>
          <w:sz w:val="24"/>
          <w:lang w:val="sv-SE"/>
        </w:rPr>
        <w:t xml:space="preserve">Ändringar: Nya eller ändrade textdelar markeras med </w:t>
      </w:r>
      <w:r w:rsidRPr="003A11EC">
        <w:rPr>
          <w:b/>
          <w:bCs/>
          <w:i/>
          <w:iCs/>
          <w:sz w:val="24"/>
          <w:lang w:val="sv-SE"/>
        </w:rPr>
        <w:t>fetkursiv stil</w:t>
      </w:r>
      <w:r w:rsidRPr="003A11EC">
        <w:rPr>
          <w:sz w:val="24"/>
          <w:lang w:val="sv-SE"/>
        </w:rPr>
        <w:t xml:space="preserve"> och strykningar med symbolen ▌.</w:t>
      </w:r>
    </w:p>
  </w:footnote>
  <w:footnote w:id="2">
    <w:p w:rsidR="00D95D9A" w:rsidRPr="003A11EC" w:rsidRDefault="00D95D9A" w:rsidP="003A11EC">
      <w:pPr>
        <w:pStyle w:val="FootnoteText"/>
        <w:ind w:left="567" w:hanging="567"/>
        <w:rPr>
          <w:sz w:val="24"/>
          <w:lang w:val="sv-SE"/>
        </w:rPr>
      </w:pPr>
      <w:r w:rsidRPr="003A11EC">
        <w:rPr>
          <w:rStyle w:val="FootnoteReference"/>
          <w:sz w:val="24"/>
          <w:lang w:val="sv-SE"/>
        </w:rPr>
        <w:footnoteRef/>
      </w:r>
      <w:r w:rsidR="003A11EC" w:rsidRPr="003A11EC">
        <w:rPr>
          <w:sz w:val="24"/>
          <w:lang w:val="sv-SE"/>
        </w:rPr>
        <w:t xml:space="preserve"> </w:t>
      </w:r>
      <w:r w:rsidR="003A11EC" w:rsidRPr="003A11EC">
        <w:rPr>
          <w:sz w:val="24"/>
          <w:lang w:val="sv-SE"/>
        </w:rPr>
        <w:tab/>
      </w:r>
      <w:r w:rsidRPr="003A11EC">
        <w:rPr>
          <w:sz w:val="24"/>
          <w:lang w:val="sv-SE"/>
        </w:rPr>
        <w:t>EUT C , , s. .</w:t>
      </w:r>
    </w:p>
  </w:footnote>
  <w:footnote w:id="3">
    <w:p w:rsidR="00D95D9A" w:rsidRPr="003A11EC" w:rsidRDefault="00D95D9A" w:rsidP="003A11EC">
      <w:pPr>
        <w:pStyle w:val="FootnoteText"/>
        <w:ind w:left="567" w:hanging="567"/>
        <w:rPr>
          <w:sz w:val="24"/>
          <w:lang w:val="sv-SE"/>
        </w:rPr>
      </w:pPr>
      <w:r w:rsidRPr="003A11EC">
        <w:rPr>
          <w:rStyle w:val="FootnoteReference"/>
          <w:sz w:val="24"/>
          <w:lang w:val="sv-SE"/>
        </w:rPr>
        <w:footnoteRef/>
      </w:r>
      <w:r w:rsidR="003A11EC" w:rsidRPr="003A11EC">
        <w:rPr>
          <w:sz w:val="24"/>
          <w:lang w:val="sv-SE"/>
        </w:rPr>
        <w:t xml:space="preserve"> </w:t>
      </w:r>
      <w:r w:rsidR="003A11EC" w:rsidRPr="003A11EC">
        <w:rPr>
          <w:sz w:val="24"/>
          <w:lang w:val="sv-SE"/>
        </w:rPr>
        <w:tab/>
      </w:r>
      <w:r w:rsidRPr="003A11EC">
        <w:rPr>
          <w:sz w:val="24"/>
          <w:lang w:val="sv-SE"/>
        </w:rPr>
        <w:t>Yttrande av den ..., EUT C, s.</w:t>
      </w:r>
    </w:p>
  </w:footnote>
  <w:footnote w:id="4">
    <w:p w:rsidR="00D95D9A" w:rsidRPr="003A11EC" w:rsidRDefault="00D95D9A" w:rsidP="003A11EC">
      <w:pPr>
        <w:pStyle w:val="FootnoteText"/>
        <w:ind w:left="567" w:hanging="567"/>
        <w:rPr>
          <w:sz w:val="24"/>
          <w:lang w:val="sv-SE"/>
        </w:rPr>
      </w:pPr>
      <w:r w:rsidRPr="003A11EC">
        <w:rPr>
          <w:rStyle w:val="FootnoteReference"/>
          <w:sz w:val="24"/>
          <w:lang w:val="sv-SE"/>
        </w:rPr>
        <w:footnoteRef/>
      </w:r>
      <w:r w:rsidR="003A11EC" w:rsidRPr="003A11EC">
        <w:rPr>
          <w:rStyle w:val="normaltextrun"/>
          <w:sz w:val="24"/>
          <w:lang w:val="sv-SE"/>
        </w:rPr>
        <w:t xml:space="preserve"> </w:t>
      </w:r>
      <w:r w:rsidR="003A11EC" w:rsidRPr="003A11EC">
        <w:rPr>
          <w:rStyle w:val="normaltextrun"/>
          <w:sz w:val="24"/>
          <w:lang w:val="sv-SE"/>
        </w:rPr>
        <w:tab/>
      </w:r>
      <w:r w:rsidRPr="003A11EC">
        <w:rPr>
          <w:rStyle w:val="normaltextrun"/>
          <w:sz w:val="24"/>
          <w:lang w:val="sv-SE"/>
        </w:rPr>
        <w:t>Europaparlamentets och rådets förordning (EU) 2024/… om harmoniserade regler för artificiell intelligens (rättsakt om artificiell intelligens) och om ändring av vissa unionslagstiftningsakter (EUT L …).</w:t>
      </w:r>
    </w:p>
  </w:footnote>
  <w:footnote w:id="5">
    <w:p w:rsidR="00D95D9A" w:rsidRPr="001B1A4E" w:rsidRDefault="00D95D9A" w:rsidP="003A11EC">
      <w:pPr>
        <w:pStyle w:val="FootnoteText"/>
        <w:ind w:left="567" w:hanging="567"/>
        <w:rPr>
          <w:sz w:val="24"/>
          <w:lang w:val="sv-SE"/>
        </w:rPr>
      </w:pPr>
      <w:r w:rsidRPr="003A11EC">
        <w:rPr>
          <w:rStyle w:val="FootnoteReference"/>
          <w:sz w:val="24"/>
          <w:lang w:val="sv-SE"/>
        </w:rPr>
        <w:footnoteRef/>
      </w:r>
      <w:r w:rsidR="003A11EC" w:rsidRPr="003A11EC">
        <w:rPr>
          <w:sz w:val="24"/>
          <w:lang w:val="sv-SE"/>
        </w:rPr>
        <w:t xml:space="preserve"> </w:t>
      </w:r>
      <w:r w:rsidR="003A11EC" w:rsidRPr="003A11EC">
        <w:rPr>
          <w:sz w:val="24"/>
          <w:lang w:val="sv-SE"/>
        </w:rPr>
        <w:tab/>
      </w:r>
      <w:r w:rsidRPr="00590307">
        <w:rPr>
          <w:sz w:val="24"/>
          <w:lang w:val="sv-SE"/>
        </w:rPr>
        <w:t xml:space="preserve">Rådets förordning (EU) 2021/1173 av den 13 juli 2021 om bildande av det gemensamma företaget för ett europeiskt högpresterande datorsystem och om upphävande av förordning (EU) 2018/1488 (EUT L 256, 19.7.2021, s. 3, ELI: </w:t>
      </w:r>
      <w:hyperlink r:id="rId1" w:history="1">
        <w:r w:rsidRPr="0031542B">
          <w:rPr>
            <w:rStyle w:val="Hyperlink"/>
            <w:color w:val="auto"/>
            <w:sz w:val="24"/>
            <w:lang w:val="sv-SE"/>
          </w:rPr>
          <w:t>https://eur-lex.europa.eu/eli/reg/2021/1173/oj?locale=sv</w:t>
        </w:r>
      </w:hyperlink>
      <w:r w:rsidRPr="001B1A4E">
        <w:rPr>
          <w:sz w:val="24"/>
          <w:lang w:val="sv-SE"/>
        </w:rPr>
        <w:t>).</w:t>
      </w:r>
    </w:p>
  </w:footnote>
  <w:footnote w:id="6">
    <w:p w:rsidR="00D95D9A" w:rsidRPr="003A11EC" w:rsidRDefault="00D95D9A" w:rsidP="003A11EC">
      <w:pPr>
        <w:pStyle w:val="FootnoteText"/>
        <w:ind w:left="567" w:hanging="567"/>
        <w:rPr>
          <w:sz w:val="24"/>
          <w:lang w:val="sv-SE"/>
        </w:rPr>
      </w:pPr>
      <w:r w:rsidRPr="003A11EC">
        <w:rPr>
          <w:rStyle w:val="FootnoteReference"/>
          <w:sz w:val="24"/>
          <w:lang w:val="sv-SE"/>
        </w:rPr>
        <w:footnoteRef/>
      </w:r>
      <w:r w:rsidR="003A11EC" w:rsidRPr="003A11EC">
        <w:rPr>
          <w:b/>
          <w:i/>
          <w:sz w:val="24"/>
          <w:lang w:val="sv-SE"/>
        </w:rPr>
        <w:t xml:space="preserve"> </w:t>
      </w:r>
      <w:r w:rsidR="003A11EC" w:rsidRPr="003A11EC">
        <w:rPr>
          <w:b/>
          <w:i/>
          <w:sz w:val="24"/>
          <w:lang w:val="sv-SE"/>
        </w:rPr>
        <w:tab/>
      </w:r>
      <w:r w:rsidRPr="003A11EC">
        <w:rPr>
          <w:b/>
          <w:i/>
          <w:sz w:val="24"/>
          <w:lang w:val="sv-SE"/>
        </w:rPr>
        <w:t>Antagna texter, P9_TA(2023)0480.</w:t>
      </w:r>
    </w:p>
  </w:footnote>
  <w:footnote w:id="7">
    <w:p w:rsidR="00D95D9A" w:rsidRPr="003A11EC" w:rsidRDefault="00D95D9A" w:rsidP="003A11EC">
      <w:pPr>
        <w:pStyle w:val="FootnoteText"/>
        <w:ind w:left="567" w:hanging="567"/>
        <w:rPr>
          <w:b/>
          <w:i/>
          <w:sz w:val="24"/>
          <w:lang w:val="sv-SE"/>
        </w:rPr>
      </w:pPr>
      <w:r w:rsidRPr="003A11EC">
        <w:rPr>
          <w:rStyle w:val="FootnoteReference"/>
          <w:b/>
          <w:i/>
          <w:sz w:val="24"/>
          <w:lang w:val="sv-SE"/>
        </w:rPr>
        <w:footnoteRef/>
      </w:r>
      <w:r w:rsidR="003A11EC" w:rsidRPr="003A11EC">
        <w:rPr>
          <w:b/>
          <w:i/>
          <w:sz w:val="24"/>
          <w:lang w:val="sv-SE"/>
        </w:rPr>
        <w:t xml:space="preserve"> </w:t>
      </w:r>
      <w:r w:rsidR="003A11EC" w:rsidRPr="003A11EC">
        <w:rPr>
          <w:b/>
          <w:i/>
          <w:sz w:val="24"/>
          <w:lang w:val="sv-SE"/>
        </w:rPr>
        <w:tab/>
      </w:r>
      <w:r w:rsidRPr="003A11EC">
        <w:rPr>
          <w:b/>
          <w:i/>
          <w:sz w:val="24"/>
          <w:lang w:val="sv-SE"/>
        </w:rPr>
        <w:t>Europaparlamentets och rådets direktiv (EU) 2023/1791 av den 13 september 2023 om energieffektivitet och om ändring av förordning (EU) 2023/955 (EUT L 231, 20.9.2023,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11E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11E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11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4"/>
    <w:docVar w:name="dvlangue" w:val="SV"/>
    <w:docVar w:name="dvnumam" w:val="0"/>
    <w:docVar w:name="dvpe" w:val="759.744"/>
    <w:docVar w:name="dvrapporteur" w:val="Föredragande: "/>
    <w:docVar w:name="dvstar" w:val="*"/>
    <w:docVar w:name="dvtitre" w:val="Europaparlamentets lagstiftningsresolution av den xx xx 2024 om förslaget till rådets förordning om ändring av förordning (EU) 2021/1173 vad gäller ett EuroHPC-initiativ för uppstartsföretag för att stärka det europeiska ledarskapet inom tillförlitlig artificiell intelligens(COM(2024)0029 – C9-0013/2024 – 2024/0016(CNS))"/>
  </w:docVars>
  <w:rsids>
    <w:rsidRoot w:val="002C3492"/>
    <w:rsid w:val="00002272"/>
    <w:rsid w:val="00064002"/>
    <w:rsid w:val="000677B9"/>
    <w:rsid w:val="000831BA"/>
    <w:rsid w:val="00096B1F"/>
    <w:rsid w:val="000A42CC"/>
    <w:rsid w:val="000E7DD9"/>
    <w:rsid w:val="0010095E"/>
    <w:rsid w:val="00125B37"/>
    <w:rsid w:val="00187494"/>
    <w:rsid w:val="001B1A4E"/>
    <w:rsid w:val="001F32AE"/>
    <w:rsid w:val="002767FF"/>
    <w:rsid w:val="002B18FE"/>
    <w:rsid w:val="002B5493"/>
    <w:rsid w:val="002C3492"/>
    <w:rsid w:val="0031542B"/>
    <w:rsid w:val="00343214"/>
    <w:rsid w:val="00361C00"/>
    <w:rsid w:val="00395FA1"/>
    <w:rsid w:val="00397204"/>
    <w:rsid w:val="003A11E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0307"/>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4EAF"/>
    <w:rsid w:val="00BD48FE"/>
    <w:rsid w:val="00BD7BD8"/>
    <w:rsid w:val="00BE6ADC"/>
    <w:rsid w:val="00C05BFE"/>
    <w:rsid w:val="00C23CD4"/>
    <w:rsid w:val="00C61C0C"/>
    <w:rsid w:val="00C663CC"/>
    <w:rsid w:val="00C941CB"/>
    <w:rsid w:val="00CC2357"/>
    <w:rsid w:val="00CF071A"/>
    <w:rsid w:val="00D058B8"/>
    <w:rsid w:val="00D56C11"/>
    <w:rsid w:val="00D834A0"/>
    <w:rsid w:val="00D872DF"/>
    <w:rsid w:val="00D91E21"/>
    <w:rsid w:val="00D95D9A"/>
    <w:rsid w:val="00DA7FCD"/>
    <w:rsid w:val="00E365E1"/>
    <w:rsid w:val="00E4147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65D1C1"/>
  <w15:chartTrackingRefBased/>
  <w15:docId w15:val="{F6B63AF9-37B0-410E-958A-3D4D3BBE0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95D9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95D9A"/>
    <w:pPr>
      <w:spacing w:before="480" w:after="240"/>
    </w:pPr>
  </w:style>
  <w:style w:type="paragraph" w:customStyle="1" w:styleId="NormalBold">
    <w:name w:val="NormalBold"/>
    <w:basedOn w:val="Normal"/>
    <w:rsid w:val="00D95D9A"/>
    <w:rPr>
      <w:b/>
    </w:rPr>
  </w:style>
  <w:style w:type="paragraph" w:customStyle="1" w:styleId="NormalHanging12a">
    <w:name w:val="NormalHanging12a"/>
    <w:basedOn w:val="Normal"/>
    <w:rsid w:val="00D95D9A"/>
    <w:pPr>
      <w:spacing w:after="240"/>
      <w:ind w:left="567" w:hanging="567"/>
    </w:pPr>
  </w:style>
  <w:style w:type="paragraph" w:styleId="Header">
    <w:name w:val="header"/>
    <w:basedOn w:val="Normal"/>
    <w:link w:val="HeaderChar"/>
    <w:rsid w:val="00D95D9A"/>
    <w:pPr>
      <w:tabs>
        <w:tab w:val="center" w:pos="4513"/>
        <w:tab w:val="right" w:pos="9026"/>
      </w:tabs>
    </w:pPr>
  </w:style>
  <w:style w:type="character" w:customStyle="1" w:styleId="HeaderChar">
    <w:name w:val="Header Char"/>
    <w:basedOn w:val="DefaultParagraphFont"/>
    <w:link w:val="Header"/>
    <w:rsid w:val="00D95D9A"/>
    <w:rPr>
      <w:sz w:val="24"/>
      <w:lang w:val="sv-SE"/>
    </w:rPr>
  </w:style>
  <w:style w:type="paragraph" w:customStyle="1" w:styleId="AmNumberTabs">
    <w:name w:val="AmNumberTabs"/>
    <w:basedOn w:val="Normal"/>
    <w:rsid w:val="00D95D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D95D9A"/>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D95D9A"/>
    <w:rPr>
      <w:color w:val="0563C1" w:themeColor="hyperlink"/>
      <w:u w:val="single"/>
    </w:rPr>
  </w:style>
  <w:style w:type="paragraph" w:styleId="ListParagraph">
    <w:name w:val="List Paragraph"/>
    <w:basedOn w:val="Normal"/>
    <w:uiPriority w:val="34"/>
    <w:qFormat/>
    <w:rsid w:val="00D95D9A"/>
    <w:pPr>
      <w:widowControl/>
      <w:spacing w:before="120" w:after="120"/>
      <w:ind w:left="720"/>
      <w:contextualSpacing/>
      <w:jc w:val="both"/>
    </w:pPr>
    <w:rPr>
      <w:rFonts w:eastAsiaTheme="minorHAnsi"/>
      <w:szCs w:val="22"/>
      <w:lang w:eastAsia="en-US"/>
    </w:rPr>
  </w:style>
  <w:style w:type="paragraph" w:customStyle="1" w:styleId="Text1">
    <w:name w:val="Text 1"/>
    <w:basedOn w:val="Normal"/>
    <w:rsid w:val="00D95D9A"/>
    <w:pPr>
      <w:widowControl/>
      <w:spacing w:before="120" w:after="120"/>
      <w:ind w:left="850"/>
      <w:jc w:val="both"/>
    </w:pPr>
    <w:rPr>
      <w:rFonts w:eastAsiaTheme="minorHAnsi"/>
      <w:szCs w:val="22"/>
      <w:lang w:eastAsia="en-US"/>
    </w:rPr>
  </w:style>
  <w:style w:type="paragraph" w:customStyle="1" w:styleId="Point0">
    <w:name w:val="Point 0"/>
    <w:basedOn w:val="Normal"/>
    <w:rsid w:val="00D95D9A"/>
    <w:pPr>
      <w:widowControl/>
      <w:spacing w:before="120" w:after="120"/>
      <w:ind w:left="850" w:hanging="850"/>
      <w:jc w:val="both"/>
    </w:pPr>
    <w:rPr>
      <w:rFonts w:eastAsiaTheme="minorHAnsi"/>
      <w:szCs w:val="22"/>
      <w:lang w:eastAsia="en-US"/>
    </w:rPr>
  </w:style>
  <w:style w:type="paragraph" w:customStyle="1" w:styleId="Point1">
    <w:name w:val="Point 1"/>
    <w:basedOn w:val="Normal"/>
    <w:rsid w:val="00D95D9A"/>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95D9A"/>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D95D9A"/>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D95D9A"/>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D95D9A"/>
    <w:pPr>
      <w:widowControl/>
      <w:spacing w:before="480" w:after="120"/>
      <w:jc w:val="both"/>
    </w:pPr>
    <w:rPr>
      <w:rFonts w:eastAsiaTheme="minorHAnsi"/>
      <w:szCs w:val="22"/>
      <w:lang w:eastAsia="en-US"/>
    </w:rPr>
  </w:style>
  <w:style w:type="paragraph" w:customStyle="1" w:styleId="Institutionquisigne">
    <w:name w:val="Institution qui signe"/>
    <w:basedOn w:val="Normal"/>
    <w:next w:val="Personnequisigne"/>
    <w:rsid w:val="00D95D9A"/>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D95D9A"/>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95D9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95D9A"/>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D95D9A"/>
    <w:pPr>
      <w:widowControl/>
      <w:tabs>
        <w:tab w:val="left" w:pos="4252"/>
      </w:tabs>
    </w:pPr>
    <w:rPr>
      <w:rFonts w:eastAsiaTheme="minorHAnsi"/>
      <w:i/>
      <w:szCs w:val="22"/>
      <w:lang w:eastAsia="en-US"/>
    </w:rPr>
  </w:style>
  <w:style w:type="paragraph" w:customStyle="1" w:styleId="ManualConsidrant">
    <w:name w:val="Manual Considérant"/>
    <w:basedOn w:val="Normal"/>
    <w:rsid w:val="00D95D9A"/>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D95D9A"/>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D95D9A"/>
    <w:pPr>
      <w:widowControl/>
      <w:ind w:left="5103"/>
    </w:pPr>
    <w:rPr>
      <w:rFonts w:eastAsiaTheme="minorHAnsi"/>
      <w:szCs w:val="22"/>
      <w:lang w:eastAsia="en-US"/>
    </w:rPr>
  </w:style>
  <w:style w:type="paragraph" w:customStyle="1" w:styleId="Typedudocument">
    <w:name w:val="Type du document"/>
    <w:basedOn w:val="Normal"/>
    <w:next w:val="Titreobjet"/>
    <w:rsid w:val="00D95D9A"/>
    <w:pPr>
      <w:widowControl/>
      <w:spacing w:before="360"/>
      <w:jc w:val="center"/>
    </w:pPr>
    <w:rPr>
      <w:rFonts w:eastAsiaTheme="minorHAnsi"/>
      <w:b/>
      <w:szCs w:val="22"/>
      <w:lang w:eastAsia="en-US"/>
    </w:rPr>
  </w:style>
  <w:style w:type="paragraph" w:customStyle="1" w:styleId="Titreobjet">
    <w:name w:val="Titre objet"/>
    <w:basedOn w:val="Normal"/>
    <w:next w:val="Normal"/>
    <w:rsid w:val="00D95D9A"/>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D95D9A"/>
  </w:style>
  <w:style w:type="character" w:customStyle="1" w:styleId="eop">
    <w:name w:val="eop"/>
    <w:basedOn w:val="DefaultParagraphFont"/>
    <w:rsid w:val="00D95D9A"/>
  </w:style>
  <w:style w:type="paragraph" w:customStyle="1" w:styleId="NormalCenter12a">
    <w:name w:val="NormalCenter12a"/>
    <w:basedOn w:val="Normal"/>
    <w:rsid w:val="00D95D9A"/>
    <w:pPr>
      <w:spacing w:after="240"/>
      <w:jc w:val="center"/>
    </w:pPr>
  </w:style>
  <w:style w:type="paragraph" w:customStyle="1" w:styleId="AmHeadingConsam">
    <w:name w:val="AmHeadingConsam"/>
    <w:basedOn w:val="Normal"/>
    <w:next w:val="NormalCenter12a"/>
    <w:rsid w:val="00D95D9A"/>
    <w:pPr>
      <w:spacing w:before="720" w:after="240"/>
      <w:jc w:val="center"/>
    </w:pPr>
  </w:style>
  <w:style w:type="paragraph" w:styleId="BalloonText">
    <w:name w:val="Balloon Text"/>
    <w:basedOn w:val="Normal"/>
    <w:link w:val="BalloonTextChar"/>
    <w:rsid w:val="00590307"/>
    <w:rPr>
      <w:rFonts w:ascii="Segoe UI" w:hAnsi="Segoe UI" w:cs="Segoe UI"/>
      <w:sz w:val="18"/>
      <w:szCs w:val="18"/>
    </w:rPr>
  </w:style>
  <w:style w:type="character" w:customStyle="1" w:styleId="BalloonTextChar">
    <w:name w:val="Balloon Text Char"/>
    <w:basedOn w:val="DefaultParagraphFont"/>
    <w:link w:val="BalloonText"/>
    <w:rsid w:val="00590307"/>
    <w:rPr>
      <w:rFonts w:ascii="Segoe UI" w:hAnsi="Segoe UI" w:cs="Segoe UI"/>
      <w:sz w:val="18"/>
      <w:szCs w:val="18"/>
      <w:lang w:val="sv-SE"/>
    </w:rPr>
  </w:style>
  <w:style w:type="character" w:styleId="FollowedHyperlink">
    <w:name w:val="FollowedHyperlink"/>
    <w:basedOn w:val="DefaultParagraphFont"/>
    <w:rsid w:val="005903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1/1173/oj?locale=s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32C0C-DF3A-469D-83EE-AB46F32A9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3791</Words>
  <Characters>21613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2024-09-26T13:47:00Z</dcterms:created>
  <dcterms:modified xsi:type="dcterms:W3CDTF">2024-09-26T13:47:00Z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P9_TA(2024)0359_</vt:lpwstr>
  </property>
  <property fmtid="{D5CDD505-2E9C-101B-9397-08002B2CF9AE}" pid="4" name="&lt;Type&gt;">
    <vt:lpwstr>RR</vt:lpwstr>
  </property>
</Properties>
</file>