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495C" w14:paraId="3BB0B9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9DFD6C" w14:textId="77777777" w:rsidR="00751A4A" w:rsidRPr="0051495C" w:rsidRDefault="006D5E75" w:rsidP="0010095E">
            <w:pPr>
              <w:pStyle w:val="EPName"/>
            </w:pPr>
            <w:r w:rsidRPr="0051495C">
              <w:t>Европейски</w:t>
            </w:r>
            <w:r w:rsidR="00A638CD" w:rsidRPr="0051495C">
              <w:t xml:space="preserve"> парламент</w:t>
            </w:r>
          </w:p>
          <w:p w14:paraId="130FEBEF" w14:textId="77777777" w:rsidR="00751A4A" w:rsidRPr="0051495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495C">
              <w:t>2019</w:t>
            </w:r>
            <w:r w:rsidR="006D5E75">
              <w:t> – </w:t>
            </w:r>
            <w:r w:rsidRPr="0051495C">
              <w:t>2024</w:t>
            </w:r>
          </w:p>
        </w:tc>
        <w:tc>
          <w:tcPr>
            <w:tcW w:w="2268" w:type="dxa"/>
            <w:shd w:val="clear" w:color="auto" w:fill="auto"/>
          </w:tcPr>
          <w:p w14:paraId="64DADF2D" w14:textId="77777777" w:rsidR="00751A4A" w:rsidRPr="0051495C" w:rsidRDefault="00187494" w:rsidP="0010095E">
            <w:pPr>
              <w:pStyle w:val="EPLogo"/>
            </w:pPr>
            <w:r w:rsidRPr="0051495C">
              <w:rPr>
                <w:noProof/>
                <w:lang w:val="pl-PL" w:eastAsia="pl-PL"/>
              </w:rPr>
              <w:drawing>
                <wp:inline distT="0" distB="0" distL="0" distR="0" wp14:anchorId="23CF6944" wp14:editId="670616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31D59" w14:textId="77777777" w:rsidR="00D058B8" w:rsidRPr="0051495C" w:rsidRDefault="00D058B8" w:rsidP="004C5D52">
      <w:pPr>
        <w:pStyle w:val="LineTop"/>
      </w:pPr>
    </w:p>
    <w:p w14:paraId="0F1998F5" w14:textId="77777777" w:rsidR="00680577" w:rsidRPr="0051495C" w:rsidRDefault="00A638CD" w:rsidP="00680577">
      <w:pPr>
        <w:pStyle w:val="EPBodyTA1"/>
      </w:pPr>
      <w:r w:rsidRPr="0051495C">
        <w:t>ПРИЕТИ ТЕКСТОВЕ</w:t>
      </w:r>
    </w:p>
    <w:p w14:paraId="640D9644" w14:textId="77777777" w:rsidR="00D058B8" w:rsidRPr="0051495C" w:rsidRDefault="00D058B8" w:rsidP="00D058B8">
      <w:pPr>
        <w:pStyle w:val="LineBottom"/>
      </w:pPr>
    </w:p>
    <w:p w14:paraId="784A8F6F" w14:textId="382EB845" w:rsidR="00A638CD" w:rsidRPr="0051495C" w:rsidRDefault="00A638CD" w:rsidP="00A638CD">
      <w:pPr>
        <w:pStyle w:val="ATHeading1"/>
      </w:pPr>
      <w:bookmarkStart w:id="0" w:name="TANumber"/>
      <w:r w:rsidRPr="0051495C">
        <w:t>P9_TA(2024)0</w:t>
      </w:r>
      <w:r w:rsidR="00EA3370" w:rsidRPr="00724CFC">
        <w:t>361</w:t>
      </w:r>
      <w:bookmarkEnd w:id="0"/>
    </w:p>
    <w:p w14:paraId="5F6D8245" w14:textId="71C534E4" w:rsidR="00A638CD" w:rsidRPr="0051495C" w:rsidRDefault="00A638CD" w:rsidP="008E16FC">
      <w:pPr>
        <w:pStyle w:val="ATHeading2"/>
      </w:pPr>
      <w:bookmarkStart w:id="1" w:name="title"/>
      <w:r w:rsidRPr="0051495C">
        <w:t>Статистика за населението и жилищния фонд</w:t>
      </w:r>
      <w:bookmarkEnd w:id="1"/>
    </w:p>
    <w:p w14:paraId="072B6F1B" w14:textId="77777777" w:rsidR="00A638CD" w:rsidRPr="0051495C" w:rsidRDefault="00A638CD" w:rsidP="00A638CD">
      <w:pPr>
        <w:rPr>
          <w:i/>
          <w:vanish/>
        </w:rPr>
      </w:pPr>
      <w:r w:rsidRPr="0051495C">
        <w:rPr>
          <w:i/>
        </w:rPr>
        <w:fldChar w:fldCharType="begin"/>
      </w:r>
      <w:r w:rsidRPr="0051495C">
        <w:rPr>
          <w:i/>
        </w:rPr>
        <w:instrText xml:space="preserve"> TC"(</w:instrText>
      </w:r>
      <w:bookmarkStart w:id="2" w:name="DocNumber"/>
      <w:r w:rsidRPr="0051495C">
        <w:rPr>
          <w:i/>
        </w:rPr>
        <w:instrText>A9-0284/2023</w:instrText>
      </w:r>
      <w:bookmarkEnd w:id="2"/>
      <w:r w:rsidRPr="0051495C">
        <w:rPr>
          <w:i/>
        </w:rPr>
        <w:instrText xml:space="preserve"> - Докладчик: Ирена Йовева)"\l3 \n&gt; \* MERGEFORMAT </w:instrText>
      </w:r>
      <w:r w:rsidRPr="0051495C">
        <w:rPr>
          <w:i/>
        </w:rPr>
        <w:fldChar w:fldCharType="end"/>
      </w:r>
    </w:p>
    <w:p w14:paraId="285210B6" w14:textId="77777777" w:rsidR="00A638CD" w:rsidRPr="0051495C" w:rsidRDefault="00A638CD" w:rsidP="00A638CD">
      <w:pPr>
        <w:rPr>
          <w:vanish/>
        </w:rPr>
      </w:pPr>
      <w:bookmarkStart w:id="3" w:name="Commission"/>
      <w:r w:rsidRPr="0051495C">
        <w:rPr>
          <w:vanish/>
        </w:rPr>
        <w:t>Комисия по заетост и социални въпроси</w:t>
      </w:r>
      <w:bookmarkEnd w:id="3"/>
    </w:p>
    <w:p w14:paraId="6F57EEE8" w14:textId="77777777" w:rsidR="00A638CD" w:rsidRPr="0051495C" w:rsidRDefault="00A638CD" w:rsidP="00A638CD">
      <w:pPr>
        <w:rPr>
          <w:vanish/>
        </w:rPr>
      </w:pPr>
      <w:bookmarkStart w:id="4" w:name="PE"/>
      <w:r w:rsidRPr="0051495C">
        <w:rPr>
          <w:vanish/>
        </w:rPr>
        <w:t>PE746.665</w:t>
      </w:r>
      <w:bookmarkEnd w:id="4"/>
    </w:p>
    <w:p w14:paraId="1B751D7D" w14:textId="25FE8B2C" w:rsidR="00A638CD" w:rsidRPr="0051495C" w:rsidRDefault="00A638CD" w:rsidP="00A638CD">
      <w:pPr>
        <w:pStyle w:val="ATHeading3"/>
      </w:pPr>
      <w:bookmarkStart w:id="5" w:name="Sujet"/>
      <w:r w:rsidRPr="0051495C">
        <w:t xml:space="preserve">Законодателна резолюция на Европейския парламент от </w:t>
      </w:r>
      <w:r w:rsidR="00374B02">
        <w:t>24</w:t>
      </w:r>
      <w:r w:rsidRPr="0051495C">
        <w:t xml:space="preserve"> </w:t>
      </w:r>
      <w:r w:rsidR="006D5E75">
        <w:t xml:space="preserve">април </w:t>
      </w:r>
      <w:r w:rsidRPr="0051495C">
        <w:t>2024 г. относно предложението за регламент на Европейския парламент и на Съвета относно европейската статистика за населението и жилищния фонд, за изменение на Регламент (ЕО) № 862/2007 и за отмяна на регламенти (ЕО) № 763/2008 и (ЕС) № 1260/2013</w:t>
      </w:r>
      <w:bookmarkEnd w:id="5"/>
      <w:r w:rsidRPr="0051495C">
        <w:t xml:space="preserve"> </w:t>
      </w:r>
      <w:bookmarkStart w:id="6" w:name="References"/>
      <w:r w:rsidRPr="0051495C">
        <w:t>(COM(2023)0031 – C9-0010/2023 – 2023/0008(COD))</w:t>
      </w:r>
      <w:bookmarkEnd w:id="6"/>
    </w:p>
    <w:p w14:paraId="4B1EF08C" w14:textId="77777777" w:rsidR="0076606D" w:rsidRPr="0051495C" w:rsidRDefault="0076606D" w:rsidP="0076606D">
      <w:pPr>
        <w:pStyle w:val="NormalBold"/>
      </w:pPr>
      <w:bookmarkStart w:id="7" w:name="TextBodyBegin"/>
      <w:bookmarkEnd w:id="7"/>
      <w:r w:rsidRPr="0051495C">
        <w:t>(Обикновена законодателна процедура – първо четене)</w:t>
      </w:r>
    </w:p>
    <w:p w14:paraId="7CFF01B3" w14:textId="77777777" w:rsidR="0076606D" w:rsidRPr="0051495C" w:rsidRDefault="0076606D" w:rsidP="0076606D">
      <w:pPr>
        <w:pStyle w:val="EPComma"/>
      </w:pPr>
      <w:r w:rsidRPr="0051495C">
        <w:rPr>
          <w:i/>
          <w:iCs/>
        </w:rPr>
        <w:t>Европейският парламент</w:t>
      </w:r>
      <w:r w:rsidRPr="0051495C">
        <w:t>,</w:t>
      </w:r>
    </w:p>
    <w:p w14:paraId="5DF11DDF" w14:textId="0CD7A25B" w:rsidR="0076606D" w:rsidRPr="0051495C" w:rsidRDefault="0076606D" w:rsidP="006D5E75">
      <w:pPr>
        <w:pStyle w:val="NormalHanging12a"/>
      </w:pPr>
      <w:r w:rsidRPr="0051495C">
        <w:t>–</w:t>
      </w:r>
      <w:r w:rsidRPr="0051495C">
        <w:tab/>
        <w:t xml:space="preserve">като взе предвид предложението на Комисията до </w:t>
      </w:r>
      <w:r w:rsidR="006D5E75">
        <w:t>П</w:t>
      </w:r>
      <w:r w:rsidRPr="0051495C">
        <w:t>арламент</w:t>
      </w:r>
      <w:r w:rsidR="006D5E75">
        <w:t>а</w:t>
      </w:r>
      <w:r w:rsidRPr="0051495C">
        <w:t xml:space="preserve"> и до Съвета (COM(2023)0031),</w:t>
      </w:r>
    </w:p>
    <w:p w14:paraId="0613D8F2" w14:textId="77777777" w:rsidR="0076606D" w:rsidRPr="0051495C" w:rsidRDefault="0076606D" w:rsidP="0076606D">
      <w:pPr>
        <w:pStyle w:val="NormalHanging12a"/>
      </w:pPr>
      <w:r w:rsidRPr="0051495C">
        <w:t>–</w:t>
      </w:r>
      <w:r w:rsidRPr="0051495C">
        <w:tab/>
        <w:t>като взе предвид член 294, параграф 2 и член 338, параграф 1 от Договора за функционирането на Европейския съюз, съгласно които Комисията е внесла предложението в Парламента (C9</w:t>
      </w:r>
      <w:r w:rsidRPr="0051495C">
        <w:noBreakHyphen/>
        <w:t>0010/2023),</w:t>
      </w:r>
    </w:p>
    <w:p w14:paraId="427662BA" w14:textId="77777777" w:rsidR="0076606D" w:rsidRDefault="0076606D" w:rsidP="0076606D">
      <w:pPr>
        <w:pStyle w:val="NormalHanging12a"/>
      </w:pPr>
      <w:r w:rsidRPr="0051495C">
        <w:t>–</w:t>
      </w:r>
      <w:r w:rsidRPr="0051495C">
        <w:tab/>
        <w:t>като взе предвид член 294, параграф 3 от Договора за функционирането на Европейския съюз,</w:t>
      </w:r>
    </w:p>
    <w:p w14:paraId="52B656DB" w14:textId="77777777" w:rsidR="00374B02" w:rsidRPr="00374B02" w:rsidRDefault="00374B02" w:rsidP="00374B02">
      <w:pPr>
        <w:pStyle w:val="NormalHanging12a"/>
      </w:pPr>
      <w:r w:rsidRPr="00374B02">
        <w:t>–</w:t>
      </w:r>
      <w:r w:rsidRPr="00374B02">
        <w:tab/>
      </w:r>
      <w:r w:rsidRPr="00EA3370">
        <w:t xml:space="preserve">като взе предвид становището на Европейския икономически и социален комитет от </w:t>
      </w:r>
      <w:r w:rsidRPr="00374B02">
        <w:t>2</w:t>
      </w:r>
      <w:r>
        <w:t>7</w:t>
      </w:r>
      <w:r w:rsidRPr="00374B02">
        <w:t xml:space="preserve"> </w:t>
      </w:r>
      <w:r>
        <w:t>април</w:t>
      </w:r>
      <w:r w:rsidRPr="00374B02">
        <w:t xml:space="preserve"> 202</w:t>
      </w:r>
      <w:r>
        <w:t>3</w:t>
      </w:r>
      <w:r w:rsidRPr="00EA3370">
        <w:t> г.</w:t>
      </w:r>
      <w:r>
        <w:rPr>
          <w:rStyle w:val="FootnoteReference"/>
        </w:rPr>
        <w:footnoteReference w:id="1"/>
      </w:r>
      <w:r w:rsidRPr="00EA3370">
        <w:t>,</w:t>
      </w:r>
    </w:p>
    <w:p w14:paraId="382EEEDE" w14:textId="77777777" w:rsidR="0076606D" w:rsidRPr="0051495C" w:rsidRDefault="0076606D" w:rsidP="0076606D">
      <w:pPr>
        <w:pStyle w:val="NormalHanging12a"/>
      </w:pPr>
      <w:r w:rsidRPr="0051495C">
        <w:t>–</w:t>
      </w:r>
      <w:r w:rsidRPr="0051495C">
        <w:tab/>
        <w:t>като взе предвид член 59 от своя Правилник за дейността,</w:t>
      </w:r>
    </w:p>
    <w:p w14:paraId="7B8E9648" w14:textId="77777777" w:rsidR="0076606D" w:rsidRPr="0051495C" w:rsidRDefault="0076606D" w:rsidP="0076606D">
      <w:pPr>
        <w:pStyle w:val="NormalHanging12a"/>
      </w:pPr>
      <w:r w:rsidRPr="0051495C">
        <w:t>–</w:t>
      </w:r>
      <w:r w:rsidRPr="0051495C">
        <w:tab/>
        <w:t>като взе предвид становищата на комисията по граждански свободи, правосъдие и вътрешни работи и на комисията по регионално развитие,</w:t>
      </w:r>
    </w:p>
    <w:p w14:paraId="28284DFB" w14:textId="77777777" w:rsidR="0076606D" w:rsidRPr="0051495C" w:rsidRDefault="0076606D" w:rsidP="006D5E75">
      <w:pPr>
        <w:pStyle w:val="NormalHanging12a"/>
      </w:pPr>
      <w:r w:rsidRPr="0051495C">
        <w:t>–</w:t>
      </w:r>
      <w:r w:rsidRPr="0051495C">
        <w:tab/>
        <w:t>като взе предвид доклада на комисията по заетост и социални въпроси (A9-0284/2023),</w:t>
      </w:r>
    </w:p>
    <w:p w14:paraId="2D44598C" w14:textId="77777777" w:rsidR="0076606D" w:rsidRPr="0051495C" w:rsidRDefault="0076606D" w:rsidP="0076606D">
      <w:pPr>
        <w:pStyle w:val="NormalHanging12a"/>
        <w:numPr>
          <w:ilvl w:val="0"/>
          <w:numId w:val="45"/>
        </w:numPr>
        <w:ind w:left="567" w:hanging="567"/>
      </w:pPr>
      <w:r w:rsidRPr="0051495C">
        <w:t>приема изложената по-долу позиция на първо четене;</w:t>
      </w:r>
    </w:p>
    <w:p w14:paraId="322C0EA7" w14:textId="48CB0DF2" w:rsidR="0076606D" w:rsidRPr="0051495C" w:rsidRDefault="0076606D" w:rsidP="006D5E75">
      <w:pPr>
        <w:pStyle w:val="NormalHanging12a"/>
        <w:numPr>
          <w:ilvl w:val="0"/>
          <w:numId w:val="45"/>
        </w:numPr>
        <w:ind w:left="567" w:hanging="567"/>
      </w:pPr>
      <w:r w:rsidRPr="0051495C">
        <w:lastRenderedPageBreak/>
        <w:t>приканва Комисията да се отнесе до него отново, в случай че замени своето предложение с друг текст</w:t>
      </w:r>
      <w:r w:rsidR="006D5E75">
        <w:t>,</w:t>
      </w:r>
      <w:r w:rsidRPr="0051495C">
        <w:t xml:space="preserve"> внесе или възнамерява да внесе съществени промени в това предложение;</w:t>
      </w:r>
    </w:p>
    <w:p w14:paraId="673BCB48" w14:textId="77777777" w:rsidR="00724CFC" w:rsidRDefault="0076606D" w:rsidP="0076606D">
      <w:pPr>
        <w:pStyle w:val="NormalHanging12a"/>
        <w:sectPr w:rsidR="00724CFC" w:rsidSect="0051495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1495C">
        <w:t>3.</w:t>
      </w:r>
      <w:r w:rsidRPr="0051495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8D3CC0A" w14:textId="77777777" w:rsidR="00D27C68" w:rsidRPr="00724CFC" w:rsidRDefault="00D27C68" w:rsidP="00D27C68">
      <w:pPr>
        <w:widowControl/>
      </w:pPr>
      <w:bookmarkStart w:id="8" w:name="TextBodyEnd"/>
      <w:bookmarkEnd w:id="8"/>
      <w:r w:rsidRPr="00D27C68">
        <w:rPr>
          <w:b/>
          <w:bCs/>
          <w:lang w:val="en-GB"/>
        </w:rPr>
        <w:lastRenderedPageBreak/>
        <w:t>P</w:t>
      </w:r>
      <w:r w:rsidRPr="00724CFC">
        <w:rPr>
          <w:b/>
          <w:bCs/>
        </w:rPr>
        <w:t>9_</w:t>
      </w:r>
      <w:r w:rsidRPr="00D27C68">
        <w:rPr>
          <w:b/>
          <w:bCs/>
          <w:lang w:val="en-GB"/>
        </w:rPr>
        <w:t>TC</w:t>
      </w:r>
      <w:r w:rsidRPr="00724CFC">
        <w:rPr>
          <w:b/>
          <w:bCs/>
        </w:rPr>
        <w:t>1-</w:t>
      </w:r>
      <w:proofErr w:type="gramStart"/>
      <w:r w:rsidRPr="00D27C68">
        <w:rPr>
          <w:b/>
          <w:bCs/>
          <w:lang w:val="en-GB"/>
        </w:rPr>
        <w:t>COD</w:t>
      </w:r>
      <w:r w:rsidRPr="00724CFC">
        <w:rPr>
          <w:b/>
          <w:bCs/>
        </w:rPr>
        <w:t>(</w:t>
      </w:r>
      <w:proofErr w:type="gramEnd"/>
      <w:r w:rsidRPr="00724CFC">
        <w:rPr>
          <w:b/>
          <w:bCs/>
        </w:rPr>
        <w:t>2023)0008</w:t>
      </w:r>
    </w:p>
    <w:p w14:paraId="5A6CDD68" w14:textId="1DBE1773" w:rsidR="00D27C68" w:rsidRPr="00724CFC" w:rsidRDefault="00D27C68" w:rsidP="00D27C68">
      <w:pPr>
        <w:spacing w:before="120"/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D27C68">
        <w:rPr>
          <w:b/>
          <w:szCs w:val="24"/>
        </w:rPr>
        <w:t xml:space="preserve">на </w:t>
      </w:r>
      <w:r w:rsidRPr="00724CFC">
        <w:rPr>
          <w:b/>
          <w:szCs w:val="24"/>
        </w:rPr>
        <w:t xml:space="preserve">24 </w:t>
      </w:r>
      <w:r w:rsidRPr="00D27C68">
        <w:rPr>
          <w:b/>
          <w:szCs w:val="24"/>
        </w:rPr>
        <w:t xml:space="preserve">април 2024 г. с оглед на приемането на Регламент (ЕС) 2024/... на Европейския парламент и на Съвета </w:t>
      </w:r>
      <w:r w:rsidR="007B6E4A" w:rsidRPr="00D27C68">
        <w:rPr>
          <w:b/>
        </w:rPr>
        <w:t>относно европейската статистика за населението и жилищния ф</w:t>
      </w:r>
      <w:r w:rsidR="007B6E4A" w:rsidRPr="00D92BE2">
        <w:rPr>
          <w:b/>
        </w:rPr>
        <w:t>онд, за изменение на Регламент (ЕО) № 862/2007 и за отмяна на регламенти (ЕО) № 763/2008 и (ЕС) № 1260/2013</w:t>
      </w:r>
      <w:r w:rsidRPr="00D27C68">
        <w:rPr>
          <w:b/>
          <w:vertAlign w:val="superscript"/>
        </w:rPr>
        <w:footnoteReference w:customMarkFollows="1" w:id="2"/>
        <w:t>*</w:t>
      </w:r>
    </w:p>
    <w:p w14:paraId="71568A70" w14:textId="1EF76608" w:rsidR="008E16FC" w:rsidRPr="00D92BE2" w:rsidRDefault="008E16FC" w:rsidP="008E16FC">
      <w:pPr>
        <w:widowControl/>
        <w:spacing w:before="360" w:after="240" w:line="360" w:lineRule="auto"/>
        <w:jc w:val="center"/>
        <w:rPr>
          <w:szCs w:val="24"/>
        </w:rPr>
      </w:pPr>
      <w:r w:rsidRPr="00D92BE2">
        <w:t>(Текст от значение за ЕИП)</w:t>
      </w:r>
    </w:p>
    <w:p w14:paraId="2009DCBB" w14:textId="77777777" w:rsidR="008E16FC" w:rsidRPr="00D92BE2" w:rsidRDefault="008E16FC" w:rsidP="008E16FC">
      <w:pPr>
        <w:keepNext/>
        <w:spacing w:before="600" w:after="120" w:line="360" w:lineRule="auto"/>
        <w:rPr>
          <w:szCs w:val="24"/>
        </w:rPr>
      </w:pPr>
      <w:r w:rsidRPr="00D92BE2">
        <w:t>ЕВРОПЕЙСКИЯТ ПАРЛАМЕНТ И СЪВЕТЪТ НА ЕВРОПЕЙСКИЯ СЪЮЗ,</w:t>
      </w:r>
    </w:p>
    <w:p w14:paraId="3565B718" w14:textId="77777777" w:rsidR="008E16FC" w:rsidRPr="00D92BE2" w:rsidRDefault="008E16FC" w:rsidP="008E16FC">
      <w:pPr>
        <w:spacing w:before="120" w:after="120" w:line="360" w:lineRule="auto"/>
      </w:pPr>
      <w:r w:rsidRPr="00D92BE2">
        <w:t>като взеха предвид Договора за функционирането на Европейския съюз, и по-специално член 338, параграф 1 от него,</w:t>
      </w:r>
    </w:p>
    <w:p w14:paraId="1A2DE04C" w14:textId="77777777" w:rsidR="008E16FC" w:rsidRPr="00D92BE2" w:rsidRDefault="008E16FC" w:rsidP="008E16FC">
      <w:pPr>
        <w:spacing w:before="120" w:after="120" w:line="360" w:lineRule="auto"/>
      </w:pPr>
      <w:r w:rsidRPr="00D92BE2">
        <w:t>като взеха предвид предложението на Европейската комисия,</w:t>
      </w:r>
    </w:p>
    <w:p w14:paraId="6D028F82" w14:textId="77777777" w:rsidR="008E16FC" w:rsidRPr="00D92BE2" w:rsidRDefault="008E16FC" w:rsidP="008E16FC">
      <w:pPr>
        <w:spacing w:before="120" w:after="120" w:line="360" w:lineRule="auto"/>
      </w:pPr>
      <w:r w:rsidRPr="00D92BE2">
        <w:t>след предаването на проекта на законодателен акт на националните парламенти,</w:t>
      </w:r>
    </w:p>
    <w:p w14:paraId="16486E82" w14:textId="77777777" w:rsidR="008E16FC" w:rsidRPr="00D92BE2" w:rsidRDefault="008E16FC" w:rsidP="008E16FC">
      <w:pPr>
        <w:spacing w:before="120" w:after="120" w:line="360" w:lineRule="auto"/>
      </w:pPr>
      <w:r w:rsidRPr="00D92BE2">
        <w:t>като взеха предвид становището на Европейския икономически и социален комитет</w:t>
      </w:r>
      <w:r w:rsidRPr="00D92BE2">
        <w:rPr>
          <w:vertAlign w:val="superscript"/>
          <w:lang w:eastAsia="en-US"/>
        </w:rPr>
        <w:footnoteReference w:id="3"/>
      </w:r>
      <w:r w:rsidRPr="00D92BE2">
        <w:t>,</w:t>
      </w:r>
    </w:p>
    <w:p w14:paraId="73C42380" w14:textId="77777777" w:rsidR="008E16FC" w:rsidRPr="00D92BE2" w:rsidRDefault="008E16FC" w:rsidP="008E16FC">
      <w:pPr>
        <w:spacing w:before="120" w:after="120" w:line="360" w:lineRule="auto"/>
      </w:pPr>
      <w:r w:rsidRPr="00D92BE2">
        <w:t>като взеха предвид становището на Комитета на регионите</w:t>
      </w:r>
      <w:r w:rsidRPr="00D92BE2">
        <w:rPr>
          <w:vertAlign w:val="superscript"/>
          <w:lang w:eastAsia="en-US"/>
        </w:rPr>
        <w:footnoteReference w:id="4"/>
      </w:r>
      <w:r w:rsidRPr="00D92BE2">
        <w:t>,</w:t>
      </w:r>
    </w:p>
    <w:p w14:paraId="4692E122" w14:textId="30E2E810" w:rsidR="008E16FC" w:rsidRPr="00D92BE2" w:rsidRDefault="008E16FC" w:rsidP="007B6E4A">
      <w:pPr>
        <w:spacing w:before="120" w:after="120" w:line="360" w:lineRule="auto"/>
      </w:pPr>
      <w:r w:rsidRPr="00D92BE2">
        <w:t>в съответствие с обикновената законодателна процедура,</w:t>
      </w:r>
    </w:p>
    <w:p w14:paraId="0BD3A41B" w14:textId="77777777" w:rsidR="008E16FC" w:rsidRPr="00D92BE2" w:rsidRDefault="008E16FC" w:rsidP="008E16FC">
      <w:pPr>
        <w:spacing w:before="120" w:after="120" w:line="360" w:lineRule="auto"/>
      </w:pPr>
      <w:r w:rsidRPr="00D92BE2">
        <w:t>като имат предвид, както следва:</w:t>
      </w:r>
    </w:p>
    <w:p w14:paraId="514B4F9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(1)</w:t>
      </w:r>
      <w:r w:rsidRPr="00D92BE2">
        <w:tab/>
        <w:t xml:space="preserve">Европейската статистика за населението и жилищния фонд </w:t>
      </w:r>
      <w:r w:rsidRPr="00D92BE2">
        <w:rPr>
          <w:b/>
          <w:i/>
        </w:rPr>
        <w:t>играе централна роля в процесите на създаване на политики и на вземане на решения и следователно</w:t>
      </w:r>
      <w:r w:rsidRPr="00D92BE2">
        <w:t xml:space="preserve"> е необходима за разработването, изпълнението и оценката на политиките на Съюза, по-специално тези, които са насочени към демографските промени, екологичната и цифровата трансформация, </w:t>
      </w:r>
      <w:r w:rsidRPr="00D92BE2">
        <w:rPr>
          <w:b/>
          <w:i/>
        </w:rPr>
        <w:t>рамката за</w:t>
      </w:r>
      <w:r w:rsidRPr="00D92BE2">
        <w:t xml:space="preserve"> насърчаване на енергийната ефективност, икономическото, социалното и териториалното сближаване</w:t>
      </w:r>
      <w:r w:rsidRPr="00D92BE2">
        <w:rPr>
          <w:b/>
          <w:i/>
        </w:rPr>
        <w:t>, прилагането на принципите на Европейския стълб на социалните права</w:t>
      </w:r>
      <w:r w:rsidRPr="00D92BE2">
        <w:t xml:space="preserve"> и постигането на целите за устойчиво развитие от Програмата до 2030 г. на Организацията на обединените нации (ООН)</w:t>
      </w:r>
      <w:r w:rsidRPr="00D92BE2">
        <w:rPr>
          <w:b/>
          <w:i/>
        </w:rPr>
        <w:t>, доколкото те попадат в приложното поле на настоящия регламент</w:t>
      </w:r>
      <w:r w:rsidRPr="00D92BE2">
        <w:t>.</w:t>
      </w:r>
    </w:p>
    <w:p w14:paraId="513A0F8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lastRenderedPageBreak/>
        <w:t>(2)</w:t>
      </w:r>
      <w:r w:rsidRPr="00D92BE2">
        <w:tab/>
        <w:t>Статистическите данни за населението са важен знаменател за широк спектър от политически показатели и се използват като референтни в европейската статистика, по-специално за осигуряване на рамки на извадките за провеждане на представителни изследвания на лица и домакинства съгласно Регламент (ЕС) 2019/1700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5"/>
      </w:r>
      <w:r w:rsidRPr="00D92BE2">
        <w:t>.</w:t>
      </w:r>
    </w:p>
    <w:p w14:paraId="3B72918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(3)</w:t>
      </w:r>
      <w:r w:rsidRPr="00D92BE2">
        <w:tab/>
        <w:t>Съветът по икономически и финансови въпроси редовно предоставя мандат на Комитета за икономическа политика за оценка на дългосрочната устойчивост и качеството на публичните финанси въз основа на изготвяните от Евростат прогнози за населението. Прогнозите за населението се използват и за анализ на политиките в контекста на европейския семестър. Комисията (Евростат) следва да разполага с всички необходими статистически данни за изготвянето и публикуването на прогнози за населението в съответствие с информационните нужди на Съюза.</w:t>
      </w:r>
    </w:p>
    <w:p w14:paraId="35468A1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(4)</w:t>
      </w:r>
      <w:r w:rsidRPr="00D92BE2">
        <w:tab/>
        <w:t xml:space="preserve">В съответствие с член 175, параграф 2 от Договора за функционирането на Европейския съюз (ДФЕС) на всеки три години Комисията следва да внася доклад в Европейския парламент, Съвета, Икономическия и социален комитет и Комитета на регионите относно осъществения напредък в реализирането на икономическото, социалното и териториалното сближаване. За изготвянето на тези доклади и за редовното наблюдение на демографските промени и на евентуалните бъдещи демографски предизвикателства на територията на Съюза са необходими регионални и местни данни, включително за различните видове територии, като гранични региони, градове и техните функционални градски зони, </w:t>
      </w:r>
      <w:proofErr w:type="spellStart"/>
      <w:r w:rsidRPr="00D92BE2">
        <w:t>метрополни</w:t>
      </w:r>
      <w:proofErr w:type="spellEnd"/>
      <w:r w:rsidRPr="00D92BE2">
        <w:t xml:space="preserve"> региони, селски региони, планински и островни региони.</w:t>
      </w:r>
    </w:p>
    <w:p w14:paraId="6E2C733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(5)</w:t>
      </w:r>
      <w:r w:rsidRPr="00D92BE2">
        <w:tab/>
        <w:t xml:space="preserve">Съгласно член 16, параграф 4 от Договора за Европейския съюз (ДЕС) квалифицираното мнозинство от членовете на Съвета трябва да се определя, наред с другото, въз основа на населението на държавите членки. За тази цел, </w:t>
      </w:r>
      <w:r w:rsidRPr="00D92BE2">
        <w:lastRenderedPageBreak/>
        <w:t>съгласно член 4, параграф 1 от Регламент (ЕС) № 1260/2013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6"/>
      </w:r>
      <w:r w:rsidRPr="00D92BE2">
        <w:t xml:space="preserve"> понастоящем държавите членки са задължени да предоставят на Комисията (Евростат) данни за общото население на национално ниво.</w:t>
      </w:r>
    </w:p>
    <w:p w14:paraId="3A4CDD2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(6)</w:t>
      </w:r>
      <w:r w:rsidRPr="00D92BE2">
        <w:tab/>
        <w:t xml:space="preserve">През 2017 г. Комитетът на европейската статистическа система (Комитет на ЕСС) одобри Меморандума от Будапеща, в който се посочва необходимостта от годишна статистика за броя на населението и някои социални, икономически и демографски характеристики на населението, както и от подобрена статистика за миграцията. Във връзка със спазването на принципите на равенство и </w:t>
      </w:r>
      <w:proofErr w:type="spellStart"/>
      <w:r w:rsidRPr="00D92BE2">
        <w:t>недискриминация</w:t>
      </w:r>
      <w:proofErr w:type="spellEnd"/>
      <w:r w:rsidRPr="00D92BE2">
        <w:t xml:space="preserve"> по отношение на гражданите във всички дейности и на правата на гражданите, залегнали в Хартата на основните права на Европейския съюз и в членове 10 и 19 от ДФЕС, </w:t>
      </w:r>
      <w:r w:rsidRPr="00D92BE2">
        <w:rPr>
          <w:b/>
          <w:i/>
        </w:rPr>
        <w:t>както и за целите на наблюдението на напредъка в прилагането на принципите на Европейския стълб на социалните права,</w:t>
      </w:r>
      <w:r w:rsidRPr="00D92BE2">
        <w:t xml:space="preserve"> Съюзът се нуждае от надеждни и съпоставими статистически данни. В Регламент (ЕС) 2019/1700 е предвидена рамка за събиране на данни чрез извадки, която позволява да се събират данни за равенството и </w:t>
      </w:r>
      <w:proofErr w:type="spellStart"/>
      <w:r w:rsidRPr="00D92BE2">
        <w:t>недискриминацията</w:t>
      </w:r>
      <w:proofErr w:type="spellEnd"/>
      <w:r w:rsidRPr="00D92BE2">
        <w:t>, доколкото това е възможно чрез извадки, и да се анализират някои аспекти на равенството и дискриминацията чрез съставяне на социално-икономически показатели и представяне на информация относно опита с дискриминацията. Освен това Агенцията на ЕС за основните права (FRA) и Европейският институт за равенство между половете (EIGE) провеждат специфични изследвания и специализирани проучвания, чрез които наличната статистика за равенството на равнището на ЕС може да бъде допълнително разширена</w:t>
      </w:r>
      <w:r w:rsidRPr="00D92BE2">
        <w:rPr>
          <w:b/>
          <w:i/>
        </w:rPr>
        <w:t>. Освен това Европейската фондация за подобряване на условията на живот и труд (</w:t>
      </w:r>
      <w:proofErr w:type="spellStart"/>
      <w:r w:rsidRPr="00D92BE2">
        <w:rPr>
          <w:b/>
          <w:i/>
        </w:rPr>
        <w:t>Eurofound</w:t>
      </w:r>
      <w:proofErr w:type="spellEnd"/>
      <w:r w:rsidRPr="00D92BE2">
        <w:rPr>
          <w:b/>
          <w:i/>
        </w:rPr>
        <w:t>) предоставя данни и информация, събрани чрез проучвания на условията на живот и труд</w:t>
      </w:r>
      <w:r w:rsidRPr="00D92BE2">
        <w:t>. Сътрудничеството и координацията между държавите членки, Комисията (Евростат) и тези агенции следва да бъдат допълнително засилени, за да се отговори на нарастващите нужди на ползвателите от надеждни и изчерпателни данни за равенството и разнообразието в Съюза.</w:t>
      </w:r>
    </w:p>
    <w:p w14:paraId="31CDB2E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lastRenderedPageBreak/>
        <w:t>(6a)</w:t>
      </w:r>
      <w:r w:rsidRPr="00D92BE2">
        <w:tab/>
      </w:r>
      <w:r w:rsidRPr="00D92BE2">
        <w:rPr>
          <w:b/>
          <w:i/>
        </w:rPr>
        <w:t>С Меморандума от Будапеща също така се отправи призив за подобряване на статистическите данни за миграцията и за разработване и прилагане на общи определения, свързани с населението и миграцията, като се отчита необходимостта от установяване на понятия и определения, които да са статистически обосновани, подходящи и приложими в светлината на новите видове миграция. Минали и настоящи събития, като оттеглянето на Обединеното кралство от Съюза и последиците от руската агресивна война срещу Украйна, както и други хуманитарни кризи, подчертават значението на актуална и подробна статистика за миграцията и международната закрила, която е от съществено значение за изготвянето на общ преглед на миграционните потоци към, във и от Съюза.</w:t>
      </w:r>
    </w:p>
    <w:p w14:paraId="3B545009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(7)</w:t>
      </w:r>
      <w:r w:rsidRPr="00D92BE2">
        <w:tab/>
        <w:t>За да се постигнат целите на Европейския зелен пакт, разработването и оценката на ефективни политики изискват подобрени статистически данни за енергопотреблението и енергийната ефективност на жилищния фонд, подробни географски данни за разпределението на населението, както и по-задълбочени проучвания на връзката между населението и жилищния фонд. По време на пандемията от COVID-19 се очерта нуждата от надеждни, често предоставяни и актуални статистически данни за умиранията в Съюза. Въпреки че нуждите от данни бяха удовлетворени чрез доброволно събиране на данни от държавите членки и предоставянето им на Комисията (Евростат), Съюзът се нуждае от адекватен механизъм за задължително събиране на такива данни в рамките на Европейската статистическа система (ЕСС), при съблюдаване на необходимата честота, актуалност и степен на подробност.</w:t>
      </w:r>
    </w:p>
    <w:p w14:paraId="2C8F2B2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(7a)</w:t>
      </w:r>
      <w:r w:rsidRPr="00D92BE2">
        <w:tab/>
      </w:r>
      <w:r w:rsidRPr="00D92BE2">
        <w:rPr>
          <w:b/>
          <w:i/>
        </w:rPr>
        <w:t>За да се наблюдава напредъкът в изпълнението на принципите на Европейския стълб на социалните права, на водещите цели на свързания план за действие и на Европейската гаранция за децата на национално равнище, както и за да се извърши оценка на разпределението на въздействието на изменението на климата и политиките като цяло, Съюзът се нуждае от адекватен механизъм за задължително събиране на такива данни в рамките на ЕСС, при съблюдаване на необходимата честота, актуалност и степен на подробност.</w:t>
      </w:r>
    </w:p>
    <w:p w14:paraId="0B76843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(8)</w:t>
      </w:r>
      <w:r w:rsidRPr="00D92BE2">
        <w:tab/>
        <w:t xml:space="preserve">На всеки десет години по предложение на Статистическата комисия </w:t>
      </w:r>
      <w:r w:rsidRPr="00D92BE2">
        <w:lastRenderedPageBreak/>
        <w:t>Икономическият и социален съвет на ООН приема резолюции относно световното преброяване на населението и жилищния фонд и приканва държавите — членки на ООН, да провеждат преброявания на населението и жилищния фонд в съответствие с международните и регионалните препоръки и като поддържат целостта, надеждността, точността и стойността на резултатите от преброяванията на населението и жилищния фонд. Тези препоръки следва да бъдат взети предвид и при изготвянето на европейската статистика за населението и жилищния фонд.</w:t>
      </w:r>
    </w:p>
    <w:p w14:paraId="5CBB8CD8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(9)</w:t>
      </w:r>
      <w:r w:rsidRPr="00D92BE2">
        <w:tab/>
      </w:r>
      <w:r w:rsidRPr="00D92BE2">
        <w:rPr>
          <w:b/>
          <w:i/>
        </w:rPr>
        <w:t xml:space="preserve">Рационализирането на задълженията за докладване и намаляването на административната тежест е основна цел на Комисията. Съобщението на Комисията от 16 март 2023 г., озаглавено „Дългосрочна конкурентоспособност на ЕС: перспективи след 2030 г.“, има за цел да се рационализират и опростят изискванията за докладване с 25% за предприятията и администрациите, като същевременно не се подкопават съответните цели на политиката. </w:t>
      </w:r>
      <w:r w:rsidRPr="00D92BE2">
        <w:t>С Регламент (ЕО) № 223/2009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7"/>
      </w:r>
      <w:r w:rsidRPr="00D92BE2">
        <w:t xml:space="preserve"> е установена рамка за разработването, изготвянето и разпространението на европейска статистика въз основа на общи статистически принципи. С този регламент се определят критерии за качество и той засяга необходимостта от това да се сведе до минимум тежестта върху респондентите на изследванията и да се допринесе за постигане на по-общата цел за намаляване на административната тежест. Новата правна рамка за европейската статистика за населението и жилищния фонд следва да прилага </w:t>
      </w:r>
      <w:r w:rsidRPr="00D92BE2">
        <w:rPr>
          <w:b/>
          <w:i/>
        </w:rPr>
        <w:t>и да се основава на</w:t>
      </w:r>
      <w:r w:rsidRPr="00D92BE2">
        <w:t xml:space="preserve"> критериите за качество, определени в посочения регламент, и да </w:t>
      </w:r>
      <w:r w:rsidRPr="00D92BE2">
        <w:rPr>
          <w:b/>
          <w:i/>
        </w:rPr>
        <w:t>намалява административната тежест</w:t>
      </w:r>
      <w:r w:rsidRPr="00D92BE2">
        <w:t xml:space="preserve"> чрез ефективно и ефикасно повторно използване на наличните източници на данни, включително административни данни.</w:t>
      </w:r>
    </w:p>
    <w:p w14:paraId="22172A4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(10)</w:t>
      </w:r>
      <w:r w:rsidRPr="00D92BE2">
        <w:tab/>
        <w:t>От оценката на съществуващите статистически данни</w:t>
      </w:r>
      <w:r w:rsidRPr="00D92BE2">
        <w:rPr>
          <w:szCs w:val="24"/>
          <w:vertAlign w:val="superscript"/>
          <w:lang w:eastAsia="en-US"/>
        </w:rPr>
        <w:footnoteReference w:id="8"/>
      </w:r>
      <w:r w:rsidRPr="00D92BE2">
        <w:t xml:space="preserve"> за преброяванията на </w:t>
      </w:r>
      <w:r w:rsidRPr="00D92BE2">
        <w:lastRenderedPageBreak/>
        <w:t xml:space="preserve">населението и жилищния фонд в Съюза, статистическите данни за международните миграционни потоци, броя на </w:t>
      </w:r>
      <w:proofErr w:type="spellStart"/>
      <w:r w:rsidRPr="00D92BE2">
        <w:t>мигрантите</w:t>
      </w:r>
      <w:proofErr w:type="spellEnd"/>
      <w:r w:rsidRPr="00D92BE2">
        <w:t xml:space="preserve"> към определени дати и придобиването на гражданство и демографските статистически данни е видно, че действащата правна рамка, включваща регламенти (ЕО) № 862/2007</w:t>
      </w:r>
      <w:r w:rsidRPr="00D92BE2">
        <w:rPr>
          <w:szCs w:val="24"/>
          <w:vertAlign w:val="superscript"/>
          <w:lang w:eastAsia="en-US"/>
        </w:rPr>
        <w:footnoteReference w:id="9"/>
      </w:r>
      <w:r w:rsidRPr="00D92BE2">
        <w:t>, (ЕО) № 763/2008</w:t>
      </w:r>
      <w:r w:rsidRPr="00D92BE2">
        <w:rPr>
          <w:szCs w:val="24"/>
          <w:vertAlign w:val="superscript"/>
          <w:lang w:eastAsia="en-US"/>
        </w:rPr>
        <w:footnoteReference w:id="10"/>
      </w:r>
      <w:r w:rsidRPr="00D92BE2">
        <w:t xml:space="preserve"> и (ЕС) № 1260/2013 на Европейския парламент и на Съвета, е довела до значително общо подобрение на статистическите данни в сравнение с положението през 2005 г. без действащата правна рамка. Тази рамка обаче има потенциал за липса на съгласуваност и съпоставимост, който следва да бъде преодолян.</w:t>
      </w:r>
    </w:p>
    <w:p w14:paraId="6DBD267A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(11)</w:t>
      </w:r>
      <w:r w:rsidRPr="00D92BE2">
        <w:tab/>
      </w:r>
      <w:r w:rsidRPr="00D92BE2">
        <w:rPr>
          <w:b/>
          <w:i/>
        </w:rPr>
        <w:t>Изменението на климата, цифровата трансформация,</w:t>
      </w:r>
      <w:r w:rsidRPr="00D92BE2">
        <w:t xml:space="preserve"> променящото се демографско положение и неотдавнашните миграционни тенденции породиха изисквания за по-актуална, по-често предоставяна и по-подробна европейска статистика за населението</w:t>
      </w:r>
      <w:r w:rsidRPr="00D92BE2">
        <w:rPr>
          <w:b/>
          <w:i/>
        </w:rPr>
        <w:t>, социално-икономическото развитие</w:t>
      </w:r>
      <w:r w:rsidRPr="00D92BE2">
        <w:t>, основните демографски събития и жилищния фонд, включително подробни данни по теми или групи, които са станали политически и обществено значими през последното десетилетие. Освен това действащата правна рамка не е достатъчно гъвкава, за да се адаптира към променящите се нужди на политиката и да позволи използването на нови източници на национално равнище и на равнището на Съюза. Освен това структурата на действащата правна рамка под формата на три отделни регламента, приети по различно време, е довела до вътрешни несъответствия в статистиката. И накрая, тъй като Регламент (ЕС) № 1260/2013 няма да бъде приложим, считано от 31 август 2028 г., е необходимо ново правно основание за демографската статистика, събирана съгласно този регламент. Поради това е необходимо настоящата правна рамка да бъде заменена с нова, по-съгласувана и по-гъвкава, която следва да измени съответните части на Регламент (ЕО) № 862/2007 и да отмени регламенти (ЕО) № 763/2008 и (ЕС) № 1260/2013.</w:t>
      </w:r>
    </w:p>
    <w:p w14:paraId="0C7A03DE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lastRenderedPageBreak/>
        <w:t>(12)</w:t>
      </w:r>
      <w:r w:rsidRPr="00D92BE2">
        <w:tab/>
        <w:t xml:space="preserve">Член 3 от Регламент (ЕО) № 862/2007 обхваща статистическите данни за държавата на гражданство и мястото на раждане на пребиваващото население (брой на </w:t>
      </w:r>
      <w:proofErr w:type="spellStart"/>
      <w:r w:rsidRPr="00D92BE2">
        <w:t>мигрантите</w:t>
      </w:r>
      <w:proofErr w:type="spellEnd"/>
      <w:r w:rsidRPr="00D92BE2">
        <w:t xml:space="preserve"> към определени дати), за промените в местопребиваването между държавите (международни миграционни потоци) и за придобиването на гражданство от пребиваващото население, докато другите статистически данни съгласно този регламент се отнасят до административните и съдебните процедури, свързани с имиграционното законодателство и международната закрила. Поради това статистическите данни, посочени в член 3 от посочения регламент, са тясно свързани и следва да съответстват на статистическите данни за пребиваващото население и неговите демографски промени, предоставени съгласно регламенти (ЕО) № 763/2008 и (ЕС) № 1260/2013. Следователно, за да се осигури вътрешна съгласуваност, тези статистически данни следва да бъдат интегрирани в единно правно основание, като се заличи член 3 от Регламент (ЕО) № 862/2007.</w:t>
      </w:r>
    </w:p>
    <w:p w14:paraId="3FF324B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(13)</w:t>
      </w:r>
      <w:r w:rsidRPr="00D92BE2">
        <w:tab/>
        <w:t>Бързо променящото се естество на някои характеристики на населението и жилищния фонд, по-специално във връзка с демографските</w:t>
      </w:r>
      <w:r w:rsidRPr="00D92BE2">
        <w:rPr>
          <w:b/>
          <w:i/>
        </w:rPr>
        <w:t>, социално-икономическите</w:t>
      </w:r>
      <w:r w:rsidRPr="00D92BE2">
        <w:t xml:space="preserve"> и миграционните явления, и съответната необходимост от бързо насочване и адаптиране на политиките, означава, че е необходимо статистическите данни да бъдат налични своевременно скоро след референтния период. Поради това периодичността и актуалността на статистическите данни следва да бъдат осезаемо подобрени</w:t>
      </w:r>
      <w:r w:rsidRPr="00D92BE2">
        <w:rPr>
          <w:b/>
          <w:i/>
        </w:rPr>
        <w:t>, когато това е възможно чрез използването на административни данни и административни записи. За тази цел държавите членки следва да осигурят подходящи ресурси за своите национални статистически институти</w:t>
      </w:r>
      <w:r w:rsidRPr="00D92BE2">
        <w:t>.</w:t>
      </w:r>
    </w:p>
    <w:p w14:paraId="6DD3EB0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(14)</w:t>
      </w:r>
      <w:r w:rsidRPr="00D92BE2">
        <w:tab/>
        <w:t>С Регламент (ЕО) № 1059/2003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11"/>
      </w:r>
      <w:r w:rsidRPr="00D92BE2">
        <w:t xml:space="preserve"> се установява методология, основана на координатна мрежа, за определяне на териториални типологии въз основа на разпределението на населението по </w:t>
      </w:r>
      <w:r w:rsidRPr="00D92BE2">
        <w:lastRenderedPageBreak/>
        <w:t>клетки от 1 km</w:t>
      </w:r>
      <w:r w:rsidRPr="00D92BE2">
        <w:rPr>
          <w:vertAlign w:val="superscript"/>
        </w:rPr>
        <w:t xml:space="preserve">2 </w:t>
      </w:r>
      <w:r w:rsidRPr="00D92BE2">
        <w:t>. Регламент за изпълнение (ЕС) 2018/1799 на Комисията</w:t>
      </w:r>
      <w:r w:rsidRPr="00D92BE2">
        <w:rPr>
          <w:szCs w:val="24"/>
          <w:vertAlign w:val="superscript"/>
          <w:lang w:eastAsia="en-US"/>
        </w:rPr>
        <w:footnoteReference w:id="12"/>
      </w:r>
      <w:r w:rsidRPr="00D92BE2">
        <w:t xml:space="preserve"> като временно пряко статистическо действие, съпътстващо преброяването на населението и жилищния фонд през 2021 г., предоставя ключови резултати от преброяването в общоевропейска координатна мрежа от 1 km</w:t>
      </w:r>
      <w:r w:rsidRPr="00D92BE2">
        <w:rPr>
          <w:vertAlign w:val="superscript"/>
        </w:rPr>
        <w:t>2</w:t>
      </w:r>
      <w:r w:rsidRPr="00D92BE2">
        <w:t>. Правната рамка следва да гарантира непрекъснатото разпространение на географски обозначени статистически данни за населението, основани на координатни мрежи, и разширяването им до статистически данни за жилищния фонд.</w:t>
      </w:r>
    </w:p>
    <w:p w14:paraId="75ED2D8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(15)</w:t>
      </w:r>
      <w:r w:rsidRPr="00D92BE2">
        <w:tab/>
        <w:t>Териториалните единици и статистическите координатни мрежи следва да се определят в съответствие с Регламент (ЕО) № 1059/2003.</w:t>
      </w:r>
    </w:p>
    <w:p w14:paraId="26F7C1B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(16)</w:t>
      </w:r>
      <w:r w:rsidRPr="00D92BE2">
        <w:tab/>
        <w:t xml:space="preserve">По отношение на </w:t>
      </w:r>
      <w:proofErr w:type="spellStart"/>
      <w:r w:rsidRPr="00D92BE2">
        <w:t>геокодирането</w:t>
      </w:r>
      <w:proofErr w:type="spellEnd"/>
      <w:r w:rsidRPr="00D92BE2">
        <w:t xml:space="preserve"> на местоположение, следва да се използва координатна мрежа на тематично организираните статистически единици в съответствие с приложение III към Директива 2007/2/ЕО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13"/>
      </w:r>
      <w:r w:rsidRPr="00D92BE2">
        <w:t>.</w:t>
      </w:r>
    </w:p>
    <w:p w14:paraId="09CEB20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(17)</w:t>
      </w:r>
      <w:r w:rsidRPr="00D92BE2">
        <w:tab/>
        <w:t xml:space="preserve">Настоящата правна рамка за европейската статистика за населението и жилищния фонд трябва да бъде актуализирана, за да се гарантира, че понастоящем отделните статистически процеси са адекватно интегрирани в обща рамка, която позволява на ЕСС да отговаря ефективно на новите информационни нужди на Съюза и да насърчава статистическите иновации. Статистическите резултати трябва да се подобрят, за да останат значими в условията на демографски, миграционни, социални и икономически промени </w:t>
      </w:r>
      <w:r w:rsidRPr="00D92BE2">
        <w:rPr>
          <w:b/>
          <w:i/>
        </w:rPr>
        <w:t>и предизвикателства, като подпомагат създаването на политики и вземането на решения</w:t>
      </w:r>
      <w:r w:rsidRPr="00D92BE2">
        <w:t>.</w:t>
      </w:r>
    </w:p>
    <w:p w14:paraId="5991047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(18)</w:t>
      </w:r>
      <w:r w:rsidRPr="00D92BE2">
        <w:tab/>
        <w:t xml:space="preserve">Подобрената редовна (на годишна база и за периоди под една година) статистика за населението и жилищния фонд, основана на административни източници, следва да бъде допълнена с информация от координираните преброявания на населението и жилищния фонд в Съюза, които се провеждат </w:t>
      </w:r>
      <w:r w:rsidRPr="00D92BE2">
        <w:lastRenderedPageBreak/>
        <w:t>на всеки десет години в съответствие с принципите и препоръките на ООН. Също толкова важно е, че преброяванията на населението и жилищния фонд предоставят единствена по рода си възможност официалната статистика да бъде видима, както по отношение на операциите, така и по отношение на резултатите.</w:t>
      </w:r>
    </w:p>
    <w:p w14:paraId="2B6468F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(19)</w:t>
      </w:r>
      <w:r w:rsidRPr="00D92BE2">
        <w:tab/>
        <w:t>Преброяванията на населението в Съюза следва да станат по-рентабилни чрез пълноценно използване на богатия набор от административни данни, налични в държавите членки, или чрез комбинация от различни източници, включително източници, свързани с интернет на нещата и предоставянето на цифрови услуги</w:t>
      </w:r>
      <w:r w:rsidRPr="00D92BE2">
        <w:rPr>
          <w:b/>
          <w:i/>
        </w:rPr>
        <w:t>, въз основа на сключването на протоколи между националните статистически институти на държавите членки и доставчиците на данни от частни бази данни</w:t>
      </w:r>
      <w:r w:rsidRPr="00D92BE2">
        <w:t xml:space="preserve">. Те следва да </w:t>
      </w:r>
      <w:r w:rsidRPr="00D92BE2">
        <w:rPr>
          <w:b/>
          <w:i/>
        </w:rPr>
        <w:t>зачитат неприкосновеността на личните данни, като създадат необходимите гаранции за събирането на лични данни, за да се избегне всяка евентуална злоупотреба и да се гарантират основните права. Те следва да</w:t>
      </w:r>
      <w:r w:rsidRPr="00D92BE2">
        <w:t xml:space="preserve"> се използват и за повторно установяване на демографската основа и да включват изследвания на обхвата на източниците на административни данни.</w:t>
      </w:r>
    </w:p>
    <w:p w14:paraId="461AFC75" w14:textId="118792CC" w:rsidR="008E16FC" w:rsidRPr="00D92BE2" w:rsidRDefault="008E16FC" w:rsidP="00D27C68">
      <w:pPr>
        <w:spacing w:before="120" w:after="120" w:line="360" w:lineRule="auto"/>
        <w:ind w:left="850" w:hanging="850"/>
        <w:rPr>
          <w:szCs w:val="24"/>
        </w:rPr>
      </w:pPr>
      <w:r w:rsidRPr="00D92BE2">
        <w:t>(20)</w:t>
      </w:r>
      <w:r w:rsidRPr="00D92BE2">
        <w:tab/>
        <w:t xml:space="preserve">Държавите членки и Комисията (Евростат) следва да имат устойчив достъп до възможно най-широк набор от източници на данни, за да изготвят висококачествена и рентабилна европейска статистика за населението и жилищния фонд. Във връзка с това е изключително важно националните статистически органи да получават своевременен достъп и да </w:t>
      </w:r>
      <w:r w:rsidRPr="00D92BE2">
        <w:rPr>
          <w:b/>
          <w:i/>
        </w:rPr>
        <w:t>им бъде разрешено</w:t>
      </w:r>
      <w:r w:rsidRPr="00D92BE2">
        <w:t xml:space="preserve"> незабавно да използват административните данни, притежавани от публичните администрации на национално, регионално и местно ниво, в съответствие с член 17а от Регламент (ЕО) № 223/2009. Например статистиката за енергийната ефективност на сградите може да се основава на административни данни, свързани с издаването на енергийни сертификати на сгради съгласно Директива 2010/31/ЕС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14"/>
      </w:r>
      <w:r w:rsidRPr="00D92BE2">
        <w:t xml:space="preserve">. </w:t>
      </w:r>
      <w:r w:rsidRPr="00D92BE2">
        <w:rPr>
          <w:b/>
          <w:i/>
        </w:rPr>
        <w:t xml:space="preserve">Националните статистически органи следва да могат редовно и своевременно да използват повторно и пълноценно административните </w:t>
      </w:r>
      <w:r w:rsidRPr="00D92BE2">
        <w:rPr>
          <w:b/>
          <w:i/>
        </w:rPr>
        <w:lastRenderedPageBreak/>
        <w:t xml:space="preserve">данни от оперативно съвместимите бази данни за енергийните характеристики на сградите, които са на разположение на национално равнище в съответствие с Директива </w:t>
      </w:r>
      <w:r w:rsidR="002515AE" w:rsidRPr="00724CFC">
        <w:rPr>
          <w:b/>
          <w:i/>
        </w:rPr>
        <w:t>(</w:t>
      </w:r>
      <w:r w:rsidR="002515AE">
        <w:rPr>
          <w:b/>
          <w:i/>
        </w:rPr>
        <w:t xml:space="preserve">ЕС) </w:t>
      </w:r>
      <w:r w:rsidR="00D27C68" w:rsidRPr="00724CFC">
        <w:rPr>
          <w:b/>
          <w:i/>
        </w:rPr>
        <w:t>2024/1275</w:t>
      </w:r>
      <w:r w:rsidRPr="00D92BE2">
        <w:rPr>
          <w:b/>
          <w:i/>
        </w:rPr>
        <w:t xml:space="preserve"> на Европейския парламент и на Съвета</w:t>
      </w:r>
      <w:r w:rsidRPr="00D92BE2">
        <w:rPr>
          <w:b/>
          <w:i/>
          <w:szCs w:val="24"/>
          <w:vertAlign w:val="superscript"/>
          <w:lang w:eastAsia="en-US"/>
        </w:rPr>
        <w:footnoteReference w:id="15"/>
      </w:r>
      <w:r w:rsidRPr="00D92BE2">
        <w:rPr>
          <w:b/>
          <w:i/>
        </w:rPr>
        <w:t xml:space="preserve">. </w:t>
      </w:r>
      <w:r w:rsidRPr="00D92BE2">
        <w:t xml:space="preserve">Националните статистически </w:t>
      </w:r>
      <w:r w:rsidRPr="00D92BE2">
        <w:rPr>
          <w:b/>
          <w:i/>
        </w:rPr>
        <w:t>органи</w:t>
      </w:r>
      <w:r w:rsidRPr="00D92BE2">
        <w:t xml:space="preserve"> също така трябва да участват във вземането на решения относно проектирането и преработването на съответните източници на административни данни, за да се гарантира, че те могат да бъдат допълнително използвани за съставяне на официална статистика.</w:t>
      </w:r>
    </w:p>
    <w:p w14:paraId="1453E79A" w14:textId="6B80E1BA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(21)</w:t>
      </w:r>
      <w:r w:rsidRPr="00D92BE2">
        <w:tab/>
        <w:t>През последните години бяха разработени всеобхватни бази данни и системи за оперативна съвместимост на равнището на Съюза, свързани с пребиваването, основните демографски събития, гражданството и миграционните и презграничните движения на населението, като например тези, създадени с регламенти (ЕС) </w:t>
      </w:r>
      <w:r w:rsidR="00595216">
        <w:t>№ </w:t>
      </w:r>
      <w:r w:rsidRPr="00D92BE2">
        <w:t>910/2014</w:t>
      </w:r>
      <w:r w:rsidRPr="00D92BE2">
        <w:rPr>
          <w:szCs w:val="24"/>
          <w:vertAlign w:val="superscript"/>
          <w:lang w:eastAsia="en-US"/>
        </w:rPr>
        <w:footnoteReference w:id="16"/>
      </w:r>
      <w:r w:rsidRPr="00D92BE2">
        <w:t>, (ЕС) 2018/1724</w:t>
      </w:r>
      <w:r w:rsidRPr="00D92BE2">
        <w:rPr>
          <w:szCs w:val="24"/>
          <w:vertAlign w:val="superscript"/>
          <w:lang w:eastAsia="en-US"/>
        </w:rPr>
        <w:footnoteReference w:id="17"/>
      </w:r>
      <w:r w:rsidRPr="00D92BE2">
        <w:t>, (ЕС) 2019/817</w:t>
      </w:r>
      <w:r w:rsidRPr="00D92BE2">
        <w:rPr>
          <w:szCs w:val="24"/>
          <w:vertAlign w:val="superscript"/>
          <w:lang w:eastAsia="en-US"/>
        </w:rPr>
        <w:footnoteReference w:id="18"/>
      </w:r>
      <w:r w:rsidRPr="00D92BE2">
        <w:t xml:space="preserve"> и (ЕС) 2019/818</w:t>
      </w:r>
      <w:r w:rsidRPr="00D92BE2">
        <w:rPr>
          <w:szCs w:val="24"/>
          <w:vertAlign w:val="superscript"/>
          <w:lang w:eastAsia="en-US"/>
        </w:rPr>
        <w:footnoteReference w:id="19"/>
      </w:r>
      <w:r w:rsidRPr="00D92BE2">
        <w:t xml:space="preserve"> на Европейския парламент и на Съвета. Те предоставят ценна информация, която може да бъде използвана повторно за съставяне и гарантиране на качеството на европейската статистика за населението и </w:t>
      </w:r>
      <w:r w:rsidRPr="00D92BE2">
        <w:lastRenderedPageBreak/>
        <w:t>жилищния фонд.</w:t>
      </w:r>
    </w:p>
    <w:p w14:paraId="71E8C34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(22)</w:t>
      </w:r>
      <w:r w:rsidRPr="00D92BE2">
        <w:tab/>
        <w:t>Във връзка с това е важно да се даде възможност на Комисията (Евростат) да използва повторно тези данни само за статистически цели при стриктно прилагане на правилата за защита на данните и неприкосновеността на личния живот съгласно Регламент (ЕС) 2018/1725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20"/>
      </w:r>
      <w:r w:rsidRPr="00D92BE2">
        <w:t xml:space="preserve">. Това следва да се прилага по-специално за статистическите данни, съхранявани в централното хранилище за докладване и статистика (ЦХДС), в съответствие с целта на ЦХДС, посочена в член 39, параграф 1 от Регламент (ЕС) 2019/817, както и в член 39, параграф 1 от Регламент (ЕС) 2019/818, и в съответствие с регламентите за създаване на системите, чиито статистически данни се съхраняват в ЦХДС. По-специално, като се има предвид, че ЦХДС трябва да предоставя </w:t>
      </w:r>
      <w:proofErr w:type="spellStart"/>
      <w:r w:rsidRPr="00D92BE2">
        <w:t>междусистемни</w:t>
      </w:r>
      <w:proofErr w:type="spellEnd"/>
      <w:r w:rsidRPr="00D92BE2">
        <w:t xml:space="preserve"> статистически данни и аналитични доклади за цели на политиката, за оперативни цели и за цели, свързани с качеството на данните, Комисията (Евростат) следва да си сътрудничи с Агенцията на Европейския съюз за оперативното управление на широкомащабни информационни системи в пространството на свобода, сигурност и правосъдие (</w:t>
      </w:r>
      <w:proofErr w:type="spellStart"/>
      <w:r w:rsidRPr="00D92BE2">
        <w:t>eu</w:t>
      </w:r>
      <w:proofErr w:type="spellEnd"/>
      <w:r w:rsidRPr="00D92BE2">
        <w:t>-LISA), доколкото това е възможно, с оглед на предоставянето на необходимата европейска статистика.</w:t>
      </w:r>
    </w:p>
    <w:p w14:paraId="09986DD0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(23)</w:t>
      </w:r>
      <w:r w:rsidRPr="00D92BE2">
        <w:tab/>
        <w:t xml:space="preserve">Частните данни </w:t>
      </w:r>
      <w:r w:rsidRPr="00D92BE2">
        <w:rPr>
          <w:b/>
          <w:i/>
        </w:rPr>
        <w:t>се отнасят до огромното количество данни, държани от частни субекти, получени в резултат на тяхната дейност, които биха могли да се използват от статистическите органи и Комисията (Евростат) за изготвяне на официална статистика. Такива данни</w:t>
      </w:r>
      <w:r w:rsidRPr="00D92BE2">
        <w:t xml:space="preserve"> могат да подобрят обхвата, актуалността и капацитета за реакция при кризи в областта на европейската статистика за населението и жилищния фонд или да дадат възможност за статистически иновации. Такива данни могат да допълнят съществуващата демографска и миграционна статистика, да допринесат за статистически иновации и дори да послужат за изготвяне на ранни оценки</w:t>
      </w:r>
      <w:r w:rsidRPr="00D92BE2">
        <w:rPr>
          <w:b/>
          <w:i/>
        </w:rPr>
        <w:t xml:space="preserve">, </w:t>
      </w:r>
      <w:r w:rsidRPr="00D92BE2">
        <w:rPr>
          <w:b/>
          <w:i/>
        </w:rPr>
        <w:lastRenderedPageBreak/>
        <w:t>като същевременно се гарантира защитата на правата и свободите на държателите на данни</w:t>
      </w:r>
      <w:r w:rsidRPr="00D92BE2">
        <w:t>. Националните статистически институти и други компетентни национални органи, както и Комисията (Евростат) следва да имат достъп до тези данни и да ги използват</w:t>
      </w:r>
      <w:r w:rsidRPr="00D92BE2">
        <w:rPr>
          <w:b/>
          <w:i/>
        </w:rPr>
        <w:t>, както и да си сътрудничат с частните държатели на данни в съответствие с Регламент (ЕО) № 223/2009</w:t>
      </w:r>
      <w:r w:rsidRPr="00D92BE2">
        <w:t>.</w:t>
      </w:r>
    </w:p>
    <w:p w14:paraId="37B97125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(24)</w:t>
      </w:r>
      <w:r w:rsidRPr="00D92BE2">
        <w:tab/>
        <w:t xml:space="preserve">За да се гарантира съпоставимостта на европейската статистика за населението и жилищния фонд на равнището на Съюза, е от основно значение да се използват общи определения за населението и те да се прилагат по хармонизиран начин. С цел последователно, надеждно и рентабилно прилагане на единната хармонизирана демографска основа, като същевременно се гарантират актуални резултати, следва да е възможно да се прилагат </w:t>
      </w:r>
      <w:r w:rsidRPr="00D92BE2">
        <w:rPr>
          <w:b/>
          <w:i/>
        </w:rPr>
        <w:t>научно обосновани техники за моделиране и статистически методи</w:t>
      </w:r>
      <w:r w:rsidRPr="00D92BE2">
        <w:t>, като например „признаци за присъствие“</w:t>
      </w:r>
      <w:r w:rsidRPr="00D92BE2">
        <w:rPr>
          <w:b/>
          <w:i/>
        </w:rPr>
        <w:t>, когато е целесъобразно</w:t>
      </w:r>
      <w:r w:rsidRPr="00D92BE2">
        <w:t>.</w:t>
      </w:r>
    </w:p>
    <w:p w14:paraId="6036753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(25)</w:t>
      </w:r>
      <w:r w:rsidRPr="00D92BE2">
        <w:tab/>
        <w:t>Държавите членки следва да предоставят своите данни и метаданни в електронна форма и в подходящ технически формат, който трябва да бъде осигурен от Комисията (Евростат). Международните стандарти, като например инициативата за обмен на статистически данни и метаданни (</w:t>
      </w:r>
      <w:proofErr w:type="spellStart"/>
      <w:r w:rsidRPr="00D92BE2">
        <w:t>Statistical</w:t>
      </w:r>
      <w:proofErr w:type="spellEnd"/>
      <w:r w:rsidRPr="00D92BE2">
        <w:t xml:space="preserve"> Data </w:t>
      </w:r>
      <w:proofErr w:type="spellStart"/>
      <w:r w:rsidRPr="00D92BE2">
        <w:t>and</w:t>
      </w:r>
      <w:proofErr w:type="spellEnd"/>
      <w:r w:rsidRPr="00D92BE2">
        <w:t xml:space="preserve"> </w:t>
      </w:r>
      <w:proofErr w:type="spellStart"/>
      <w:r w:rsidRPr="00D92BE2">
        <w:t>Metadata</w:t>
      </w:r>
      <w:proofErr w:type="spellEnd"/>
      <w:r w:rsidRPr="00D92BE2">
        <w:t xml:space="preserve"> Exchange), и статистическите или техническите стандарти, разработени в рамките на Съюза, като например стандартите за метаданни и валидиране или принципите на Европейската рамка за оперативна съвместимост, следва да се използват в степента, в която са подходящи за европейската статистика за населението и жилищния фонд. Комитетът на ЕСС прие стандартите на ЕСС за метаданните и структурата на докладите за качеството в съответствие с член 12 от Регламент (ЕО) № 223/2009. Тези стандарти следва да допринесат за хармонизирането на осигуряването на качеството и докладването съгласно настоящия регламент и поради това следва да бъдат въведени.</w:t>
      </w:r>
    </w:p>
    <w:p w14:paraId="243B20C9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(26)</w:t>
      </w:r>
      <w:r w:rsidRPr="00D92BE2">
        <w:tab/>
        <w:t xml:space="preserve">Европейската статистика за населението и жилищния фонд следва да отговаря на критериите за качество, а именно: относимост, точност, актуалност и навременност, достъпност и яснота, съпоставимост и съгласуваност, посочени в Регламент (ЕО) № 223/2009. Качеството на тези статистически данни следва да се повишава в зависимост от нуждите на Съюза </w:t>
      </w:r>
      <w:r w:rsidRPr="00D92BE2">
        <w:rPr>
          <w:b/>
          <w:i/>
        </w:rPr>
        <w:t xml:space="preserve">и следва да се създадат </w:t>
      </w:r>
      <w:r w:rsidRPr="00D92BE2">
        <w:rPr>
          <w:b/>
          <w:i/>
        </w:rPr>
        <w:lastRenderedPageBreak/>
        <w:t>механизми за справяне с евентуални ситуации, при които качеството на данните не е гарантирано</w:t>
      </w:r>
      <w:r w:rsidRPr="00D92BE2">
        <w:t xml:space="preserve">. Съответните резултати от оценката на качеството, извършена от Комисията (Евростат), следва да бъдат публично достъпни за ползвателите на статистиката </w:t>
      </w:r>
      <w:r w:rsidRPr="00D92BE2">
        <w:rPr>
          <w:b/>
          <w:i/>
        </w:rPr>
        <w:t>чрез осигуряването на свободен и лесен достъп до тези статистически данни</w:t>
      </w:r>
      <w:r w:rsidRPr="00D92BE2">
        <w:t xml:space="preserve"> чрез базите данни на Комисията (Евростат) на нейния уебсайт и в нейните публикации.</w:t>
      </w:r>
    </w:p>
    <w:p w14:paraId="0B659125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(26a)</w:t>
      </w:r>
      <w:r w:rsidRPr="00D92BE2">
        <w:tab/>
      </w:r>
      <w:r w:rsidRPr="00D92BE2">
        <w:rPr>
          <w:b/>
          <w:i/>
        </w:rPr>
        <w:t xml:space="preserve">Европейската статистика за населението и жилищния фонд следва да преодолее трайната липса на данни относно уязвимите групи, а именно труднодостъпните групи от населението, като например лица, пребиваващи в институции (например военни институции, поправителни домове и наказателни институции, общежития към училища и университети, религиозни институции, болници, центрове за </w:t>
      </w:r>
      <w:proofErr w:type="spellStart"/>
      <w:r w:rsidRPr="00D92BE2">
        <w:rPr>
          <w:b/>
          <w:i/>
        </w:rPr>
        <w:t>резидентна</w:t>
      </w:r>
      <w:proofErr w:type="spellEnd"/>
      <w:r w:rsidRPr="00D92BE2">
        <w:rPr>
          <w:b/>
          <w:i/>
        </w:rPr>
        <w:t xml:space="preserve"> грижа, институции за лица с увреждания и сиропиталища), лица на възраст над 75 години, лица с увреждания, бездомни хора, лица с </w:t>
      </w:r>
      <w:proofErr w:type="spellStart"/>
      <w:r w:rsidRPr="00D92BE2">
        <w:rPr>
          <w:b/>
          <w:i/>
        </w:rPr>
        <w:t>мигрантски</w:t>
      </w:r>
      <w:proofErr w:type="spellEnd"/>
      <w:r w:rsidRPr="00D92BE2">
        <w:rPr>
          <w:b/>
          <w:i/>
        </w:rPr>
        <w:t xml:space="preserve"> произход и лица без гражданство. С цел да се преодолее това разделение на данните и да се предотвратят социалните и икономическите неравенства, произтичащи от него, държавите членки следва да разработят стратегии и целенасочени решения за събирането на данни относно труднодостъпните групи от населението, по-специално с оглед на установяването на местонахождението, осъществяването на контакт, убеждаването и интервюирането на тези групи от населението. </w:t>
      </w:r>
    </w:p>
    <w:p w14:paraId="527DEEEA" w14:textId="48AC65BA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(26</w:t>
      </w:r>
      <w:r w:rsidR="00595216">
        <w:rPr>
          <w:b/>
          <w:i/>
        </w:rPr>
        <w:t>б</w:t>
      </w:r>
      <w:r w:rsidRPr="00D92BE2">
        <w:rPr>
          <w:b/>
          <w:i/>
        </w:rPr>
        <w:t>)</w:t>
      </w:r>
      <w:r w:rsidRPr="00D92BE2">
        <w:tab/>
      </w:r>
      <w:r w:rsidRPr="00D92BE2">
        <w:rPr>
          <w:b/>
          <w:i/>
        </w:rPr>
        <w:t xml:space="preserve">Адекватните, навременни и ефективни политики предполагат надеждни и съпоставими данни, </w:t>
      </w:r>
      <w:proofErr w:type="spellStart"/>
      <w:r w:rsidRPr="00D92BE2">
        <w:rPr>
          <w:b/>
          <w:i/>
        </w:rPr>
        <w:t>дезагрегирани</w:t>
      </w:r>
      <w:proofErr w:type="spellEnd"/>
      <w:r w:rsidRPr="00D92BE2">
        <w:rPr>
          <w:b/>
          <w:i/>
        </w:rPr>
        <w:t xml:space="preserve"> по пол, възраст и, когато е уместно, националност, социално-икономически статус, географски район и други характеристики в съответствие със статистическите принципи, установени в член 338, параграф 1 от ДФЕС и в Кодекса на европейската статистическа практика и Рамката за осигуряване на качеството на ЕСС. Тези данни са важни за по-доброто разбиране на тенденциите по отношение на населението и жилищния фонд, за борба с комбинираната дискриминация и за изпълнението и оценката на политиките, политическите цели и действията на Съюза, като например принципите на Европейския стълб на социалните права, Европейската гаранция за децата, европейската стратегия за грижите, Европейската стратегия за </w:t>
      </w:r>
      <w:r w:rsidRPr="00D92BE2">
        <w:rPr>
          <w:b/>
          <w:i/>
        </w:rPr>
        <w:lastRenderedPageBreak/>
        <w:t xml:space="preserve">правата на хората с увреждания и европейската платформа за борба с бездомничеството, тъй като всички те разчитат в голяма степен на данните относно домакинствата и семействата. </w:t>
      </w:r>
      <w:proofErr w:type="spellStart"/>
      <w:r w:rsidRPr="00D92BE2">
        <w:rPr>
          <w:b/>
          <w:i/>
        </w:rPr>
        <w:t>Дезагрегирането</w:t>
      </w:r>
      <w:proofErr w:type="spellEnd"/>
      <w:r w:rsidRPr="00D92BE2">
        <w:rPr>
          <w:b/>
          <w:i/>
        </w:rPr>
        <w:t xml:space="preserve"> на статистическите данни по увреждания следва да се насърчава чрез използване на съществуващи и нови административни източници на данни, които следва да служат за проучване на възможността за обхващане на уврежданията. Събирането и използването на такива данни трябва да се извършва при пълно зачитане на стандартите на Съюза и на националните стандарти за неприкосновеност на личния живот и за основните права, особено когато става въпрос за данни на ненавършили пълнолетие лица. </w:t>
      </w:r>
      <w:proofErr w:type="spellStart"/>
      <w:r w:rsidRPr="00D92BE2">
        <w:rPr>
          <w:b/>
          <w:i/>
        </w:rPr>
        <w:t>Дезагрегирането</w:t>
      </w:r>
      <w:proofErr w:type="spellEnd"/>
      <w:r w:rsidRPr="00D92BE2">
        <w:rPr>
          <w:b/>
          <w:i/>
        </w:rPr>
        <w:t xml:space="preserve"> по пол следва да отразява наличните данни в държавите членки. В някои държави членки понастоящем е възможно лицата да се регистрират законно като лица с трети — в много случаи неутрален — пол. Настоящият регламент не засяга съответните национални правила, които привеждат в действие такава регистрация.</w:t>
      </w:r>
    </w:p>
    <w:p w14:paraId="444362D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(27)</w:t>
      </w:r>
      <w:r w:rsidRPr="00D92BE2">
        <w:tab/>
        <w:t>Регламент (ЕО) № 223/2009 съдържа правила за предоставянето на данни от държавите членки на Комисията (Евростат) и тяхното използване, включително за предаването и защитата на поверителни данни. Мерките, предприети в съответствие с настоящия регламент, следва да гарантират, че поверителните данни се предоставят и се използват изключително за статистически цели в съответствие с членове 21 и 22 от същия регламент.</w:t>
      </w:r>
    </w:p>
    <w:p w14:paraId="6834D30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(28)</w:t>
      </w:r>
      <w:r w:rsidRPr="00D92BE2">
        <w:tab/>
        <w:t>Комисията (Евростат) трябва да спазва статистическата поверителност на данните, предоставени от държавите членки съгласно Регламент (ЕО) № 223/2009. По отношение на статистическите данни за населението, събирани съгласно този регламент, следва да се разработи хармонизиран подход за осигуряване на високо качество на европейските агрегати и избягване на оповестяването на поверителни данни в статистическите резултати, като не се допуска, доколкото е възможно, премахването на данни.</w:t>
      </w:r>
    </w:p>
    <w:p w14:paraId="4D8FF74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(29)</w:t>
      </w:r>
      <w:r w:rsidRPr="00D92BE2">
        <w:tab/>
        <w:t xml:space="preserve">Наличните на национално ниво източници на данни невинаги са в състояние да обхванат точно явленията, свързани със свободното движение на хора в Съюза, достъпа на лицата до трансгранични услуги, свързани с основни демографски събития, и упражняването на правата на лицата да купуват и притежават жилищни имоти, използвани като основно, ваканционно и второ жилище в </w:t>
      </w:r>
      <w:r w:rsidRPr="00D92BE2">
        <w:lastRenderedPageBreak/>
        <w:t xml:space="preserve">целия Съюз. Съществуват също така </w:t>
      </w:r>
      <w:r w:rsidRPr="00D92BE2">
        <w:rPr>
          <w:b/>
          <w:i/>
        </w:rPr>
        <w:t>несъответствия</w:t>
      </w:r>
      <w:r w:rsidRPr="00D92BE2">
        <w:t xml:space="preserve"> в двустранните миграционни потоци и трудности при измерването на групи от населението, например тези на </w:t>
      </w:r>
      <w:proofErr w:type="spellStart"/>
      <w:r w:rsidRPr="00D92BE2">
        <w:t>мигрантите</w:t>
      </w:r>
      <w:proofErr w:type="spellEnd"/>
      <w:r w:rsidRPr="00D92BE2">
        <w:t xml:space="preserve">, бездомните хора или хората без гражданство. Ето защо споделянето на данни за целите на съставянето на статистически данни за населението и миграцията и осигуряването на тяхното качество следва да се засилят и да се разглеждат като още един източник на данни. Подобно засилено споделяне на данни може да обхване широк спектър от относими данни — от данни, които очевидно не позволяват пряко или непряко идентифициране на статистически единици, до данни, които потенциално подлежат на изискванията за статистическа поверителност. Държавите членки следва, в свой собствен интерес и в интерес на другите държави членки, да участват в дейности по споделяне на данни, включително в пилотни проекти за оценка на иновативни сигурни решения. Комисията (Евростат) следва също така да създаде сигурна инфраструктура за улесняване на това споделяне на данни, като осигури всички необходими гаранции </w:t>
      </w:r>
      <w:r w:rsidRPr="00D92BE2">
        <w:rPr>
          <w:b/>
          <w:i/>
        </w:rPr>
        <w:t>за защита на данните</w:t>
      </w:r>
      <w:r w:rsidRPr="00D92BE2">
        <w:t>.</w:t>
      </w:r>
    </w:p>
    <w:p w14:paraId="270F1D51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▌</w:t>
      </w:r>
    </w:p>
    <w:p w14:paraId="09E465D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(31)</w:t>
      </w:r>
      <w:r w:rsidRPr="00D92BE2">
        <w:tab/>
        <w:t>Споделянето на поверителни данни следва да се извършва само въз основа на искане, което обосновава необходимостта от споделяне на данните в съответствие с глава V от Регламент (ЕО) № 223/2009.</w:t>
      </w:r>
    </w:p>
    <w:p w14:paraId="1A230860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(32)</w:t>
      </w:r>
      <w:r w:rsidRPr="00D92BE2">
        <w:tab/>
        <w:t xml:space="preserve">В по-дългосрочен план съвместните усилия в рамките на ЕСС за намаляване на трансграничните проблеми с качеството на статистиката, като например двойното отчитане на пребиваващи лица на Съюза, ползващи се от свободата на движение, следва да се възползват </w:t>
      </w:r>
      <w:r w:rsidRPr="00D92BE2">
        <w:rPr>
          <w:b/>
          <w:i/>
        </w:rPr>
        <w:t>например</w:t>
      </w:r>
      <w:r w:rsidRPr="00D92BE2">
        <w:t xml:space="preserve"> от единните цифрови идентификатори, установени на равнището на Съюза с Регламент (ЕС) № 910/2014.</w:t>
      </w:r>
    </w:p>
    <w:p w14:paraId="4D05119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(33)</w:t>
      </w:r>
      <w:r w:rsidRPr="00D92BE2">
        <w:tab/>
        <w:t>Настоящият регламент не засяга действието на регламенти (ЕС) 2016/679</w:t>
      </w:r>
      <w:r w:rsidRPr="00D92BE2">
        <w:rPr>
          <w:szCs w:val="24"/>
          <w:vertAlign w:val="superscript"/>
          <w:lang w:eastAsia="en-US"/>
        </w:rPr>
        <w:footnoteReference w:id="21"/>
      </w:r>
      <w:r w:rsidRPr="00D92BE2">
        <w:t xml:space="preserve"> и </w:t>
      </w:r>
      <w:r w:rsidRPr="00D92BE2">
        <w:lastRenderedPageBreak/>
        <w:t>(ЕС) 2018/1725 и Директива 2002/58/ЕО</w:t>
      </w:r>
      <w:r w:rsidRPr="00D92BE2">
        <w:rPr>
          <w:szCs w:val="24"/>
          <w:vertAlign w:val="superscript"/>
          <w:lang w:eastAsia="en-US"/>
        </w:rPr>
        <w:footnoteReference w:id="22"/>
      </w:r>
      <w:r w:rsidRPr="00D92BE2">
        <w:t xml:space="preserve"> на Европейския парламент и на Съвета. В рамките на съответното им приложно поле последните регламенти се прилагат към обработването на лични данни съгласно настоящия регламент</w:t>
      </w:r>
      <w:r w:rsidRPr="00D92BE2">
        <w:rPr>
          <w:b/>
          <w:i/>
        </w:rPr>
        <w:t xml:space="preserve">, като се има предвид също така, че личните данни, обработвани за статистически цели в обществен интерес, са поверителни статистически данни, за които се прилага принципът на статистическата поверителност. Поради това тези данни следва да се използват само за статистически цели и никога да не се използват за предприемане на мерки или вземане на решения по отношение на конкретно физическо лице. За обработването, споделянето и архивирането на лични данни за статистически цели съгласно настоящия регламент следва за предпочитане да се използват </w:t>
      </w:r>
      <w:proofErr w:type="spellStart"/>
      <w:r w:rsidRPr="00D92BE2">
        <w:rPr>
          <w:b/>
          <w:i/>
        </w:rPr>
        <w:t>анонимизирани</w:t>
      </w:r>
      <w:proofErr w:type="spellEnd"/>
      <w:r w:rsidRPr="00D92BE2">
        <w:rPr>
          <w:b/>
          <w:i/>
        </w:rPr>
        <w:t xml:space="preserve"> или </w:t>
      </w:r>
      <w:proofErr w:type="spellStart"/>
      <w:r w:rsidRPr="00D92BE2">
        <w:rPr>
          <w:b/>
          <w:i/>
        </w:rPr>
        <w:t>псевдонимизирани</w:t>
      </w:r>
      <w:proofErr w:type="spellEnd"/>
      <w:r w:rsidRPr="00D92BE2">
        <w:rPr>
          <w:b/>
          <w:i/>
        </w:rPr>
        <w:t xml:space="preserve"> данни, за да се гарантират гаранциите, приети съгласно член 89 от Регламент (ЕС) 2016/679 и член 13 от Регламент (ЕС) 2018/1725. Когато личните данни се обработват в съответствие с Регламент (ЕС) 2016/679 или Регламент (ЕС) 2018/1725, следва да се прилагат изцяло принципите на законосъобразност, справедливост, прозрачност и точност, ограничение на целите, свеждане на данните до минимум, ограничение на съхранението, цялостност и поверителност. По същия начин следва да се прилагат и статистическите принципи, изложени в член 2 от Регламент (ЕО) № 223/2009 и доразвити в Кодекса на европейската статистическа практика</w:t>
      </w:r>
      <w:r w:rsidRPr="00D92BE2">
        <w:t>.</w:t>
      </w:r>
    </w:p>
    <w:p w14:paraId="56815321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(34)</w:t>
      </w:r>
      <w:r w:rsidRPr="00D92BE2">
        <w:tab/>
        <w:t xml:space="preserve">Европейската статистика за населението и жилищния фонд следва да се развива, за да се отчитат възникващите нужди от данни, произтичащи от променящите се политически приоритети, както и от промените в демографското, миграционното, социалното и икономическото положение в Съюза. Комисията (Евростат) следва да предприеме пилотни проучвания и проучвания за осъществимост за оценка на осъществимостта на съответните адаптации по целесъобразност и следва да вземе предвид аспекти като </w:t>
      </w:r>
      <w:r w:rsidRPr="00D92BE2">
        <w:lastRenderedPageBreak/>
        <w:t>разходите и административната тежест за държавите членки и наличието на подходящи източници на данни.</w:t>
      </w:r>
      <w:r w:rsidRPr="00D92BE2">
        <w:rPr>
          <w:b/>
          <w:i/>
        </w:rPr>
        <w:t xml:space="preserve"> При изготвянето на тези проучвания Комисията следва да гарантира представителността на проучванията на равнището на Съюза, като се отразяват националните различия. Комисията следва да оцени резултатите от проучванията в сътрудничество с държавите членки.</w:t>
      </w:r>
    </w:p>
    <w:p w14:paraId="3A5F0170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(35)</w:t>
      </w:r>
      <w:r w:rsidRPr="00D92BE2">
        <w:tab/>
        <w:t>За да се вземат предвид демографските, икономическите и социалните тенденции</w:t>
      </w:r>
      <w:r w:rsidRPr="00D92BE2">
        <w:rPr>
          <w:b/>
          <w:i/>
        </w:rPr>
        <w:t>, технологичното развитие и необходимостта от своевременно разработване на добре насочени политики</w:t>
      </w:r>
      <w:r w:rsidRPr="00D92BE2">
        <w:t>, на Комисията следва да бъде предоставено правомощието да приема актове в съответствие с член 290 от ДФЕС с цел изменение на списъка, описанието, периодичността и референтните моменти на подробните теми, обхванати от европейската статистика за населението и жилищния фонд; да актуализира периодичността и референтните моменти в приложението към настоящия регламент и да уточнява допълнителната информация, която трябва да предоставят държавите членки. От особена важност е по време на подготвителната си работа Комисията да проведе подходящи консултации, включително на експертно равнище, и тези консултации да бъдат проведени в съответствие с принципите, заложени в Междуинституционалното споразумение от 13 април 2016 г. за по-добро законотворчество</w:t>
      </w:r>
      <w:r w:rsidRPr="00D92BE2">
        <w:rPr>
          <w:szCs w:val="24"/>
          <w:vertAlign w:val="superscript"/>
          <w:lang w:eastAsia="en-US"/>
        </w:rPr>
        <w:footnoteReference w:id="23"/>
      </w:r>
      <w:r w:rsidRPr="00D92BE2">
        <w:t>. По-специално, с цел осигуряване на равно участие при подготовката на делегираните актове, Европейският парламент и Съветът получават всички документи едновременно с експертите от държавите членки, като техните експерти получават систематично достъп до заседанията на експертните групи на Комисията, занимаващи се с подготовката на делегираните актове.</w:t>
      </w:r>
    </w:p>
    <w:p w14:paraId="69C70777" w14:textId="378EB5B2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(35a)</w:t>
      </w:r>
      <w:r w:rsidRPr="00D92BE2">
        <w:tab/>
      </w:r>
      <w:r w:rsidRPr="00D92BE2">
        <w:rPr>
          <w:b/>
          <w:i/>
        </w:rPr>
        <w:t xml:space="preserve">Значението на европейската статистика като съществена част от основаното на факти вземане на решения е отразено в рамката за програмиране и финансиране, установена с Регламент (ЕС) 2021/690 на </w:t>
      </w:r>
      <w:r w:rsidRPr="00D92BE2">
        <w:rPr>
          <w:b/>
          <w:i/>
        </w:rPr>
        <w:lastRenderedPageBreak/>
        <w:t>Европейския парламент и на Съвета</w:t>
      </w:r>
      <w:r w:rsidRPr="00D92BE2">
        <w:rPr>
          <w:b/>
          <w:i/>
          <w:szCs w:val="24"/>
          <w:vertAlign w:val="superscript"/>
          <w:lang w:eastAsia="en-US"/>
        </w:rPr>
        <w:footnoteReference w:id="24"/>
      </w:r>
      <w:r w:rsidRPr="00D92BE2">
        <w:rPr>
          <w:b/>
          <w:i/>
        </w:rPr>
        <w:t xml:space="preserve"> разработването, изготвянето и разпространението на европейска статистика (програма „Единен пазар“). Държавите членки следва да могат да кандидатстват за финансова подкрепа по програма „Единен пазар“, както и по линия на Инструмента за техническа подкрепа, създаден с Регламент (ЕС) 2021/240 на Европейския парламент и на Съвета</w:t>
      </w:r>
      <w:r w:rsidRPr="00D92BE2">
        <w:rPr>
          <w:b/>
          <w:i/>
          <w:szCs w:val="24"/>
          <w:vertAlign w:val="superscript"/>
          <w:lang w:eastAsia="en-US"/>
        </w:rPr>
        <w:footnoteReference w:id="25"/>
      </w:r>
      <w:r w:rsidRPr="00D92BE2">
        <w:rPr>
          <w:b/>
          <w:i/>
        </w:rPr>
        <w:t>, в съответствие с целите и правилата на тези инструменти, за адаптиране на националните си статистически системи, подобряване на методологията и качеството на статистическите данни, както и за планиране и осъществяване на ad hoc събиране на данни съгласно настоящия регламент.</w:t>
      </w:r>
    </w:p>
    <w:p w14:paraId="1376620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(36)</w:t>
      </w:r>
      <w:r w:rsidRPr="00D92BE2">
        <w:tab/>
        <w:t>В съответствие с регламенти (ЕС, Евратом) 2018/1046</w:t>
      </w:r>
      <w:r w:rsidRPr="00D92BE2">
        <w:rPr>
          <w:szCs w:val="24"/>
          <w:vertAlign w:val="superscript"/>
          <w:lang w:eastAsia="en-US"/>
        </w:rPr>
        <w:footnoteReference w:id="26"/>
      </w:r>
      <w:r w:rsidRPr="00D92BE2">
        <w:t xml:space="preserve"> и (ЕС, Евратом) № 883/2013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27"/>
      </w:r>
      <w:r w:rsidRPr="00D92BE2">
        <w:t xml:space="preserve">, и с регламенти (ЕО, </w:t>
      </w:r>
      <w:r w:rsidRPr="00D92BE2">
        <w:lastRenderedPageBreak/>
        <w:t>Евратом) № 2988/95</w:t>
      </w:r>
      <w:r w:rsidRPr="00D92BE2">
        <w:rPr>
          <w:szCs w:val="24"/>
          <w:vertAlign w:val="superscript"/>
          <w:lang w:eastAsia="en-US"/>
        </w:rPr>
        <w:footnoteReference w:id="28"/>
      </w:r>
      <w:r w:rsidRPr="00D92BE2">
        <w:t>, (Евратом, ЕО) № 2185/96</w:t>
      </w:r>
      <w:r w:rsidRPr="00D92BE2">
        <w:rPr>
          <w:szCs w:val="24"/>
          <w:vertAlign w:val="superscript"/>
          <w:lang w:eastAsia="en-US"/>
        </w:rPr>
        <w:footnoteReference w:id="29"/>
      </w:r>
      <w:r w:rsidRPr="00D92BE2">
        <w:t xml:space="preserve"> и (ЕС) 2017/1939</w:t>
      </w:r>
      <w:r w:rsidRPr="00D92BE2">
        <w:rPr>
          <w:szCs w:val="24"/>
          <w:vertAlign w:val="superscript"/>
          <w:lang w:eastAsia="en-US"/>
        </w:rPr>
        <w:footnoteReference w:id="30"/>
      </w:r>
      <w:r w:rsidRPr="00D92BE2">
        <w:t xml:space="preserve"> на Съвета финансовите интереси на Съюза трябва да бъдат защитени чрез пропорционални мерки, включително мерки, свързани с предотвратяването, разкриването, коригирането и разследването на нередности, включително измами, възстановяването на загубени, неправомерно изплатени или неправилно използвани средства и, когато е целесъобразно, налагането на административни санкции. По-специално, в съответствие с регламенти (Евратом, ЕО) № 2185/96 и (ЕС, Евратом) № 883/2013 Европейската служба за борба с измамите (OLAF) има правомощието да извършва административни разследвания, включително проверки и инспекции на място, с цел установяване наличието на измама, корупция или друга незаконна дейност, засягаща финансовите интереси на Съюза. В съответствие с Регламент (ЕС) 2017/1939 на Европейската прокуратура са предоставени правомощия да извършва разследване и наказателно преследване за престъпления срещу финансовите интереси на Съюза, както е предвидено в Директива (ЕС) 2017/1371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31"/>
      </w:r>
      <w:r w:rsidRPr="00D92BE2">
        <w:t>. В съответствие с Регламент (ЕС, Евратом) 2018/1046 всички лица или субекти, получаващи средства от Съюза, трябва да оказват пълно съдействие за защита на финансовите интереси на Съюза, да предоставят правата и достъпа, необходими на Комисията, на OLAF, на Сметната палата и, по отношение на държавите членки, участващи в засилено сътрудничество съгласно Регламент (ЕС) 2017/1939, на Европейската прокуратура, и да гарантират, че всички трети лица, участващи в изпълнението на средства на Съюза, предоставят равностойни права.</w:t>
      </w:r>
    </w:p>
    <w:p w14:paraId="3F9AB148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lastRenderedPageBreak/>
        <w:t>(37)</w:t>
      </w:r>
      <w:r w:rsidRPr="00D92BE2">
        <w:tab/>
        <w:t>С цел да се осигурят еднакви условия за прилагане на настоящия регламент, на Комисията следва да бъдат предоставени изпълнителни правомощия за определяне на изискванията по отношение на данните и метаданните, техническите формати и процедурите за предоставяне на данните и метаданните, както и съдържанието и структурата на докладите за качеството. Тези правомощия следва да бъдат упражнявани в съответствие с Регламент (ЕС) № 182/2011 на Европейския парламент и на Съвета</w:t>
      </w:r>
      <w:r w:rsidRPr="00D92BE2">
        <w:rPr>
          <w:szCs w:val="24"/>
          <w:vertAlign w:val="superscript"/>
          <w:lang w:eastAsia="en-US"/>
        </w:rPr>
        <w:footnoteReference w:id="32"/>
      </w:r>
      <w:r w:rsidRPr="00D92BE2">
        <w:t>.</w:t>
      </w:r>
    </w:p>
    <w:p w14:paraId="2C8FE6B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(38)</w:t>
      </w:r>
      <w:r w:rsidRPr="00D92BE2">
        <w:tab/>
        <w:t>Когато прилагането на настоящия регламент или на приетите в съответствие с него делегирани актове и актове за изпълнение изисква значителни адаптации в националната статистическа система на дадена държава членка за предоставяне на данни с периодичност, по-малка от 10 години, Комисията следва да може, в надлежно обосновани случаи и за ограничен период от време, да предоставя дерогации на съответните държави членки.</w:t>
      </w:r>
    </w:p>
    <w:p w14:paraId="27936A0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(39)</w:t>
      </w:r>
      <w:r w:rsidRPr="00D92BE2">
        <w:tab/>
        <w:t>Доколкото целта на настоящия регламент, а именно систематичното изготвяне на европейска статистика за населението и жилищния фонд, не може да бъде постигната в достатъчна степен от държавите членки, а поради съгласуваност и съпоставимост може по-добре да се постигне на равнището на Съюза, Съюзът може да приеме мерки в съответствие с принципа на субсидиарност, уреден в член 5 от ДЕС. В съответствие с принципа на пропорционалност, уреден в същия член, настоящият регламент не надхвърля необходимото за постигането на тези цели.</w:t>
      </w:r>
    </w:p>
    <w:p w14:paraId="5D575D11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(40)</w:t>
      </w:r>
      <w:r w:rsidRPr="00D92BE2">
        <w:tab/>
        <w:t xml:space="preserve">В съответствие с член 42, параграф 1 от Регламент (ЕС) 2018/1725 беше проведена консултация с Европейския надзорен орган по защита на данните, който представи становище на </w:t>
      </w:r>
      <w:r w:rsidRPr="00D92BE2">
        <w:rPr>
          <w:b/>
          <w:i/>
        </w:rPr>
        <w:t>16 март 2023</w:t>
      </w:r>
      <w:r w:rsidRPr="00D92BE2">
        <w:t xml:space="preserve"> г.</w:t>
      </w:r>
    </w:p>
    <w:p w14:paraId="7B9A3CC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(41)</w:t>
      </w:r>
      <w:r w:rsidRPr="00D92BE2">
        <w:tab/>
        <w:t>Бяха проведени консултации с Комитета на ЕСС,</w:t>
      </w:r>
    </w:p>
    <w:p w14:paraId="671B6654" w14:textId="77777777" w:rsidR="008E16FC" w:rsidRPr="00D92BE2" w:rsidRDefault="008E16FC" w:rsidP="008E16FC">
      <w:pPr>
        <w:keepNext/>
        <w:widowControl/>
        <w:spacing w:before="120" w:after="120" w:line="360" w:lineRule="auto"/>
        <w:rPr>
          <w:szCs w:val="24"/>
        </w:rPr>
      </w:pPr>
      <w:r w:rsidRPr="00D92BE2">
        <w:t>ПРИЕХА НАСТОЯЩИЯ РЕГЛАМЕНТ:</w:t>
      </w:r>
    </w:p>
    <w:p w14:paraId="2131870C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br w:type="page"/>
      </w:r>
      <w:r w:rsidRPr="00D92BE2">
        <w:lastRenderedPageBreak/>
        <w:t>Член 1</w:t>
      </w:r>
      <w:r w:rsidRPr="00D92BE2">
        <w:br/>
        <w:t>Предмет</w:t>
      </w:r>
    </w:p>
    <w:p w14:paraId="0416ABBC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С настоящия регламент се установява обща правна рамка за разработването, изготвянето и разпространението на европейска статистика за населението и жилищния фонд.</w:t>
      </w:r>
    </w:p>
    <w:p w14:paraId="74C6ECA3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 2</w:t>
      </w:r>
      <w:r w:rsidRPr="00D92BE2">
        <w:br/>
        <w:t>Определения</w:t>
      </w:r>
    </w:p>
    <w:p w14:paraId="0E7122E7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За целите на настоящия регламент се прилагат следните определения:</w:t>
      </w:r>
    </w:p>
    <w:p w14:paraId="2554AAC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1)</w:t>
      </w:r>
      <w:r w:rsidRPr="00D92BE2">
        <w:tab/>
        <w:t>„гражданство“ означава специфичната правна връзка между дадено физическо лице и неговата държава, придобита по рождение или чрез натурализация, независимо дали посредством декларация, избор, брак, осиновяване или по друг начин, в съответствие с националното законодателство;</w:t>
      </w:r>
    </w:p>
    <w:p w14:paraId="3C29146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2)</w:t>
      </w:r>
      <w:r w:rsidRPr="00D92BE2">
        <w:tab/>
        <w:t>„обичайно местопребиваване“ означава мястото, където дадено лице обикновено прекарва частта от деня, предназначена за почивка, независимо от временните отсъствия с цел развлечение, ваканция, посещения при приятели и роднини, работа, медицинско лечение или религиозно поклонение. Само следните лица се считат за обичайно пребиваващи в съответния географски район:</w:t>
      </w:r>
    </w:p>
    <w:p w14:paraId="0F00610D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тези, които са живели в своето обичайно местопребиваване през по-голямата част от времето през дванадесетте месеца преди референтната дата, включително референтната дата; или</w:t>
      </w:r>
    </w:p>
    <w:p w14:paraId="1C97FAF4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тези, които са пристигнали в своето обичайно местопребиваване през последните дванадесет месеца преди референтната дата, включително референтната дата, и които възнамеряват или за които се очаква да останат там през по-голямата част от времето за поне дванадесет месеца след пристигането им;</w:t>
      </w:r>
    </w:p>
    <w:p w14:paraId="0D832435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3)</w:t>
      </w:r>
      <w:r w:rsidRPr="00D92BE2">
        <w:tab/>
        <w:t>„признаци за присъствие“ означава всяка информация, свидетелстваща за действителното присъствие и обичайното местопребиваване на дадено лице на съответната територия, включително информация, получена от всеки подходящ източник или комбинация от източници, включително цифрови следи, които са свързани с лицето;</w:t>
      </w:r>
    </w:p>
    <w:p w14:paraId="7B10B641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lastRenderedPageBreak/>
        <w:t>4)</w:t>
      </w:r>
      <w:r w:rsidRPr="00D92BE2">
        <w:tab/>
        <w:t>▌</w:t>
      </w:r>
    </w:p>
    <w:p w14:paraId="4B2CD3D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5)</w:t>
      </w:r>
      <w:r w:rsidRPr="00D92BE2">
        <w:tab/>
        <w:t>„международна миграция“ означава събитието, при което дадено лице установява обичайното си местопребиваване на територията на държава членка или на трета държава, след като преди това е имало обичайно местопребиваване в друга държава членка или трета държава;</w:t>
      </w:r>
    </w:p>
    <w:p w14:paraId="11C9006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6)</w:t>
      </w:r>
      <w:r w:rsidRPr="00D92BE2">
        <w:tab/>
        <w:t>„имигрант“ означава лице, което е участвало в международна миграция през референтния период, за да установи новото си обичайно местопребиваване в предоставящата данните държава;</w:t>
      </w:r>
    </w:p>
    <w:p w14:paraId="6720786E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7)</w:t>
      </w:r>
      <w:r w:rsidRPr="00D92BE2">
        <w:tab/>
        <w:t>„емигрант“ означава лице, което е участвало в международна миграция през референтния период, за да установи новото си обичайно местопребиваване извън предоставящата данните държава, след като преди това е имало обичайно местопребиваване в предоставящата данните държава;</w:t>
      </w:r>
    </w:p>
    <w:p w14:paraId="63B9031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8)</w:t>
      </w:r>
      <w:r w:rsidRPr="00D92BE2">
        <w:tab/>
        <w:t>„вътрешна миграция“ означава събитието, при което дадено лице променя обичайното си местопребиваване в рамките на територията на предоставящата данните държава;</w:t>
      </w:r>
    </w:p>
    <w:p w14:paraId="4BB7FE6A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8a)</w:t>
      </w:r>
      <w:r w:rsidRPr="00D92BE2">
        <w:tab/>
      </w:r>
      <w:r w:rsidRPr="00D92BE2">
        <w:rPr>
          <w:b/>
          <w:i/>
        </w:rPr>
        <w:t>„труднодостъпни групи от населението“ означава групи лица, за които съществува реална или предполагаема пречка за пълно и представително включване или идентифициране в събирането на статистически данни или поради това че съответните групи не са обхванати, или поради липса на специфични характеристики за идентифицирането им;</w:t>
      </w:r>
    </w:p>
    <w:p w14:paraId="6CA814C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9)</w:t>
      </w:r>
      <w:r w:rsidRPr="00D92BE2">
        <w:tab/>
        <w:t>„жилищно помещение“ означава временна или постоянна постройка, подслон или място за настаняване, в което пребивават едно или повече лица, независимо дали е проектирано или предназначено за обитаване от хора;</w:t>
      </w:r>
    </w:p>
    <w:p w14:paraId="0732023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b/>
          <w:i/>
          <w:szCs w:val="24"/>
        </w:rPr>
      </w:pPr>
      <w:r w:rsidRPr="00D92BE2">
        <w:t>10)</w:t>
      </w:r>
      <w:r w:rsidRPr="00D92BE2">
        <w:tab/>
        <w:t>▌ „</w:t>
      </w:r>
      <w:r w:rsidRPr="00D92BE2">
        <w:rPr>
          <w:b/>
          <w:i/>
        </w:rPr>
        <w:t>конвенционални жилища“ са структурно обособени и независими помещения в определени места, които са предназначени</w:t>
      </w:r>
      <w:r w:rsidRPr="00D92BE2">
        <w:t xml:space="preserve"> за постоянно обитаване от хора </w:t>
      </w:r>
      <w:r w:rsidRPr="00D92BE2">
        <w:rPr>
          <w:b/>
          <w:i/>
        </w:rPr>
        <w:t xml:space="preserve">и които към референтната дата са: </w:t>
      </w:r>
    </w:p>
    <w:p w14:paraId="248ADADC" w14:textId="77777777" w:rsidR="008E16FC" w:rsidRPr="00D92BE2" w:rsidRDefault="008E16FC" w:rsidP="008E16FC">
      <w:pPr>
        <w:spacing w:before="120" w:after="120" w:line="360" w:lineRule="auto"/>
        <w:ind w:left="850"/>
        <w:rPr>
          <w:b/>
          <w:i/>
          <w:szCs w:val="24"/>
        </w:rPr>
      </w:pPr>
      <w:r w:rsidRPr="00D92BE2">
        <w:rPr>
          <w:b/>
          <w:i/>
        </w:rPr>
        <w:t xml:space="preserve">а) използвани като обичайно местопребиваване; </w:t>
      </w:r>
    </w:p>
    <w:p w14:paraId="7DFAE137" w14:textId="77777777" w:rsidR="008E16FC" w:rsidRPr="00D92BE2" w:rsidRDefault="008E16FC" w:rsidP="008E16FC">
      <w:pPr>
        <w:spacing w:before="120" w:after="120" w:line="360" w:lineRule="auto"/>
        <w:ind w:left="850"/>
        <w:rPr>
          <w:b/>
          <w:i/>
          <w:szCs w:val="24"/>
        </w:rPr>
      </w:pPr>
      <w:r w:rsidRPr="00D92BE2">
        <w:rPr>
          <w:b/>
          <w:i/>
        </w:rPr>
        <w:t xml:space="preserve">б) незаети; или </w:t>
      </w:r>
    </w:p>
    <w:p w14:paraId="1C9EFD22" w14:textId="77777777" w:rsidR="008E16FC" w:rsidRPr="00D92BE2" w:rsidRDefault="008E16FC" w:rsidP="008E16FC">
      <w:pPr>
        <w:spacing w:before="120" w:after="120" w:line="360" w:lineRule="auto"/>
        <w:ind w:left="850"/>
        <w:rPr>
          <w:b/>
          <w:i/>
          <w:szCs w:val="24"/>
        </w:rPr>
      </w:pPr>
      <w:r w:rsidRPr="00D92BE2">
        <w:rPr>
          <w:b/>
          <w:i/>
        </w:rPr>
        <w:t xml:space="preserve">в) използвани като второ или сезонно жилище. </w:t>
      </w:r>
    </w:p>
    <w:p w14:paraId="1A61C876" w14:textId="77777777" w:rsidR="008E16FC" w:rsidRPr="00D92BE2" w:rsidRDefault="008E16FC" w:rsidP="008E16FC">
      <w:pPr>
        <w:spacing w:before="120" w:after="120" w:line="360" w:lineRule="auto"/>
        <w:ind w:left="851" w:hanging="851"/>
        <w:rPr>
          <w:b/>
          <w:i/>
          <w:szCs w:val="24"/>
        </w:rPr>
      </w:pPr>
      <w:r w:rsidRPr="00D92BE2">
        <w:rPr>
          <w:b/>
          <w:i/>
        </w:rPr>
        <w:t>х)</w:t>
      </w:r>
      <w:r w:rsidRPr="00D92BE2">
        <w:rPr>
          <w:b/>
          <w:i/>
        </w:rPr>
        <w:tab/>
        <w:t xml:space="preserve">„отделно помещение“ означава помещение, обградено от стени и покрито </w:t>
      </w:r>
      <w:r w:rsidRPr="00D92BE2">
        <w:rPr>
          <w:b/>
          <w:i/>
        </w:rPr>
        <w:lastRenderedPageBreak/>
        <w:t>с покрив или таван по такъв начин, че едно или повече лица могат да живеят там самостоятелно от други лица;</w:t>
      </w:r>
    </w:p>
    <w:p w14:paraId="345418CE" w14:textId="77777777" w:rsidR="008E16FC" w:rsidRPr="00D92BE2" w:rsidRDefault="008E16FC" w:rsidP="008E16FC">
      <w:pPr>
        <w:spacing w:before="120" w:after="120" w:line="360" w:lineRule="auto"/>
        <w:ind w:left="851" w:hanging="851"/>
        <w:rPr>
          <w:szCs w:val="24"/>
        </w:rPr>
      </w:pPr>
      <w:proofErr w:type="spellStart"/>
      <w:r w:rsidRPr="00D92BE2">
        <w:rPr>
          <w:b/>
          <w:i/>
        </w:rPr>
        <w:t>хх</w:t>
      </w:r>
      <w:proofErr w:type="spellEnd"/>
      <w:r w:rsidRPr="00D92BE2">
        <w:rPr>
          <w:b/>
          <w:i/>
        </w:rPr>
        <w:t>)</w:t>
      </w:r>
      <w:r w:rsidRPr="00D92BE2">
        <w:rPr>
          <w:b/>
          <w:i/>
        </w:rPr>
        <w:tab/>
        <w:t>„независимо помещение“ означава помещение с пряк достъп от улица или стълбище, проход, коридор или земя</w:t>
      </w:r>
      <w:r w:rsidRPr="00D92BE2">
        <w:t>;</w:t>
      </w:r>
    </w:p>
    <w:p w14:paraId="19486AA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11)</w:t>
      </w:r>
      <w:r w:rsidRPr="00D92BE2">
        <w:tab/>
        <w:t>„предназначена за обитаване сграда“ означава постоянна постройка, състояща се от едно или повече конвенционални жилища или предназначена за институционално или колективно настаняване;</w:t>
      </w:r>
    </w:p>
    <w:p w14:paraId="0A3178D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12)</w:t>
      </w:r>
      <w:r w:rsidRPr="00D92BE2">
        <w:tab/>
        <w:t>„домакинство“ означава група от две или повече лица, които споделят жилищни помещения, ▌ или отделно лице, което не е част от друго домакинство;</w:t>
      </w:r>
    </w:p>
    <w:p w14:paraId="26F6A67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12a)</w:t>
      </w:r>
      <w:r w:rsidRPr="00D92BE2">
        <w:tab/>
      </w:r>
      <w:r w:rsidRPr="00D92BE2">
        <w:rPr>
          <w:b/>
          <w:i/>
        </w:rPr>
        <w:t>„институция“ означава колективно жилищно помещение за целите на осигуряване на дългосрочно настаняване и предоставяне на услуги необходими за ежедневния живот, на група лица;</w:t>
      </w:r>
    </w:p>
    <w:p w14:paraId="5F5C86C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13)</w:t>
      </w:r>
      <w:r w:rsidRPr="00D92BE2">
        <w:tab/>
        <w:t xml:space="preserve">„семейство“ означава група от две или повече лица, които живеят </w:t>
      </w:r>
      <w:r w:rsidRPr="00D92BE2">
        <w:rPr>
          <w:b/>
          <w:i/>
        </w:rPr>
        <w:t>през по-голямата част от времето</w:t>
      </w:r>
      <w:r w:rsidRPr="00D92BE2">
        <w:t xml:space="preserve"> в едно и също домакинство и които са свързани с произход, с брачно или регистрирано партньорство или с партньорство в съвместно съжителство;</w:t>
      </w:r>
    </w:p>
    <w:p w14:paraId="7BAA996A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14)</w:t>
      </w:r>
      <w:r w:rsidRPr="00D92BE2">
        <w:tab/>
        <w:t>„административни записи“ означава данни, генерирани от нестатистически източник, обикновено поддържан от публичен орган регистър, чиято основна цел не е предоставянето на статистически данни;</w:t>
      </w:r>
    </w:p>
    <w:p w14:paraId="5ACC68A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15)</w:t>
      </w:r>
      <w:r w:rsidRPr="00D92BE2">
        <w:tab/>
        <w:t>„област“ означава един или няколко набора от данни, които включват конкретни теми;</w:t>
      </w:r>
    </w:p>
    <w:p w14:paraId="6ED78CEE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16)</w:t>
      </w:r>
      <w:r w:rsidRPr="00D92BE2">
        <w:tab/>
        <w:t>„тема“ означава съдържанието на информацията, която трябва да бъде събрана за статистическите единици, като всяка тема обхваща няколко подробни теми;</w:t>
      </w:r>
    </w:p>
    <w:p w14:paraId="5E46847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17)</w:t>
      </w:r>
      <w:r w:rsidRPr="00D92BE2">
        <w:tab/>
        <w:t>„подробна тема“ означава подробното съдържание на информацията, която трябва да бъде събрана за свързаните с дадена тема статистически единици, като всяка подробна тема обхваща една или няколко променливи;</w:t>
      </w:r>
    </w:p>
    <w:p w14:paraId="52559D5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18)</w:t>
      </w:r>
      <w:r w:rsidRPr="00D92BE2">
        <w:tab/>
        <w:t>„набор от данни“ означава ▌ една или няколко променливи, организирани в структуриран вид;</w:t>
      </w:r>
    </w:p>
    <w:p w14:paraId="39818B4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19)</w:t>
      </w:r>
      <w:r w:rsidRPr="00D92BE2">
        <w:tab/>
        <w:t xml:space="preserve">„преброяване на населението и жилищния фонд“ означава подробните набори </w:t>
      </w:r>
      <w:r w:rsidRPr="00D92BE2">
        <w:lastRenderedPageBreak/>
        <w:t>от данни и метаданни за десетгодишни периоди, които трябва да бъдат предоставяни съгласно настоящия регламент;</w:t>
      </w:r>
    </w:p>
    <w:p w14:paraId="39C86AD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20)</w:t>
      </w:r>
      <w:r w:rsidRPr="00D92BE2">
        <w:tab/>
        <w:t>„статистическа единица“ означава един член на съвкупност от единици, а именно лица, предмети или събития, за които се събират данни и ▌ се съставя статистика;</w:t>
      </w:r>
    </w:p>
    <w:p w14:paraId="58B6E031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21)</w:t>
      </w:r>
      <w:r w:rsidRPr="00D92BE2">
        <w:tab/>
        <w:t>„променлива“ означава характеристика на статистическа единица, която може да приеме повече от една стойност от определен набор от стойности;</w:t>
      </w:r>
    </w:p>
    <w:p w14:paraId="7AC392D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22)</w:t>
      </w:r>
      <w:r w:rsidRPr="00D92BE2">
        <w:tab/>
        <w:t>„разбивка“ означава предварително определен дискретен, изчерпателен и взаимно изключващ се набор от стойности, които могат да бъдат отнесени към променливи, характеризиращи статистическите единици;</w:t>
      </w:r>
    </w:p>
    <w:p w14:paraId="3BE5102E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23)</w:t>
      </w:r>
      <w:r w:rsidRPr="00D92BE2">
        <w:tab/>
        <w:t>„национално ниво“ означава на територията на дадена държава членка;</w:t>
      </w:r>
    </w:p>
    <w:p w14:paraId="5DAA990A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24)</w:t>
      </w:r>
      <w:r w:rsidRPr="00D92BE2">
        <w:tab/>
        <w:t>„регионално ниво“ означава ниво 3 по NUTS в съответствие с определеното в Регламент (ЕО) № 1059/2003;</w:t>
      </w:r>
    </w:p>
    <w:p w14:paraId="74BDF6C9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25)</w:t>
      </w:r>
      <w:r w:rsidRPr="00D92BE2">
        <w:tab/>
        <w:t>„местно ниво“ означава нивото на местната административна единица ▌ в съответствие с определеното в Регламент (ЕО) № 1059/2003;</w:t>
      </w:r>
    </w:p>
    <w:p w14:paraId="36B17B4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26)</w:t>
      </w:r>
      <w:r w:rsidRPr="00D92BE2">
        <w:tab/>
        <w:t>„ниво на координатна мрежа“ означава статистическа координатна мрежа в съответствие с определеното в Регламент (ЕО) № 1059/2003;</w:t>
      </w:r>
    </w:p>
    <w:p w14:paraId="51D308D1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27)</w:t>
      </w:r>
      <w:r w:rsidRPr="00D92BE2">
        <w:tab/>
        <w:t>„рамки“ означава всеки списък, материал или приспособление, които очертават и установяват елементите на целевата съвкупност и в зависимост от предназначението могат да позволяват достъп до и/или да осигуряват допълнителни характеристики на елементите;</w:t>
      </w:r>
    </w:p>
    <w:p w14:paraId="28061258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28)</w:t>
      </w:r>
      <w:r w:rsidRPr="00D92BE2">
        <w:tab/>
        <w:t>„референтна дата“ означава моментът във времето, за който се отнасят статистическите данни;</w:t>
      </w:r>
    </w:p>
    <w:p w14:paraId="0BFA7A5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29)</w:t>
      </w:r>
      <w:r w:rsidRPr="00D92BE2">
        <w:tab/>
        <w:t>„референтен период“ означава времевият интервал, за който се отнасят статистическите данни за събитията;</w:t>
      </w:r>
    </w:p>
    <w:p w14:paraId="2333E9D8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30)</w:t>
      </w:r>
      <w:r w:rsidRPr="00D92BE2">
        <w:tab/>
        <w:t>„референтен момент“ означава или референтна дата, или референтен период, в зависимост от това дали статистиката е за събития или за други статистически единици;</w:t>
      </w:r>
    </w:p>
    <w:p w14:paraId="199ECA9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31)</w:t>
      </w:r>
      <w:r w:rsidRPr="00D92BE2">
        <w:tab/>
        <w:t xml:space="preserve">„метаданни“ означава информация, която е необходима за използването и тълкуването на статистически данни и която описва наборите от данни по </w:t>
      </w:r>
      <w:r w:rsidRPr="00D92BE2">
        <w:lastRenderedPageBreak/>
        <w:t>структуриран начин;</w:t>
      </w:r>
    </w:p>
    <w:p w14:paraId="7BCE51B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32)</w:t>
      </w:r>
      <w:r w:rsidRPr="00D92BE2">
        <w:tab/>
        <w:t>„предварително проверени набори от данни“ означава набори от данни, проверени от държавите членки въз основа на договорени общи правила за валидиране;</w:t>
      </w:r>
    </w:p>
    <w:p w14:paraId="35213A3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33)</w:t>
      </w:r>
      <w:r w:rsidRPr="00D92BE2">
        <w:tab/>
        <w:t>„доклад за качеството“ означава доклад, предаващ информация за качеството на статистическия продукт или процес.</w:t>
      </w:r>
    </w:p>
    <w:p w14:paraId="56C3F386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3</w:t>
      </w:r>
      <w:r w:rsidRPr="00D92BE2">
        <w:br/>
        <w:t xml:space="preserve">Демографска основа </w:t>
      </w:r>
    </w:p>
    <w:p w14:paraId="366252D1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За целите на настоящия регламент демографската основа се състои от всички лица, чието обичайно местопребиваване е в рамките на Съюза в определена териториална единица на държава членка на национално, регионално, местно ниво или ниво на координатна мрежа към референтната дата.</w:t>
      </w:r>
    </w:p>
    <w:p w14:paraId="750FEE6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Демографската основа включва всички лица с обичайно местопребиваване, независимо от гражданството или от това дали лицето е или е било без гражданство ▌.</w:t>
      </w:r>
    </w:p>
    <w:p w14:paraId="7F3A7E8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>Демографската основа изключва лицата, чието обичайно местопребиваване е извън територията на държавата членка, независимо от мястото на раждане или гражданството и независимо от каквито и да е семейни, социални, икономически или имуществени връзки, които лицето може да има с държавата членка.</w:t>
      </w:r>
    </w:p>
    <w:p w14:paraId="0215AE7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>На лицата, които нямат обичайно местопребиваване, се приписва като обичайно местопребиваване мястото, на което се намират към референтната дата.</w:t>
      </w:r>
    </w:p>
    <w:p w14:paraId="14D374A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5.</w:t>
      </w:r>
      <w:r w:rsidRPr="00D92BE2">
        <w:tab/>
        <w:t>Държавите членки прилагат определението за обичайно местопребиваване, предвидено в настоящия регламент, за всички набори от данни, предоставяни на Комисията (Евростат) по силата на настоящия регламент и за национално, регионално, местно ниво и ниво на координатна мрежа.</w:t>
      </w:r>
    </w:p>
    <w:p w14:paraId="0F2E3D6E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6.</w:t>
      </w:r>
      <w:r w:rsidRPr="00D92BE2">
        <w:tab/>
        <w:t>При прилагането на определението за обичайно местопребиваване държавите членки използват:</w:t>
      </w:r>
    </w:p>
    <w:p w14:paraId="7BF74F84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един или комбинация от източниците на данни, посочени в член 9, параграф 1;</w:t>
      </w:r>
    </w:p>
    <w:p w14:paraId="59B281BF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lastRenderedPageBreak/>
        <w:t>б)</w:t>
      </w:r>
      <w:r w:rsidRPr="00D92BE2">
        <w:tab/>
        <w:t>методи за оценка, като например „признаци за присъствие“</w:t>
      </w:r>
      <w:r w:rsidRPr="00D92BE2">
        <w:rPr>
          <w:b/>
          <w:i/>
        </w:rPr>
        <w:t>, както и други научно обосновани, добре документирани и публично достъпни статистически методи за оценка,</w:t>
      </w:r>
      <w:r w:rsidRPr="00D92BE2">
        <w:t xml:space="preserve"> за коригиране на действителното присъствие на предполагаемото място на обичайно пребиваване през по-голямата част от времето през дванадесетте месеца, приключващи към референтната дата, и ▌ за оценка на броя на лицата, които възнамеряват или за които се очаква да пребивават през по-голямата част от времето през дванадесетте месеца след пристигането им.</w:t>
      </w:r>
    </w:p>
    <w:p w14:paraId="302873E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6a.</w:t>
      </w:r>
      <w:r w:rsidRPr="00D92BE2">
        <w:tab/>
      </w:r>
      <w:r w:rsidRPr="00D92BE2">
        <w:rPr>
          <w:b/>
          <w:i/>
        </w:rPr>
        <w:t>За целите на гласуването с квалифицирано мнозинство в Съвета Комисията информира Съвета за общото население на държавите членки в края на всяка референтна година, съгласно данните, с които Комисията (Евростат) разполага към 31 август на календарната година, следваща референтната година.</w:t>
      </w:r>
    </w:p>
    <w:p w14:paraId="1AF30D88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4</w:t>
      </w:r>
      <w:r w:rsidRPr="00D92BE2">
        <w:br/>
        <w:t>Статистически единици</w:t>
      </w:r>
    </w:p>
    <w:p w14:paraId="795ADF1D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Статистиката съгласно настоящия регламент се съставя за следните статистически единици:</w:t>
      </w:r>
    </w:p>
    <w:p w14:paraId="2E2E4B08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а)</w:t>
      </w:r>
      <w:r w:rsidRPr="00D92BE2">
        <w:tab/>
        <w:t>лица;</w:t>
      </w:r>
    </w:p>
    <w:p w14:paraId="4101302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б)</w:t>
      </w:r>
      <w:r w:rsidRPr="00D92BE2">
        <w:tab/>
        <w:t>основни демографски събития;</w:t>
      </w:r>
    </w:p>
    <w:p w14:paraId="65A1DFA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в)</w:t>
      </w:r>
      <w:r w:rsidRPr="00D92BE2">
        <w:tab/>
        <w:t>семейства;</w:t>
      </w:r>
    </w:p>
    <w:p w14:paraId="0E0DD11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г)</w:t>
      </w:r>
      <w:r w:rsidRPr="00D92BE2">
        <w:tab/>
        <w:t>домакинства;</w:t>
      </w:r>
    </w:p>
    <w:p w14:paraId="431AA3B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д)</w:t>
      </w:r>
      <w:r w:rsidRPr="00D92BE2">
        <w:tab/>
        <w:t>предназначени за обитаване сгради, жилищни помещения</w:t>
      </w:r>
      <w:r w:rsidRPr="00D92BE2">
        <w:rPr>
          <w:b/>
          <w:i/>
        </w:rPr>
        <w:t>, включително институции,</w:t>
      </w:r>
      <w:r w:rsidRPr="00D92BE2">
        <w:t xml:space="preserve"> и конвенционални жилища.</w:t>
      </w:r>
    </w:p>
    <w:p w14:paraId="700766D7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5</w:t>
      </w:r>
      <w:r w:rsidRPr="00D92BE2">
        <w:br/>
        <w:t>Изисквания по отношение на статистическите данни</w:t>
      </w:r>
    </w:p>
    <w:p w14:paraId="67012B42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Европейската статистика за населението и жилищния фонд обхваща следните области:</w:t>
      </w:r>
    </w:p>
    <w:p w14:paraId="32E56535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демография;</w:t>
      </w:r>
    </w:p>
    <w:p w14:paraId="2568811D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жилищен фонд;</w:t>
      </w:r>
    </w:p>
    <w:p w14:paraId="352E0DBA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в)</w:t>
      </w:r>
      <w:r w:rsidRPr="00D92BE2">
        <w:tab/>
        <w:t>семейства и домакинства.</w:t>
      </w:r>
    </w:p>
    <w:p w14:paraId="42D16A6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lastRenderedPageBreak/>
        <w:t>2.</w:t>
      </w:r>
      <w:r w:rsidRPr="00D92BE2">
        <w:tab/>
        <w:t>Статистиката в областите, изброени в параграф 1 от настоящия член, се организира в набори от данни съобразно темите и подробните теми, посочени в приложението.</w:t>
      </w:r>
      <w:r w:rsidRPr="00D92BE2">
        <w:rPr>
          <w:b/>
          <w:i/>
        </w:rPr>
        <w:t xml:space="preserve"> Когато статистическата единица е лице, наборите от данни се </w:t>
      </w:r>
      <w:proofErr w:type="spellStart"/>
      <w:r w:rsidRPr="00D92BE2">
        <w:rPr>
          <w:b/>
          <w:i/>
        </w:rPr>
        <w:t>дезагрегират</w:t>
      </w:r>
      <w:proofErr w:type="spellEnd"/>
      <w:r w:rsidRPr="00D92BE2">
        <w:rPr>
          <w:b/>
          <w:i/>
        </w:rPr>
        <w:t xml:space="preserve"> по пол и възраст, а когато е уместно — и по други характеристики.</w:t>
      </w:r>
    </w:p>
    <w:p w14:paraId="76EB65A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>На Комисията се предоставя правомощието да приема делегирани актове в съответствие с член 17 за изменение на списъка с подробните теми от приложението. Такива делегирани актове се приемат най-малко дванадесет месеца преди началото на съответния референтен момент.</w:t>
      </w:r>
    </w:p>
    <w:p w14:paraId="3FA7A40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>Когато упражнява правомощието си да приема делегирани актове съгласно параграф 3 от настоящия член, Комисията гарантира, че тези актове не налагат значителна и непропорционална тежест на държавите членки и на респондентите в изследването. Всяка нова подробна тема се оценява по отношение на нейната осъществимост чрез пилотни проучвания, провеждани от Комисията (Евростат) и държавите членки в съответствие с член 14.</w:t>
      </w:r>
    </w:p>
    <w:p w14:paraId="1D4BFA1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5.</w:t>
      </w:r>
      <w:r w:rsidRPr="00D92BE2">
        <w:tab/>
        <w:t>Комисията приема актове за изпълнение за определяне на техническите характеристики на наборите от данни и метаданните, които трябва да се предоставят на Комисията (Евростат). В тези актове за изпълнение се посочват следните технически елементи, когато е целесъобразно:</w:t>
      </w:r>
    </w:p>
    <w:p w14:paraId="06C6B0AF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наименования на променливите, техническите им спецификации и разбивки;</w:t>
      </w:r>
    </w:p>
    <w:p w14:paraId="0F74D902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подробни спецификации на статистическите единици и метаданни;</w:t>
      </w:r>
    </w:p>
    <w:p w14:paraId="10B5D462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в)</w:t>
      </w:r>
      <w:r w:rsidRPr="00D92BE2">
        <w:tab/>
        <w:t>статистически класификации, които да се използват;</w:t>
      </w:r>
    </w:p>
    <w:p w14:paraId="2AA15EFD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г)</w:t>
      </w:r>
      <w:r w:rsidRPr="00D92BE2">
        <w:tab/>
        <w:t>срокове за предоставяне;</w:t>
      </w:r>
    </w:p>
    <w:p w14:paraId="0BC5C9E8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д)</w:t>
      </w:r>
      <w:r w:rsidRPr="00D92BE2">
        <w:tab/>
        <w:t>технически формати на наборите от данни и предоставянето на метаданни;</w:t>
      </w:r>
    </w:p>
    <w:p w14:paraId="3DDF9363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е)</w:t>
      </w:r>
      <w:r w:rsidRPr="00D92BE2">
        <w:tab/>
        <w:t>съдържанието, структурата, периодичността, условията и сроковете за предоставяне на докладите за качеството, както и допълнителни спецификации, когато е необходимо и обосновано.</w:t>
      </w:r>
    </w:p>
    <w:p w14:paraId="45260918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t xml:space="preserve">Тези актове за изпълнение се приемат в съответствие с процедурата по разглеждане, посочена в член 18, параграф 2, най-малко дванадесет месеца </w:t>
      </w:r>
      <w:r w:rsidRPr="00D92BE2">
        <w:lastRenderedPageBreak/>
        <w:t>преди началото на съответния референтен момент, с изключение на преброяването на населението и жилищния фонд, за което актовете за изпълнение се приемат най-малко двадесет и четири месеца преди началото на годината, в която попада референтната дата.</w:t>
      </w:r>
    </w:p>
    <w:p w14:paraId="5F37A62C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6</w:t>
      </w:r>
      <w:r w:rsidRPr="00D92BE2">
        <w:br/>
        <w:t>Периодичност и референтни моменти</w:t>
      </w:r>
    </w:p>
    <w:p w14:paraId="74EED89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Държавите членки изготвят европейска статистика за населението и жилищния фонд на три месеца, на шест месеца, веднъж годишно и веднъж на няколко години, както и в рамките на преброяване на населението и жилищния фонд на десетгодишни периоди.</w:t>
      </w:r>
    </w:p>
    <w:p w14:paraId="09F94885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Годините, завършващи на „1“, са референтните години за преброяването на населението и жилищния фонд на десетгодишни периоди.</w:t>
      </w:r>
    </w:p>
    <w:p w14:paraId="3B5FDA6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>Годините, завършващи на „1“, „5“ и „8“, са референтните години за многогодишната статистика.</w:t>
      </w:r>
    </w:p>
    <w:p w14:paraId="674B65B5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>Периодичността и референтният момент ▌за всяка подробна тема са посочени в приложението.</w:t>
      </w:r>
    </w:p>
    <w:p w14:paraId="5289AFF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5.</w:t>
      </w:r>
      <w:r w:rsidRPr="00D92BE2">
        <w:tab/>
        <w:t>Първата референтна дата, за която трябва да се предоставят годишни статистически данни по темата „брой на населението към определени дати“, е 31 декември 2025 г. Първият референтен момент, за който трябва да се предоставят други статистически данни съгласно настоящия регламент, е 2026 г.</w:t>
      </w:r>
    </w:p>
    <w:p w14:paraId="07315195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6.</w:t>
      </w:r>
      <w:r w:rsidRPr="00D92BE2">
        <w:tab/>
        <w:t>На Комисията се предоставя правомощието да приема делегирани актове в съответствие с член 17 за изменение на приложението чрез актуализиране на периодичността и референтните моменти.</w:t>
      </w:r>
    </w:p>
    <w:p w14:paraId="0A137E59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7</w:t>
      </w:r>
      <w:r w:rsidRPr="00D92BE2">
        <w:br/>
        <w:t>Изисквания по отношение на допълнителните статистически данни</w:t>
      </w:r>
    </w:p>
    <w:p w14:paraId="28E2DF2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Държавите членки предоставят на Комисията (Евростат) допълнителни набори от данни и метаданни.</w:t>
      </w:r>
    </w:p>
    <w:p w14:paraId="22984F5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 xml:space="preserve">На Комисията се предоставя правомощието да приема делегирани актове за допълване на настоящия регламент в съответствие с член 17, като определя наборите от данни и метаданните, които да бъдат предоставяни от държавите </w:t>
      </w:r>
      <w:r w:rsidRPr="00D92BE2">
        <w:lastRenderedPageBreak/>
        <w:t>членки като допълнителни, когато събирането на допълнителни статистически данни се счита за необходимо с цел удовлетворяване на допълнителни статистически нужди съгласно настоящия регламент</w:t>
      </w:r>
      <w:r w:rsidRPr="00D92BE2">
        <w:rPr>
          <w:b/>
          <w:i/>
        </w:rPr>
        <w:t>, като същевременно отдава приоритет на източниците на административни данни и записи, които ще се използват за събирането на исканите данни</w:t>
      </w:r>
      <w:r w:rsidRPr="00D92BE2">
        <w:t>.</w:t>
      </w:r>
    </w:p>
    <w:p w14:paraId="482954F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>В упоменатите в параграф 2 делегирани актове се посочват:</w:t>
      </w:r>
    </w:p>
    <w:p w14:paraId="74AE3C35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подробните теми, които трябва да бъдат предоставяни в допълнителните набори от данни, и причините за такива допълнителни статистически нужди;</w:t>
      </w:r>
    </w:p>
    <w:p w14:paraId="5B48B656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референтните моменти.</w:t>
      </w:r>
    </w:p>
    <w:p w14:paraId="0F87EF7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>На Комисията се предоставя правомощието да приема делегирани актове съгласно посоченото в параграф 2, като се започне от референтната 2027 г. и с минимален срок от две години между всяко допълнително събиране.</w:t>
      </w:r>
    </w:p>
    <w:p w14:paraId="6CFA631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5.</w:t>
      </w:r>
      <w:r w:rsidRPr="00D92BE2">
        <w:tab/>
        <w:t>Комисията приема актове за изпълнение за определяне на техническите характеристики на допълнителните набори от данни и метаданните съгласно посоченото в параграф 2. В тези актове за изпълнение се посочват следните технически елементи, когато е целесъобразно:</w:t>
      </w:r>
    </w:p>
    <w:p w14:paraId="5CB9939F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наименования на променливите, техническите им спецификации и разбивки;</w:t>
      </w:r>
    </w:p>
    <w:p w14:paraId="5661223D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подробни спецификации на статистическите единици и метаданни;</w:t>
      </w:r>
    </w:p>
    <w:p w14:paraId="676B5214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в)</w:t>
      </w:r>
      <w:r w:rsidRPr="00D92BE2">
        <w:tab/>
        <w:t>статистически класификации, които да се използват;</w:t>
      </w:r>
    </w:p>
    <w:p w14:paraId="1B38B3E4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г)</w:t>
      </w:r>
      <w:r w:rsidRPr="00D92BE2">
        <w:tab/>
        <w:t>срокове за предоставяне.</w:t>
      </w:r>
    </w:p>
    <w:p w14:paraId="6959F782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t>Тези актове за изпълнение се приемат в съответствие с процедурата по разглеждане, посочена в член 18, параграф 2, не по-късно от дванадесет месеца преди началото на референтния момент.</w:t>
      </w:r>
    </w:p>
    <w:p w14:paraId="3B793395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8</w:t>
      </w:r>
      <w:r w:rsidRPr="00D92BE2">
        <w:br/>
        <w:t xml:space="preserve">Набори от данни и метаданни, които се </w:t>
      </w:r>
      <w:r w:rsidRPr="00D92BE2">
        <w:rPr>
          <w:b/>
          <w:i/>
        </w:rPr>
        <w:t>предават</w:t>
      </w:r>
      <w:r w:rsidRPr="00D92BE2">
        <w:t xml:space="preserve"> на Комисията</w:t>
      </w:r>
    </w:p>
    <w:p w14:paraId="33BCB08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 xml:space="preserve">Държавите членки </w:t>
      </w:r>
      <w:r w:rsidRPr="00D92BE2">
        <w:rPr>
          <w:b/>
          <w:i/>
        </w:rPr>
        <w:t>предават на Комисията (Евростат)</w:t>
      </w:r>
      <w:r w:rsidRPr="00D92BE2">
        <w:t xml:space="preserve"> предварително проверени набори от данни и метаданни </w:t>
      </w:r>
      <w:r w:rsidRPr="00D92BE2">
        <w:rPr>
          <w:b/>
          <w:i/>
        </w:rPr>
        <w:t>в съответствие с приложението</w:t>
      </w:r>
      <w:r w:rsidRPr="00D92BE2">
        <w:t xml:space="preserve">, като използват технически формат, определен от Комисията (Евростат). За </w:t>
      </w:r>
      <w:r w:rsidRPr="00D92BE2">
        <w:rPr>
          <w:b/>
          <w:i/>
        </w:rPr>
        <w:lastRenderedPageBreak/>
        <w:t>предаването</w:t>
      </w:r>
      <w:r w:rsidRPr="00D92BE2">
        <w:t xml:space="preserve"> на наборите от данни и метаданните на Комисията (Евростат) се използва единната входна точка.</w:t>
      </w:r>
    </w:p>
    <w:p w14:paraId="68CDC765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 xml:space="preserve">Когато държавите членки публикуват изисквани с настоящия регламент ▌ данни на национално ниво преди сроковете за </w:t>
      </w:r>
      <w:r w:rsidRPr="00D92BE2">
        <w:rPr>
          <w:b/>
          <w:i/>
        </w:rPr>
        <w:t>предаване</w:t>
      </w:r>
      <w:r w:rsidRPr="00D92BE2">
        <w:t xml:space="preserve">, определени в съответствие с член 5, параграф 5 и член 7, параграф 5, буква г), те ги предоставят на Комисията (Евростат) </w:t>
      </w:r>
      <w:r w:rsidRPr="00D92BE2">
        <w:rPr>
          <w:b/>
          <w:i/>
        </w:rPr>
        <w:t>без неоправдано забавяне, най-късно в рамките на 21 календарни дни след публикуването на национално равнище.</w:t>
      </w:r>
    </w:p>
    <w:p w14:paraId="3967540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 xml:space="preserve">Държавите членки </w:t>
      </w:r>
      <w:r w:rsidRPr="00D92BE2">
        <w:rPr>
          <w:b/>
          <w:i/>
        </w:rPr>
        <w:t>предават</w:t>
      </w:r>
      <w:r w:rsidRPr="00D92BE2">
        <w:t xml:space="preserve"> на Комисията (Евростат):</w:t>
      </w:r>
    </w:p>
    <w:p w14:paraId="4C10087B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ревизирани набори от данни и метаданни, ако е извършено ревизиране след първоначалното предоставяне на изискваните съгласно настоящия регламент набори от данни;</w:t>
      </w:r>
    </w:p>
    <w:p w14:paraId="1E223266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 xml:space="preserve">ревизирани набори от данни и метаданни за съответните динамични редове, ако е извършено ревизиране на набори от данни, които са били предоставени на Комисията (Евростат) преди началото на прилагане на настоящия регламент. </w:t>
      </w:r>
    </w:p>
    <w:p w14:paraId="20F4331F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t xml:space="preserve">Ревизираните набори от данни и метаданни се </w:t>
      </w:r>
      <w:r w:rsidRPr="00D92BE2">
        <w:rPr>
          <w:b/>
          <w:i/>
        </w:rPr>
        <w:t>предават</w:t>
      </w:r>
      <w:r w:rsidRPr="00D92BE2">
        <w:t xml:space="preserve"> в </w:t>
      </w:r>
      <w:r w:rsidRPr="00D92BE2">
        <w:rPr>
          <w:b/>
          <w:i/>
        </w:rPr>
        <w:t>срок от 14 календарни дни след ревизирането</w:t>
      </w:r>
      <w:r w:rsidRPr="00D92BE2">
        <w:t xml:space="preserve"> и се допълват от доклади за качеството в съответствие с член 12.</w:t>
      </w:r>
    </w:p>
    <w:p w14:paraId="5359EB5A" w14:textId="77777777" w:rsidR="008E16FC" w:rsidRPr="00D92BE2" w:rsidRDefault="008E16FC" w:rsidP="00595216">
      <w:pPr>
        <w:spacing w:before="120" w:after="120" w:line="360" w:lineRule="auto"/>
        <w:ind w:left="850" w:firstLine="1"/>
        <w:rPr>
          <w:szCs w:val="24"/>
        </w:rPr>
      </w:pPr>
      <w:r w:rsidRPr="00D92BE2">
        <w:rPr>
          <w:b/>
          <w:i/>
        </w:rPr>
        <w:t>Държавите членки информират без ненужно забавяне Комисията за всяко решение за ревизиране на набори от данни и метаданни.</w:t>
      </w:r>
    </w:p>
    <w:p w14:paraId="3BA6B349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 9</w:t>
      </w:r>
      <w:r w:rsidRPr="00D92BE2">
        <w:br/>
        <w:t>Източници на данни и методи</w:t>
      </w:r>
    </w:p>
    <w:p w14:paraId="0538DE5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Държавите членки и Комисията (Евростат) използват един от следните източници на данни или комбинация от тях, при условие че те позволяват изготвянето на статистически данни, които отговарят на определените в член 12 изисквания по отношение на качеството:</w:t>
      </w:r>
    </w:p>
    <w:p w14:paraId="71B5D1B8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източници на административни данни;</w:t>
      </w:r>
    </w:p>
    <w:p w14:paraId="673B6931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статистически изследвания или други методи за събиране на статистически данни;</w:t>
      </w:r>
    </w:p>
    <w:p w14:paraId="6D3F659F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в)</w:t>
      </w:r>
      <w:r w:rsidRPr="00D92BE2">
        <w:tab/>
        <w:t>други източници, включително частни данни;</w:t>
      </w:r>
    </w:p>
    <w:p w14:paraId="342A8963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lastRenderedPageBreak/>
        <w:t>г)</w:t>
      </w:r>
      <w:r w:rsidRPr="00D92BE2">
        <w:tab/>
        <w:t>повторно използване на данни, получени в резултат на споделяне на данни между националните статистически органи и Комисията (Евростат) в рамките на ЕСС.</w:t>
      </w:r>
    </w:p>
    <w:p w14:paraId="5EE561E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Държавите членки оценяват и наблюдават качеството на своите източници на данни, включително на административните записи и други подходящи използвани източници.</w:t>
      </w:r>
    </w:p>
    <w:p w14:paraId="20EA751A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</w:r>
      <w:r w:rsidRPr="00D92BE2">
        <w:rPr>
          <w:b/>
          <w:i/>
        </w:rPr>
        <w:t xml:space="preserve">Държавите членки се стремят непрекъснато да разработват новаторски източници и методи и да ги използват за подобряване на съставяната съгласно настоящия регламент статистика, при условие че те позволяват изготвянето на статистически данни, които отговарят на определените в член 12 изисквания по отношение на качеството. </w:t>
      </w:r>
      <w:r w:rsidRPr="00D92BE2">
        <w:t>▌</w:t>
      </w:r>
    </w:p>
    <w:p w14:paraId="5D9B1C2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>Съставяната съгласно настоящия регламент статистика се основава на статистически обосновани и добре документирани методи, като се вземат предвид международните препоръки и най-добрите практики, като например методът „признаци за присъствие“ ▌ и други научнообосновани методи за статистическа оценка, използвани за съставянето на съвкупността на населението с обичайно местопребиваване в държавите членки.</w:t>
      </w:r>
    </w:p>
    <w:p w14:paraId="2294808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5.</w:t>
      </w:r>
      <w:r w:rsidRPr="00D92BE2">
        <w:tab/>
      </w:r>
      <w:r w:rsidRPr="00D92BE2">
        <w:rPr>
          <w:b/>
          <w:i/>
        </w:rPr>
        <w:t>При надлежно обосновано искане от страна на Комисията (Евростат)</w:t>
      </w:r>
      <w:r w:rsidRPr="00D92BE2">
        <w:t xml:space="preserve"> държавите членки предоставят на Комисията (Евростат) резултатите от оценката на източниците на данни, документирането на методите и необходимите разяснения.</w:t>
      </w:r>
    </w:p>
    <w:p w14:paraId="36138BE4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10</w:t>
      </w:r>
      <w:r w:rsidRPr="00D92BE2">
        <w:br/>
        <w:t>Своевременен достъп и повторно използване на административни данни</w:t>
      </w:r>
    </w:p>
    <w:p w14:paraId="26EA834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</w:r>
      <w:r w:rsidRPr="00D92BE2">
        <w:rPr>
          <w:b/>
          <w:i/>
        </w:rPr>
        <w:t>В съответствие с член 17а от Регламент (ЕО) № 223/2009</w:t>
      </w:r>
      <w:r w:rsidRPr="00D92BE2">
        <w:t xml:space="preserve"> националните органи, отговарящи за източниците на административни данни, които са от значение за целите на настоящия регламент, разрешават повторното използване на тези данни във време и с честота, достатъчни за изготвяне и представяне на статистически данни в срок и в съответствие със специфичните изисквания по отношение на качеството съгласно настоящия регламент. </w:t>
      </w:r>
      <w:r w:rsidRPr="00D92BE2">
        <w:rPr>
          <w:b/>
          <w:i/>
        </w:rPr>
        <w:t>Националните статистически органи и националните органи, отговарящи за административните записи, създават необходимите механизми за</w:t>
      </w:r>
      <w:r w:rsidRPr="00D92BE2">
        <w:t xml:space="preserve"> сътрудничество </w:t>
      </w:r>
      <w:r w:rsidRPr="00D92BE2">
        <w:rPr>
          <w:b/>
          <w:i/>
        </w:rPr>
        <w:t>с цел своевременен и безплатен достъп до тези записи</w:t>
      </w:r>
      <w:r w:rsidRPr="00D92BE2">
        <w:t>.</w:t>
      </w:r>
    </w:p>
    <w:p w14:paraId="0DBBA971" w14:textId="7956D6B9" w:rsidR="008E16FC" w:rsidRPr="00D92BE2" w:rsidRDefault="008E16FC" w:rsidP="00595216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lastRenderedPageBreak/>
        <w:t>1a.</w:t>
      </w:r>
      <w:r w:rsidRPr="00D92BE2">
        <w:tab/>
      </w:r>
      <w:r w:rsidRPr="00D92BE2">
        <w:rPr>
          <w:b/>
          <w:i/>
        </w:rPr>
        <w:t xml:space="preserve">За целите на изготвянето на статистически данни по подробната тема „Характеристики на сградата, свързани с енергийната ефективност“, националните статистически органи имат своевременен и редовен достъп до националните бази данни за енергийните характеристики на сградите в съответствие с Директива </w:t>
      </w:r>
      <w:r w:rsidR="002515AE">
        <w:rPr>
          <w:b/>
          <w:i/>
        </w:rPr>
        <w:t xml:space="preserve">(ЕС) </w:t>
      </w:r>
      <w:r w:rsidR="00595216">
        <w:rPr>
          <w:b/>
          <w:i/>
        </w:rPr>
        <w:t>2024/1275</w:t>
      </w:r>
      <w:r w:rsidRPr="00D92BE2">
        <w:rPr>
          <w:b/>
          <w:i/>
        </w:rPr>
        <w:t xml:space="preserve"> и имат право да използват повторно административни данни от тези бази данни.</w:t>
      </w:r>
    </w:p>
    <w:p w14:paraId="73601BAE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1б.</w:t>
      </w:r>
      <w:r w:rsidRPr="00D92BE2">
        <w:tab/>
      </w:r>
      <w:r w:rsidRPr="00D92BE2">
        <w:rPr>
          <w:b/>
          <w:i/>
        </w:rPr>
        <w:t>За целите на изготвянето на разбивки на населението по пол националните статистически институти използват информацията, налична в националните източници на административни данни.</w:t>
      </w:r>
    </w:p>
    <w:p w14:paraId="4912D4E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За целите на настоящия регламент, на Комисията (Евростат) се разрешава при поискване своевременен достъп и повторно използване на съответните данни и метаданни от базите данни и системите за оперативна съвместимост, поддържани от органите и агенциите на Съюза, включително съгласно регламенти (ЕС) № 910/2014, (ЕС) 2018/1724 и статистическите данни, съхранявани в централното хранилище за докладване и статистика (ЦХДС)</w:t>
      </w:r>
      <w:r w:rsidRPr="00D92BE2">
        <w:rPr>
          <w:b/>
          <w:i/>
        </w:rPr>
        <w:t>. По-специално, Комисията (Евростат) получава достъп до съхраняваните в ЦХДС данни от оперативно съвместимите широкомащабни информационни системи в пространството на свобода, сигурност и правосъдие</w:t>
      </w:r>
      <w:r w:rsidRPr="00D92BE2">
        <w:t xml:space="preserve"> в съответствие с регламенти (ЕС) 2019/817 и (ЕС) 2019/818 и регламентите за установяване на системите, чиито статистически данни се съхраняват в ЦХДС. За тези цели Комисията (Евростат) продължава да си сътрудничи със съответните органи и агенции на Съюза с цел определяне на персонализираните статистически данни и метаданни, които се изискват, когато това е възможно съгласно правото на Съюза, за европейската статистика за населението и жилищния фонд, оперативните условия за тяхното предоставяне и необходимите съпътстващи физически и логически гаранции.</w:t>
      </w:r>
    </w:p>
    <w:p w14:paraId="727F6588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11</w:t>
      </w:r>
      <w:r w:rsidRPr="00D92BE2">
        <w:br/>
        <w:t>Списъци на държави и територии</w:t>
      </w:r>
    </w:p>
    <w:p w14:paraId="1C66FFA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Когато наборите от данни включват информация по държави или територии, държавите членки използват специфични разбивки за целите на настоящия регламент и на Регламент (ЕО) № 862/2007.</w:t>
      </w:r>
    </w:p>
    <w:p w14:paraId="366A7D3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 xml:space="preserve">Комисията приема актове за изпълнение за уточняване или актуализиране на </w:t>
      </w:r>
      <w:r w:rsidRPr="00D92BE2">
        <w:lastRenderedPageBreak/>
        <w:t xml:space="preserve">списъците на държавите и </w:t>
      </w:r>
      <w:r w:rsidRPr="00D92BE2">
        <w:rPr>
          <w:b/>
          <w:i/>
        </w:rPr>
        <w:t>териториите</w:t>
      </w:r>
      <w:r w:rsidRPr="00D92BE2">
        <w:t>, които се прилагат към разбивките на съставяните съгласно настоящия регламент статистически данни. Тези актове за изпълнение се приемат в съответствие с процедурата по разглеждане, посочена в член 18, параграф 2 от настоящия регламент. ▌</w:t>
      </w:r>
    </w:p>
    <w:p w14:paraId="2E526EC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>Актовете за изпълнение, с които се изменя повече от една трета от категориите за разбивка на държавите или териториите, се прилагат най-рано дванадесет месеца след влизането им в сила.</w:t>
      </w:r>
    </w:p>
    <w:p w14:paraId="2B700921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12</w:t>
      </w:r>
      <w:r w:rsidRPr="00D92BE2">
        <w:br/>
        <w:t>Изисквания по отношение на качеството и докладване за качеството</w:t>
      </w:r>
    </w:p>
    <w:p w14:paraId="041B0C1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 xml:space="preserve">Държавите членки предприемат необходимите мерки за осигуряване на качеството на </w:t>
      </w:r>
      <w:r w:rsidRPr="00D92BE2">
        <w:rPr>
          <w:b/>
          <w:i/>
        </w:rPr>
        <w:t>предаваните</w:t>
      </w:r>
      <w:r w:rsidRPr="00D92BE2">
        <w:t xml:space="preserve"> набори от данни и метаданни.</w:t>
      </w:r>
    </w:p>
    <w:p w14:paraId="1CAC4ED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Държавите членки предприемат подходящи и ефективни мерки за:</w:t>
      </w:r>
    </w:p>
    <w:p w14:paraId="19593838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>прилагане на правилата, свързани с демографската основа в съответствие с определението в член 3, по еднакъв начин и независимо от използваните източници на данни;</w:t>
      </w:r>
    </w:p>
    <w:p w14:paraId="0ECE72F8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обхващане или оценка на труднодостъпни групи от населението;</w:t>
      </w:r>
    </w:p>
    <w:p w14:paraId="211D5788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в)</w:t>
      </w:r>
      <w:r w:rsidRPr="00D92BE2">
        <w:tab/>
        <w:t>контролиране на изчерпателността и точността на обхванатото население в съответствие с член 3;</w:t>
      </w:r>
    </w:p>
    <w:p w14:paraId="7DB3C229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г)</w:t>
      </w:r>
      <w:r w:rsidRPr="00D92BE2">
        <w:tab/>
        <w:t>създаване на рамки, които са подходящи за целите на настоящия регламент и на член 12 от Регламент (ЕС) 2019/1700;</w:t>
      </w:r>
    </w:p>
    <w:p w14:paraId="742CA337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д)</w:t>
      </w:r>
      <w:r w:rsidRPr="00D92BE2">
        <w:tab/>
        <w:t>избягване на възможни рискове от недостатъчно или двойно отчитане, свързани със свободното движение на хора в Съюза, достъпа на лица до трансгранични услуги, свързани с основни демографски събития, и правата на лицата да извършват трансгранични покупки и да притежават и да използват жилищни имоти в целия Съюз</w:t>
      </w:r>
      <w:r w:rsidRPr="00D92BE2">
        <w:rPr>
          <w:b/>
          <w:i/>
        </w:rPr>
        <w:t>, като например чрез въвеждането на единни цифрови идентификатори</w:t>
      </w:r>
      <w:r w:rsidRPr="00D92BE2">
        <w:t>;</w:t>
      </w:r>
    </w:p>
    <w:p w14:paraId="6F7E6CCA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е)</w:t>
      </w:r>
      <w:r w:rsidRPr="00D92BE2">
        <w:tab/>
      </w:r>
      <w:r w:rsidRPr="00D92BE2">
        <w:rPr>
          <w:b/>
          <w:i/>
        </w:rPr>
        <w:t>избягване на възможни рискове от недостатъчно или двойно отчитане и осигуряване на по-добра съпоставимост</w:t>
      </w:r>
      <w:r w:rsidRPr="00D92BE2">
        <w:t xml:space="preserve"> на миграционните потоци;</w:t>
      </w:r>
    </w:p>
    <w:p w14:paraId="60206C4E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ж)</w:t>
      </w:r>
      <w:r w:rsidRPr="00D92BE2">
        <w:tab/>
        <w:t xml:space="preserve">предоставяне на Комисията (Евростат) на всички данни, необходими за </w:t>
      </w:r>
      <w:r w:rsidRPr="00D92BE2">
        <w:lastRenderedPageBreak/>
        <w:t>осигуряване на пълнотата на публикуваната европейска статистика.</w:t>
      </w:r>
    </w:p>
    <w:p w14:paraId="56E7CDF7" w14:textId="77777777" w:rsidR="008E16FC" w:rsidRPr="00D92BE2" w:rsidRDefault="008E16FC" w:rsidP="008E16FC">
      <w:pPr>
        <w:spacing w:before="120" w:after="120" w:line="360" w:lineRule="auto"/>
        <w:ind w:left="851" w:hanging="851"/>
        <w:rPr>
          <w:szCs w:val="24"/>
        </w:rPr>
      </w:pPr>
      <w:r w:rsidRPr="00D92BE2">
        <w:rPr>
          <w:b/>
          <w:i/>
        </w:rPr>
        <w:t>2a.</w:t>
      </w:r>
      <w:r w:rsidRPr="00D92BE2">
        <w:tab/>
      </w:r>
      <w:r w:rsidRPr="00D92BE2">
        <w:rPr>
          <w:b/>
          <w:i/>
        </w:rPr>
        <w:t>Комисията (Евростат) оценява качеството на метаданните за спецификациите и на данните с оглед, наред с другото, на публикуването им по лесен за ползване начин на уебсайта на Комисията (Евростат).</w:t>
      </w:r>
    </w:p>
    <w:p w14:paraId="15D5709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>Държавите членки предават на Комисията (Евростат) за първи път до 31 март 2027 г. и всяка следваща година, завършваща на „0“, „3“ или „7“, доклад за качеството, в който се описва качеството на предоставените статистически данни и статистическите процеси за предоставените през периода набори от данни</w:t>
      </w:r>
      <w:r w:rsidRPr="00D92BE2">
        <w:rPr>
          <w:b/>
          <w:i/>
        </w:rPr>
        <w:t>. Тези доклади за качеството включват информация</w:t>
      </w:r>
      <w:r w:rsidRPr="00D92BE2">
        <w:t xml:space="preserve"> за използваните източници на данни и методи, прилагането на понятията и определенията и свързаните с тях възможни въздействия върху качеството на избраните източници на данни, ревизирането на данните и причините за него и неговото въздействие, </w:t>
      </w:r>
      <w:r w:rsidRPr="00D92BE2">
        <w:rPr>
          <w:b/>
          <w:i/>
        </w:rPr>
        <w:t xml:space="preserve">както и </w:t>
      </w:r>
      <w:r w:rsidRPr="00D92BE2">
        <w:t>методите за контрол на оповестяването на статистически данни.</w:t>
      </w:r>
      <w:r w:rsidRPr="00D92BE2">
        <w:rPr>
          <w:b/>
          <w:i/>
        </w:rPr>
        <w:t xml:space="preserve"> В докладите за качеството също така се описва подробно как държавите членки са приложили мерките</w:t>
      </w:r>
      <w:r w:rsidRPr="00D92BE2">
        <w:t xml:space="preserve">, посочени в параграф </w:t>
      </w:r>
      <w:r w:rsidRPr="00D92BE2">
        <w:rPr>
          <w:b/>
          <w:i/>
        </w:rPr>
        <w:t>1, и как са изпълнени критериите за качество</w:t>
      </w:r>
      <w:r w:rsidRPr="00D92BE2">
        <w:t xml:space="preserve">, посочени в параграф </w:t>
      </w:r>
      <w:r w:rsidRPr="00D92BE2">
        <w:rPr>
          <w:b/>
          <w:i/>
        </w:rPr>
        <w:t>2</w:t>
      </w:r>
      <w:r w:rsidRPr="00D92BE2">
        <w:t>.</w:t>
      </w:r>
    </w:p>
    <w:p w14:paraId="384C63D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 xml:space="preserve">Комисията приема актове за изпълнение за установяване на практическите условия по отношение на докладите за качеството и тяхното съдържание. </w:t>
      </w:r>
    </w:p>
    <w:p w14:paraId="659ED791" w14:textId="77777777" w:rsidR="008E16FC" w:rsidRPr="00D92BE2" w:rsidRDefault="008E16FC" w:rsidP="008E16FC">
      <w:pPr>
        <w:spacing w:before="120" w:after="120" w:line="360" w:lineRule="auto"/>
        <w:ind w:left="850" w:hanging="130"/>
        <w:rPr>
          <w:szCs w:val="24"/>
        </w:rPr>
      </w:pPr>
      <w:r w:rsidRPr="00D92BE2">
        <w:t xml:space="preserve">Тези актове за изпълнение </w:t>
      </w:r>
      <w:r w:rsidRPr="00D92BE2">
        <w:rPr>
          <w:b/>
          <w:i/>
        </w:rPr>
        <w:t>не налагат значителна допълнителна тежест и разходи за държавите членки</w:t>
      </w:r>
      <w:r w:rsidRPr="00D92BE2">
        <w:t xml:space="preserve">. </w:t>
      </w:r>
    </w:p>
    <w:p w14:paraId="19C0B2D0" w14:textId="77777777" w:rsidR="008E16FC" w:rsidRPr="00D92BE2" w:rsidRDefault="008E16FC" w:rsidP="008E16FC">
      <w:pPr>
        <w:spacing w:before="120" w:after="120" w:line="360" w:lineRule="auto"/>
        <w:ind w:left="850" w:hanging="130"/>
        <w:rPr>
          <w:szCs w:val="24"/>
        </w:rPr>
      </w:pPr>
      <w:r w:rsidRPr="00D92BE2">
        <w:t>Те се приемат в съответствие с процедурата по разглеждане, посочена в член 18, параграф 2.</w:t>
      </w:r>
    </w:p>
    <w:p w14:paraId="1098A6F0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4a.</w:t>
      </w:r>
      <w:r w:rsidRPr="00D92BE2">
        <w:tab/>
      </w:r>
      <w:r w:rsidRPr="00D92BE2">
        <w:rPr>
          <w:b/>
          <w:i/>
        </w:rPr>
        <w:t>Всички значителни адаптации, предвидени в такива актове за изпълнение, могат да бъдат предмет на финансова и техническа подкрепа съгласно член 15 или на дерогация съгласно член 19, параграф 1а.</w:t>
      </w:r>
    </w:p>
    <w:p w14:paraId="4B4902B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5.</w:t>
      </w:r>
      <w:r w:rsidRPr="00D92BE2">
        <w:tab/>
        <w:t>Държавите членки уведомяват Комисията (Евростат) възможно най-скоро за всяка информация или промени от значение във връзка с изпълнението на настоящия регламент, които биха повлияли върху качеството на предоставяните статистически данни</w:t>
      </w:r>
      <w:r w:rsidRPr="00D92BE2">
        <w:rPr>
          <w:b/>
          <w:i/>
        </w:rPr>
        <w:t>, и предприемат мерки за разрешаване на въпроса без неоправдано забавяне</w:t>
      </w:r>
      <w:r w:rsidRPr="00D92BE2">
        <w:t>.</w:t>
      </w:r>
    </w:p>
    <w:p w14:paraId="4AF9921A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6.</w:t>
      </w:r>
      <w:r w:rsidRPr="00D92BE2">
        <w:tab/>
        <w:t xml:space="preserve">По </w:t>
      </w:r>
      <w:r w:rsidRPr="00D92BE2">
        <w:rPr>
          <w:b/>
          <w:i/>
        </w:rPr>
        <w:t>надлежно обосновано</w:t>
      </w:r>
      <w:r w:rsidRPr="00D92BE2">
        <w:t xml:space="preserve"> искане </w:t>
      </w:r>
      <w:r w:rsidRPr="00D92BE2">
        <w:rPr>
          <w:b/>
          <w:i/>
        </w:rPr>
        <w:t>от страна</w:t>
      </w:r>
      <w:r w:rsidRPr="00D92BE2">
        <w:t xml:space="preserve"> на Комисията (Евростат) </w:t>
      </w:r>
      <w:r w:rsidRPr="00D92BE2">
        <w:lastRenderedPageBreak/>
        <w:t xml:space="preserve">държавите членки предоставят без неоправдано забавяне необходимите допълнителни пояснения за оценяване на качеството на </w:t>
      </w:r>
      <w:r w:rsidRPr="00D92BE2">
        <w:rPr>
          <w:b/>
          <w:i/>
        </w:rPr>
        <w:t>статистическата информация, като например резултатите от оценката на източниците на данни и документацията за методите</w:t>
      </w:r>
      <w:r w:rsidRPr="00D92BE2">
        <w:t>.</w:t>
      </w:r>
    </w:p>
    <w:p w14:paraId="6366B9B3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13</w:t>
      </w:r>
      <w:r w:rsidRPr="00D92BE2">
        <w:br/>
        <w:t>Споделяне на данни</w:t>
      </w:r>
    </w:p>
    <w:p w14:paraId="76EEE21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</w:r>
      <w:r w:rsidRPr="00D92BE2">
        <w:rPr>
          <w:b/>
          <w:i/>
        </w:rPr>
        <w:t>Целта на споделянето на данни между националните статистически институти и други</w:t>
      </w:r>
      <w:r w:rsidRPr="00D92BE2">
        <w:t xml:space="preserve"> национални органи</w:t>
      </w:r>
      <w:r w:rsidRPr="00D92BE2">
        <w:rPr>
          <w:b/>
          <w:i/>
        </w:rPr>
        <w:t>, включени в списъка, посочен в член 5, параграф 2 от Регламент (ЕО) № 223/2009 (национални статистически органи)</w:t>
      </w:r>
      <w:r w:rsidRPr="00D92BE2">
        <w:t xml:space="preserve">, както и между тези национални </w:t>
      </w:r>
      <w:r w:rsidRPr="00D92BE2">
        <w:rPr>
          <w:b/>
          <w:i/>
        </w:rPr>
        <w:t>статистически</w:t>
      </w:r>
      <w:r w:rsidRPr="00D92BE2">
        <w:t xml:space="preserve"> органи и Комисията (Евростат), </w:t>
      </w:r>
      <w:r w:rsidRPr="00D92BE2">
        <w:rPr>
          <w:b/>
          <w:i/>
        </w:rPr>
        <w:t>е изключително</w:t>
      </w:r>
      <w:r w:rsidRPr="00D92BE2">
        <w:t xml:space="preserve"> разработването и изготвянето на европейска статистика, която попада в приложното поле на настоящия регламент, и ▌подобряването на нейното качество.</w:t>
      </w:r>
    </w:p>
    <w:p w14:paraId="456472E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За целите на сигурността на споделянето на данни в рамките на ЕСС, се въвеждат всички необходими гаранции</w:t>
      </w:r>
      <w:r w:rsidRPr="00D92BE2">
        <w:rPr>
          <w:b/>
          <w:i/>
        </w:rPr>
        <w:t>, включително сигурна инфраструктура за споделяне на данни,</w:t>
      </w:r>
      <w:r w:rsidRPr="00D92BE2">
        <w:t xml:space="preserve"> по отношение на физическата</w:t>
      </w:r>
      <w:r w:rsidRPr="00D92BE2">
        <w:rPr>
          <w:b/>
          <w:i/>
        </w:rPr>
        <w:t>, техническата</w:t>
      </w:r>
      <w:r w:rsidRPr="00D92BE2">
        <w:t xml:space="preserve"> и логическата защита на данните. Комисията (Евростат) създава сигурна инфраструктура за улесняване на споделянето на данни по параграф 1. Националните </w:t>
      </w:r>
      <w:r w:rsidRPr="00D92BE2">
        <w:rPr>
          <w:b/>
          <w:i/>
        </w:rPr>
        <w:t>статистически</w:t>
      </w:r>
      <w:r w:rsidRPr="00D92BE2">
        <w:t xml:space="preserve"> органи </w:t>
      </w:r>
      <w:r w:rsidRPr="00D92BE2">
        <w:rPr>
          <w:b/>
          <w:i/>
        </w:rPr>
        <w:t>могат да използват тази сигурна инфраструктура за споделяне на данни за целите, посочени в параграф 1. Комисията (Евростат) и националните статистически органи, които</w:t>
      </w:r>
      <w:r w:rsidRPr="00D92BE2">
        <w:t xml:space="preserve"> използват тази сигурна инфраструктура за споделяне на данни за </w:t>
      </w:r>
      <w:r w:rsidRPr="00D92BE2">
        <w:rPr>
          <w:b/>
          <w:i/>
        </w:rPr>
        <w:t>обработване на лични данни в съответствие с</w:t>
      </w:r>
      <w:r w:rsidRPr="00D92BE2">
        <w:t xml:space="preserve"> параграф </w:t>
      </w:r>
      <w:r w:rsidRPr="00D92BE2">
        <w:rPr>
          <w:b/>
          <w:i/>
        </w:rPr>
        <w:t>3, се считат за съвместни администратори за обработването на лични данни в сигурната инфраструктура за споделяне на данни. В случай че националните статистически органи използват друга инфраструктура за споделяне на данни, те гарантират, че тази инфраструктура осигурява сигурност, която е поне равностойна на тази, създадена от Комисията (Евростат)</w:t>
      </w:r>
      <w:r w:rsidRPr="00D92BE2">
        <w:t>.</w:t>
      </w:r>
    </w:p>
    <w:p w14:paraId="399A07E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>Когато съответните данни са поверителни данни по смисъла на член 3, точка 7 от Регламент (ЕО) № 223/2009 или лични данни съгласно регламенти (ЕС) 2016/679 и (ЕС) 2018/1725, споделянето на тези данни ▌ може да се извършва на доброволен принцип, при условие че е:</w:t>
      </w:r>
    </w:p>
    <w:p w14:paraId="652EE56A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lastRenderedPageBreak/>
        <w:t>а)</w:t>
      </w:r>
      <w:r w:rsidRPr="00D92BE2">
        <w:tab/>
        <w:t>въз основа на искане с обоснована необходимост от споделянето на данни за всеки отделен случай, по-специално по отношение на въпросите за качеството, които трябва да бъдат конкретно разгледани;</w:t>
      </w:r>
    </w:p>
    <w:p w14:paraId="5323F6F0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▌ въз основа на технологии за подобряване на неприкосновеността на личния живот, които са специално разработени за прилагане на принципите на регламенти (ЕС) 2016/679 и (ЕС) 2018/1725, като се обръща специално внимание на ограничението на целите, свеждането на данните до минимум, ограничението на съхранението, целостта и поверителността;</w:t>
      </w:r>
    </w:p>
    <w:p w14:paraId="25C53074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в)</w:t>
      </w:r>
      <w:r w:rsidRPr="00D92BE2">
        <w:tab/>
        <w:t>без да се засягат разпоредбите на глава V от Регламент (ЕО) № 223/2009.</w:t>
      </w:r>
    </w:p>
    <w:p w14:paraId="18E08EC3" w14:textId="77777777" w:rsidR="008E16FC" w:rsidRPr="00D92BE2" w:rsidRDefault="008E16FC" w:rsidP="00595216">
      <w:pPr>
        <w:spacing w:before="120" w:after="120" w:line="360" w:lineRule="auto"/>
        <w:ind w:left="851" w:hanging="851"/>
        <w:rPr>
          <w:szCs w:val="24"/>
        </w:rPr>
      </w:pPr>
      <w:r w:rsidRPr="00D92BE2">
        <w:rPr>
          <w:b/>
          <w:i/>
        </w:rPr>
        <w:t>3a.</w:t>
      </w:r>
      <w:r w:rsidRPr="00D92BE2">
        <w:tab/>
      </w:r>
      <w:r w:rsidRPr="00D92BE2">
        <w:rPr>
          <w:b/>
          <w:i/>
        </w:rPr>
        <w:t>За целите на споделянето на данни, посочено в параграф 1, неповерителни данни се споделят между националните статистически институти и други национални органи на различни държави членки, както и между тези национални статистически органи и Комисията (Евростат).</w:t>
      </w:r>
    </w:p>
    <w:p w14:paraId="79D1804A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 xml:space="preserve">Комисията (Евростат) и държавите членки изпитват и оценяват чрез пилотни проучвания </w:t>
      </w:r>
      <w:r w:rsidRPr="00D92BE2">
        <w:rPr>
          <w:b/>
          <w:i/>
        </w:rPr>
        <w:t>инфраструктурата и</w:t>
      </w:r>
      <w:r w:rsidRPr="00D92BE2">
        <w:t xml:space="preserve"> пригодността на съответните технологии за подобряване на неприкосновеността на личния живот за споделянето на данни.</w:t>
      </w:r>
    </w:p>
    <w:p w14:paraId="7533929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5.</w:t>
      </w:r>
      <w:r w:rsidRPr="00D92BE2">
        <w:tab/>
        <w:t>Когато с пилотните проучвания, проведени съгласно параграф 4 от настоящия член, се установят ефективни и сигурни решения за споделяне на данни за целите, посочени в параграф 1 от настоящия член, Комисията може да приеме актове за изпълнение за определяне на техническите спецификации за споделянето на данни и мерки за поверителност и сигурност на информацията. Тези актове за изпълнение се приемат в съответствие с процедурата по разглеждане, посочена в член 18, параграф 2.</w:t>
      </w:r>
    </w:p>
    <w:p w14:paraId="568B807F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14</w:t>
      </w:r>
      <w:r w:rsidRPr="00D92BE2">
        <w:br/>
        <w:t>Пилотни проучвания и проучвания за осъществимост</w:t>
      </w:r>
    </w:p>
    <w:p w14:paraId="40CD79A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Когато е необходимо и целесъобразно за целите на настоящия регламент, Комисията (Евростат) провежда пилотни проучвания и проучвания за осъществимост, които имат за цел:</w:t>
      </w:r>
    </w:p>
    <w:p w14:paraId="25C0DCA1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  <w:t xml:space="preserve">оценка на наличността на източници на данни и тяхното качество, включително на публични и частни данни в държавите членки и на </w:t>
      </w:r>
      <w:r w:rsidRPr="00D92BE2">
        <w:lastRenderedPageBreak/>
        <w:t>равнището на Съюза;</w:t>
      </w:r>
    </w:p>
    <w:p w14:paraId="72DCC19C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разработване и оценка на осъществимостта на въвеждането на нови ▌ подробни теми, статистически единици, променливи и техни разбивки;</w:t>
      </w:r>
    </w:p>
    <w:p w14:paraId="19FC758F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rPr>
          <w:b/>
          <w:i/>
        </w:rPr>
        <w:t>ба)</w:t>
      </w:r>
      <w:r w:rsidRPr="00D92BE2">
        <w:tab/>
      </w:r>
      <w:r w:rsidRPr="00D92BE2">
        <w:rPr>
          <w:b/>
          <w:i/>
        </w:rPr>
        <w:t xml:space="preserve">оценка на наличието на източници на данни и усъвършенстване на методите за предоставяне на статистически данни за уврежданията на хората и тестване на </w:t>
      </w:r>
      <w:proofErr w:type="spellStart"/>
      <w:r w:rsidRPr="00D92BE2">
        <w:rPr>
          <w:b/>
          <w:i/>
        </w:rPr>
        <w:t>дезагрегирани</w:t>
      </w:r>
      <w:proofErr w:type="spellEnd"/>
      <w:r w:rsidRPr="00D92BE2">
        <w:rPr>
          <w:b/>
          <w:i/>
        </w:rPr>
        <w:t xml:space="preserve"> статистически данни, включително тяхната съпоставимост, в съответствие с националното законодателство и практика за защита на данните и контрол на оповестяването;</w:t>
      </w:r>
    </w:p>
    <w:p w14:paraId="0536BA68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в)</w:t>
      </w:r>
      <w:r w:rsidRPr="00D92BE2">
        <w:tab/>
        <w:t xml:space="preserve">разработване на нови методологии и статистически техники за повишаване на качеството </w:t>
      </w:r>
      <w:r w:rsidRPr="00D92BE2">
        <w:rPr>
          <w:b/>
          <w:i/>
        </w:rPr>
        <w:t>и подобряване на информацията за труднодостъпни групи от населението</w:t>
      </w:r>
      <w:r w:rsidRPr="00D92BE2">
        <w:t>;</w:t>
      </w:r>
    </w:p>
    <w:p w14:paraId="1F99D7E3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г)</w:t>
      </w:r>
      <w:r w:rsidRPr="00D92BE2">
        <w:tab/>
        <w:t xml:space="preserve">намаляване на </w:t>
      </w:r>
      <w:r w:rsidRPr="00D92BE2">
        <w:rPr>
          <w:b/>
          <w:i/>
        </w:rPr>
        <w:t>несъответствията в данните</w:t>
      </w:r>
      <w:r w:rsidRPr="00D92BE2">
        <w:t xml:space="preserve"> за миграционните потоци </w:t>
      </w:r>
      <w:r w:rsidRPr="00D92BE2">
        <w:rPr>
          <w:b/>
          <w:i/>
        </w:rPr>
        <w:t>и осигуряване на тяхната по-добра съпоставимост</w:t>
      </w:r>
      <w:r w:rsidRPr="00D92BE2">
        <w:t>;</w:t>
      </w:r>
    </w:p>
    <w:p w14:paraId="6BFBEA77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rPr>
          <w:b/>
          <w:i/>
        </w:rPr>
        <w:t>га)</w:t>
      </w:r>
      <w:r w:rsidRPr="00D92BE2">
        <w:tab/>
      </w:r>
      <w:r w:rsidRPr="00D92BE2">
        <w:rPr>
          <w:b/>
          <w:i/>
        </w:rPr>
        <w:t>намаляване на възможното недостатъчно или двойно отчитане на хора;</w:t>
      </w:r>
    </w:p>
    <w:p w14:paraId="3A5ED09D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д)</w:t>
      </w:r>
      <w:r w:rsidRPr="00D92BE2">
        <w:tab/>
        <w:t xml:space="preserve">изпитване и оценка на </w:t>
      </w:r>
      <w:r w:rsidRPr="00D92BE2">
        <w:rPr>
          <w:b/>
          <w:i/>
        </w:rPr>
        <w:t>инфраструктурата и</w:t>
      </w:r>
      <w:r w:rsidRPr="00D92BE2">
        <w:t xml:space="preserve"> пригодността на съответните технологии за подобряване на неприкосновеността на личния живот за сигурно споделяне на данни в рамките на ЕСС в съответствие с член 13, параграф 4.</w:t>
      </w:r>
    </w:p>
    <w:p w14:paraId="6275FAC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Държавите членки могат да участват в проучванията, но заедно с Комисията (Евростат) гарантират представителността на проучванията на равнището на Съюза.</w:t>
      </w:r>
    </w:p>
    <w:p w14:paraId="632201F9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>Резултатите от проучванията се оценяват от Комисията (Евростат) в сътрудничество с държавите членки. Комисията (Евростат) изготвя в сътрудничество с държавите членки доклади относно резултатите от проучванията.</w:t>
      </w:r>
    </w:p>
    <w:p w14:paraId="2AB2A651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15</w:t>
      </w:r>
      <w:r w:rsidRPr="00D92BE2">
        <w:br/>
        <w:t>Финансиране</w:t>
      </w:r>
    </w:p>
    <w:p w14:paraId="22A34ABE" w14:textId="0D3B2F7C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</w:r>
      <w:r w:rsidRPr="00D92BE2">
        <w:rPr>
          <w:b/>
          <w:i/>
        </w:rPr>
        <w:t>Що се отнася до прилагането на настоящия регламент</w:t>
      </w:r>
      <w:r w:rsidRPr="00D92BE2">
        <w:t xml:space="preserve">, на националните статистически органи, посочени в член 5, параграф 2 от Регламент (ЕО) № </w:t>
      </w:r>
      <w:r w:rsidRPr="00D92BE2">
        <w:lastRenderedPageBreak/>
        <w:t xml:space="preserve">223/2009, се </w:t>
      </w:r>
      <w:r w:rsidRPr="00D92BE2">
        <w:rPr>
          <w:b/>
          <w:i/>
        </w:rPr>
        <w:t>предоставя</w:t>
      </w:r>
      <w:r w:rsidRPr="00D92BE2">
        <w:t xml:space="preserve"> финансова помощ </w:t>
      </w:r>
      <w:r w:rsidRPr="00D92BE2">
        <w:rPr>
          <w:b/>
          <w:i/>
        </w:rPr>
        <w:t>по програма „Единен пазар“, създадена с Регламент (ЕС) 2021/690 , в съответствие с Регламент (ЕС, Евратом) 2018/1046,</w:t>
      </w:r>
      <w:r w:rsidRPr="00D92BE2">
        <w:t xml:space="preserve"> за:</w:t>
      </w:r>
    </w:p>
    <w:p w14:paraId="6D772247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а)</w:t>
      </w:r>
      <w:r w:rsidRPr="00D92BE2">
        <w:tab/>
      </w:r>
      <w:r w:rsidRPr="00D92BE2">
        <w:rPr>
          <w:b/>
          <w:i/>
        </w:rPr>
        <w:t>адаптирането на инфраструктурата и обучение в националната статистическа система, необходими за</w:t>
      </w:r>
      <w:r w:rsidRPr="00D92BE2">
        <w:t xml:space="preserve"> разработването и прилагането на нови или усъвършенствани източници на данни, методологии, споделяне на данни, статистически единици, теми, подробни теми, променливи и техни разбивки;</w:t>
      </w:r>
    </w:p>
    <w:p w14:paraId="0E6AF408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proofErr w:type="spellStart"/>
      <w:r w:rsidRPr="00D92BE2">
        <w:rPr>
          <w:b/>
          <w:i/>
        </w:rPr>
        <w:t>aa</w:t>
      </w:r>
      <w:proofErr w:type="spellEnd"/>
      <w:r w:rsidRPr="00D92BE2">
        <w:rPr>
          <w:b/>
          <w:i/>
        </w:rPr>
        <w:t>)</w:t>
      </w:r>
      <w:r w:rsidRPr="00D92BE2">
        <w:tab/>
      </w:r>
      <w:r w:rsidRPr="00D92BE2">
        <w:rPr>
          <w:b/>
          <w:i/>
        </w:rPr>
        <w:t>подготовката и изпълнението на ad hoc събирането на данни, както е посочено в член 7;</w:t>
      </w:r>
    </w:p>
    <w:p w14:paraId="3820A2A9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б)</w:t>
      </w:r>
      <w:r w:rsidRPr="00D92BE2">
        <w:tab/>
        <w:t>участието на държавите членки в представителни пилотни проучвания и проучвания за осъществимост съгласно в член 14.</w:t>
      </w:r>
    </w:p>
    <w:p w14:paraId="570CF95F" w14:textId="77777777" w:rsidR="008E16FC" w:rsidRPr="00D92BE2" w:rsidRDefault="008E16FC" w:rsidP="008E16FC">
      <w:pPr>
        <w:spacing w:before="120" w:after="120" w:line="360" w:lineRule="auto"/>
        <w:ind w:left="851" w:hanging="851"/>
        <w:rPr>
          <w:szCs w:val="24"/>
        </w:rPr>
      </w:pPr>
      <w:r w:rsidRPr="00D92BE2">
        <w:rPr>
          <w:b/>
          <w:i/>
        </w:rPr>
        <w:t>1a.</w:t>
      </w:r>
      <w:r w:rsidRPr="00D92BE2">
        <w:tab/>
      </w:r>
      <w:r w:rsidRPr="00D92BE2">
        <w:rPr>
          <w:b/>
          <w:i/>
        </w:rPr>
        <w:t>Размерът на финансовата помощ от Съюза по настоящия член се определя в съответствие с правилата на програмата „Единен пазар“ като част от годишната бюджетна процедура, в зависимост от наличното финансиране.</w:t>
      </w:r>
    </w:p>
    <w:p w14:paraId="27C79265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rPr>
          <w:b/>
          <w:i/>
        </w:rPr>
        <w:t>Освен това националните статистически органи, посочени в член 5, параграф 2 от Регламент (ЕО) № 223/2009, могат да кандидатстват за подкрепа по други приложими финансови програми на Европейския съюз в съответствие с правилата на тези програми. Държавите членки могат също така да кандидатстват за подпомагане от Инструмента за техническа помощ за подобряване на качеството на статистичката и за разработване на методологии в съответствие с изискванията на настоящия регламент съгласно правилата на Инструмента за техническа помощ и неговата цел за поощряване на изготвянето, предоставянето и мониторинга на качеството на данните и статистическата информация.</w:t>
      </w:r>
    </w:p>
    <w:p w14:paraId="2E48013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Финансовият принос на Съюза не може да надвишава 90 % от допустимите разходи.</w:t>
      </w:r>
    </w:p>
    <w:p w14:paraId="1B634A43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 16</w:t>
      </w:r>
      <w:r w:rsidRPr="00D92BE2">
        <w:br/>
        <w:t>Защита на финансовите интереси на Съюза</w:t>
      </w:r>
    </w:p>
    <w:p w14:paraId="4B24B76B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 xml:space="preserve">Когато трета държава участва във финансираните по настоящия регламент действия въз </w:t>
      </w:r>
      <w:r w:rsidRPr="00D92BE2">
        <w:lastRenderedPageBreak/>
        <w:t>основа на решение, прието съгласно международно споразумение, или въз основа на друг правен инструмент, третата държава предоставя правата и достъпа, необходими на отговорния разпоредител с бюджетни кредити, Европейската служба за борба с измамите (OLAF), Сметната палата и Европейската прокуратура, за да упражняват в пълна степен съответните си правомощия. По отношение на OLAF тези права включват правото да се извършват разследвания, включително проверки и инспекции на място, в съответствие с Регламент (ЕС, Евратом) № 883/2013.</w:t>
      </w:r>
    </w:p>
    <w:p w14:paraId="5A9D5DDC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17</w:t>
      </w:r>
      <w:r w:rsidRPr="00D92BE2">
        <w:br/>
        <w:t>Упражняване на делегирането</w:t>
      </w:r>
    </w:p>
    <w:p w14:paraId="6226A08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Правомощието да приема делегирани актове се предоставя на Комисията при спазване на предвидените в настоящия член условия.</w:t>
      </w:r>
    </w:p>
    <w:p w14:paraId="7EE9528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Правомощието да приема делегирани актове, посочено в член 5, параграф 3, член 6, параграф 6 и член 7, параграф 2, се предоставя на Комисията за неопределен срок, считано от [ОВ: моля, въведете датата на влизане в сила на настоящия регламент].</w:t>
      </w:r>
    </w:p>
    <w:p w14:paraId="5810E08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 xml:space="preserve">Делегирането на правомощия, посочено в член 5, параграф 3, член 6, параграф 6 и член 7, параграф 2, може да бъде оттеглено по всяко време от Европейския парламент или от Съвета. С решението за оттегляне се прекратява посоченото в него делегиране на правомощия. Оттеглянето поражда действие в деня след публикуването на решението в </w:t>
      </w:r>
      <w:r w:rsidRPr="00724CFC">
        <w:rPr>
          <w:i/>
        </w:rPr>
        <w:t>Официален вестник на Европейския съюз</w:t>
      </w:r>
      <w:r w:rsidRPr="00D92BE2">
        <w:t xml:space="preserve"> или на по-късна дата, посочена в решението. То не засяга действителността на делегираните актове, които вече са в сила.</w:t>
      </w:r>
    </w:p>
    <w:p w14:paraId="1A83B92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>Преди приемането на делегиран акт Комисията се консултира с експерти, определени от всяка държава членка в съответствие с принципите, залегнали в Междуинституционалното споразумение от 13 април 2016 г. за по-добро законотворчество</w:t>
      </w:r>
      <w:r w:rsidRPr="00D92BE2">
        <w:rPr>
          <w:b/>
          <w:i/>
        </w:rPr>
        <w:t>, и информира Европейския парламент за подготвителната си работа</w:t>
      </w:r>
      <w:r w:rsidRPr="00D92BE2">
        <w:t>.</w:t>
      </w:r>
    </w:p>
    <w:p w14:paraId="4A63A40D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5.</w:t>
      </w:r>
      <w:r w:rsidRPr="00D92BE2">
        <w:tab/>
        <w:t>Веднага след като приеме делегиран акт, Комисията нотифицира акта едновременно на Европейския парламент и на Съвета.</w:t>
      </w:r>
    </w:p>
    <w:p w14:paraId="6B99631B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6.</w:t>
      </w:r>
      <w:r w:rsidRPr="00D92BE2">
        <w:tab/>
        <w:t xml:space="preserve">Делегиран акт, приет съгласно член 5, параграф 3, член 6, параграф 6 и член 7, параграф 2 влиза в сила единствено ако нито Европейският парламент, нито Съветът са представили възражения в срок от два месеца след нотифицирането </w:t>
      </w:r>
      <w:r w:rsidRPr="00D92BE2">
        <w:lastRenderedPageBreak/>
        <w:t>на акта на Европейския парламент и Съвета или ако преди изтичането на този срок и Европейският парламент, и Съветът са уведомили Комисията, че няма да представят възражения. Посоченият срок се удължава с два месеца по инициатива на Европейския парламент или на Съвета.</w:t>
      </w:r>
    </w:p>
    <w:p w14:paraId="767C0196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18</w:t>
      </w:r>
      <w:r w:rsidRPr="00D92BE2">
        <w:br/>
        <w:t>Процедура на комитет</w:t>
      </w:r>
    </w:p>
    <w:p w14:paraId="0E55BE39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>Комисията се подпомага от Комитета на Европейската статистическа система (Комитет на ЕСС), създаден с член 7 от Регламент (ЕО) № 223/2009. Този комитет е комитет по смисъла на Регламент (ЕС) № 182/2011.</w:t>
      </w:r>
    </w:p>
    <w:p w14:paraId="0A6F4563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При позоваване на настоящия параграф се прилага член 5 от Регламент (ЕС) № 182/2011.</w:t>
      </w:r>
    </w:p>
    <w:p w14:paraId="69C58EAD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 19</w:t>
      </w:r>
      <w:r w:rsidRPr="00D92BE2">
        <w:br/>
        <w:t>Дерогации</w:t>
      </w:r>
    </w:p>
    <w:p w14:paraId="5AFF6707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1.</w:t>
      </w:r>
      <w:r w:rsidRPr="00D92BE2">
        <w:tab/>
        <w:t xml:space="preserve">Когато прилагането на настоящия регламент ▌ изисква извършването на значителни адаптации в националната статистическа система на дадена държава членка, Комисията може да предостави чрез актове за изпълнение дерогации на </w:t>
      </w:r>
      <w:r w:rsidRPr="00D92BE2">
        <w:rPr>
          <w:b/>
          <w:i/>
        </w:rPr>
        <w:t>тази</w:t>
      </w:r>
      <w:r w:rsidRPr="00D92BE2">
        <w:t xml:space="preserve"> държава членка за максимален срок от </w:t>
      </w:r>
      <w:r w:rsidRPr="00D92BE2">
        <w:rPr>
          <w:b/>
          <w:i/>
        </w:rPr>
        <w:t>седем</w:t>
      </w:r>
      <w:r w:rsidRPr="00D92BE2">
        <w:t xml:space="preserve"> години.</w:t>
      </w:r>
    </w:p>
    <w:p w14:paraId="13204BC4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rPr>
          <w:b/>
          <w:i/>
        </w:rPr>
        <w:t>1a.</w:t>
      </w:r>
      <w:r w:rsidRPr="00D92BE2">
        <w:tab/>
      </w:r>
      <w:r w:rsidRPr="00D92BE2">
        <w:rPr>
          <w:b/>
          <w:i/>
        </w:rPr>
        <w:t xml:space="preserve">Когато приетите в съответствие с настоящия регламент делегирани актове или актове за изпълнение изискват извършването на значителни адаптации в националната статистическа система на дадена държава членка, Комисията може да предостави чрез актове за изпълнение дерогации на тази държава членка за максимален срок от три години. </w:t>
      </w:r>
    </w:p>
    <w:p w14:paraId="590757F9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2.</w:t>
      </w:r>
      <w:r w:rsidRPr="00D92BE2">
        <w:tab/>
        <w:t>При предоставянето на дерогации съгласно параграф 1 от настоящия член Комисията взема предвид съпоставимостта на статистическите данни на държавите членки и своевременното изчисляване на необходимите представителни и надеждни европейски агрегати. При предоставянето на тези дерогации Комисията гарантира също така, че изискванията, свързани със статистиката, метаданните и качеството, обхванати от настоящия регламент и обхванати преди това от Регламент (ЕС) № 1260/2013 или от член 3 от Регламент (ЕО) № 862/2007, продължават да се прилагат без прекъсване.</w:t>
      </w:r>
    </w:p>
    <w:p w14:paraId="09C6C706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3.</w:t>
      </w:r>
      <w:r w:rsidRPr="00D92BE2">
        <w:tab/>
        <w:t xml:space="preserve">Държавата членка представя на Комисията надлежно обосновано искане за </w:t>
      </w:r>
      <w:r w:rsidRPr="00D92BE2">
        <w:lastRenderedPageBreak/>
        <w:t>дерогация в срок от два месеца от датата на влизане в сила на съответния акт.</w:t>
      </w:r>
    </w:p>
    <w:p w14:paraId="29CDE34F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4.</w:t>
      </w:r>
      <w:r w:rsidRPr="00D92BE2">
        <w:tab/>
        <w:t xml:space="preserve">Комисията приема актовете за изпълнение, посочени в </w:t>
      </w:r>
      <w:r w:rsidRPr="00D92BE2">
        <w:rPr>
          <w:b/>
          <w:i/>
        </w:rPr>
        <w:t>параграфи</w:t>
      </w:r>
      <w:r w:rsidRPr="00D92BE2">
        <w:t> 1</w:t>
      </w:r>
      <w:r w:rsidRPr="00D92BE2">
        <w:rPr>
          <w:b/>
          <w:i/>
        </w:rPr>
        <w:t>, 1а и 3</w:t>
      </w:r>
      <w:r w:rsidRPr="00D92BE2">
        <w:t xml:space="preserve"> от настоящия член, в съответствие с процедурата по разглеждане, посочена в член 18, параграф 2.</w:t>
      </w:r>
    </w:p>
    <w:p w14:paraId="5A961508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 20</w:t>
      </w:r>
      <w:r w:rsidRPr="00D92BE2">
        <w:br/>
        <w:t>Изменения на Регламент (ЕО) № 862/2007</w:t>
      </w:r>
    </w:p>
    <w:p w14:paraId="4AB1AABF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Регламент (ЕО) № 862/2007 се изменя, както следва:</w:t>
      </w:r>
    </w:p>
    <w:p w14:paraId="1CF04F3C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1)</w:t>
      </w:r>
      <w:r w:rsidRPr="00D92BE2">
        <w:tab/>
        <w:t>Заглавието се заменя със следното: „Регламент (ЕО) № 862/2007 от 11 юли 2007 година относно европейската статистика за убежището и административните и съдебните процедури, свързани със законодателството в областта на имиграцията, и за отмяна на Регламент (ЕИО) № 311/76 на Съвета относно изготвяне на статистика за чуждестранните работници“;</w:t>
      </w:r>
    </w:p>
    <w:p w14:paraId="4A1C6F36" w14:textId="329961E5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2)</w:t>
      </w:r>
      <w:r w:rsidRPr="00D92BE2">
        <w:tab/>
      </w:r>
      <w:r w:rsidR="00595216">
        <w:t>В</w:t>
      </w:r>
      <w:r w:rsidRPr="00D92BE2">
        <w:t xml:space="preserve"> член 1 се заличават букви а) и б);</w:t>
      </w:r>
    </w:p>
    <w:p w14:paraId="3FE35038" w14:textId="414D4A5C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3)</w:t>
      </w:r>
      <w:r w:rsidRPr="00D92BE2">
        <w:tab/>
      </w:r>
      <w:r w:rsidR="00595216">
        <w:t>В</w:t>
      </w:r>
      <w:r w:rsidRPr="00D92BE2">
        <w:t xml:space="preserve"> член 2, параграф 1 се заличават букви а), б), в), е) и ж);</w:t>
      </w:r>
    </w:p>
    <w:p w14:paraId="0E8959E0" w14:textId="4D2A7FCA" w:rsidR="008E16FC" w:rsidRPr="00D92BE2" w:rsidRDefault="008E16FC" w:rsidP="008E16FC">
      <w:pPr>
        <w:spacing w:before="120" w:after="120" w:line="360" w:lineRule="auto"/>
        <w:ind w:left="850" w:hanging="850"/>
        <w:rPr>
          <w:b/>
          <w:i/>
          <w:szCs w:val="24"/>
        </w:rPr>
      </w:pPr>
      <w:r w:rsidRPr="00D92BE2">
        <w:rPr>
          <w:b/>
          <w:i/>
        </w:rPr>
        <w:t>3a)</w:t>
      </w:r>
      <w:r w:rsidRPr="00D92BE2">
        <w:tab/>
      </w:r>
      <w:r w:rsidR="00595216">
        <w:rPr>
          <w:b/>
          <w:i/>
        </w:rPr>
        <w:t>В</w:t>
      </w:r>
      <w:r w:rsidRPr="00D92BE2">
        <w:rPr>
          <w:b/>
          <w:i/>
        </w:rPr>
        <w:t xml:space="preserve"> член 2, параграф 1 буква г) се заменя със следното: </w:t>
      </w:r>
    </w:p>
    <w:p w14:paraId="46499E92" w14:textId="77777777" w:rsidR="008E16FC" w:rsidRPr="00D92BE2" w:rsidRDefault="008E16FC" w:rsidP="00595216">
      <w:pPr>
        <w:spacing w:before="120" w:after="120" w:line="360" w:lineRule="auto"/>
        <w:ind w:left="1418" w:hanging="568"/>
        <w:rPr>
          <w:szCs w:val="24"/>
        </w:rPr>
      </w:pPr>
      <w:r w:rsidRPr="00D92BE2">
        <w:rPr>
          <w:b/>
          <w:i/>
        </w:rPr>
        <w:t>„г)</w:t>
      </w:r>
      <w:r w:rsidRPr="00D92BE2">
        <w:rPr>
          <w:b/>
          <w:i/>
        </w:rPr>
        <w:tab/>
        <w:t>„гражданство“ означава гражданство съгласно определението в член 2, параграф 1 от Регламент (ЕС) .../... на Европейския парламент и на Съвета</w:t>
      </w:r>
      <w:r w:rsidRPr="00D92BE2">
        <w:rPr>
          <w:vertAlign w:val="superscript"/>
        </w:rPr>
        <w:t>*</w:t>
      </w:r>
      <w:r w:rsidRPr="00D92BE2">
        <w:rPr>
          <w:noProof/>
          <w:w w:val="0"/>
          <w:szCs w:val="24"/>
          <w:vertAlign w:val="superscript"/>
          <w:lang w:eastAsia="en-US"/>
        </w:rPr>
        <w:footnoteReference w:customMarkFollows="1" w:id="33"/>
        <w:t>+</w:t>
      </w:r>
      <w:r w:rsidRPr="00D92BE2">
        <w:rPr>
          <w:b/>
          <w:i/>
        </w:rPr>
        <w:t>”;</w:t>
      </w:r>
    </w:p>
    <w:p w14:paraId="115529B9" w14:textId="77777777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4)</w:t>
      </w:r>
      <w:r w:rsidRPr="00D92BE2">
        <w:tab/>
        <w:t>Член 3 се заличава;</w:t>
      </w:r>
    </w:p>
    <w:p w14:paraId="0B2E5A27" w14:textId="72755673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5)</w:t>
      </w:r>
      <w:r w:rsidRPr="00D92BE2">
        <w:tab/>
      </w:r>
      <w:r w:rsidR="00595216">
        <w:t>В</w:t>
      </w:r>
      <w:r w:rsidRPr="00D92BE2">
        <w:t>мъква се следният член:</w:t>
      </w:r>
    </w:p>
    <w:p w14:paraId="0C4549A3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t>„Член 9в</w:t>
      </w:r>
    </w:p>
    <w:p w14:paraId="59269FEB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t>Своевременен достъп до административни данни и повторното им използване</w:t>
      </w:r>
    </w:p>
    <w:p w14:paraId="39D1F2EE" w14:textId="777777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1.</w:t>
      </w:r>
      <w:r w:rsidRPr="00D92BE2">
        <w:tab/>
      </w:r>
      <w:r w:rsidRPr="00D92BE2">
        <w:rPr>
          <w:b/>
          <w:i/>
        </w:rPr>
        <w:t>В съответствие с член 17а от Регламент (ЕО) № 223/2009</w:t>
      </w:r>
      <w:r w:rsidRPr="00D92BE2">
        <w:t xml:space="preserve"> националните органи, отговарящи за източниците на административни данни, които са от значение за целите на настоящия регламент, разрешават повторното използване на тези данни във време и с честота, достатъчни за изготвяне и представяне на статистически данни в срок и в </w:t>
      </w:r>
      <w:r w:rsidRPr="00D92BE2">
        <w:lastRenderedPageBreak/>
        <w:t xml:space="preserve">съответствие със специфичните изисквания по отношение на качеството съгласно настоящия регламент. </w:t>
      </w:r>
      <w:r w:rsidRPr="00D92BE2">
        <w:rPr>
          <w:b/>
          <w:i/>
        </w:rPr>
        <w:t>Националните статистически органи и националните органи, отговарящи за административните записи, създават необходимите механизми за</w:t>
      </w:r>
      <w:r w:rsidRPr="00D92BE2">
        <w:t xml:space="preserve"> сътрудничество </w:t>
      </w:r>
      <w:r w:rsidRPr="00D92BE2">
        <w:rPr>
          <w:b/>
          <w:i/>
        </w:rPr>
        <w:t>за своевременен и безплатен достъп до тези записи</w:t>
      </w:r>
      <w:r w:rsidRPr="00D92BE2">
        <w:t>.</w:t>
      </w:r>
    </w:p>
    <w:p w14:paraId="46617844" w14:textId="1A827377" w:rsidR="008E16FC" w:rsidRPr="00D92BE2" w:rsidRDefault="008E16FC" w:rsidP="008E16FC">
      <w:pPr>
        <w:spacing w:before="120" w:after="120" w:line="360" w:lineRule="auto"/>
        <w:ind w:left="1416" w:hanging="566"/>
        <w:rPr>
          <w:szCs w:val="24"/>
        </w:rPr>
      </w:pPr>
      <w:r w:rsidRPr="00D92BE2">
        <w:t>2.</w:t>
      </w:r>
      <w:r w:rsidRPr="00D92BE2">
        <w:tab/>
        <w:t>За целите на настоящия регламент, на Комисията (Евростат) се разрешава при поискване своевременен достъп и повторно използване на съответните данни и метаданни от базите данни и системите за оперативна съвместимост, поддържани от органите и агенциите на Съюза, включително съгласно регламенти (ЕС) № 910/2014, (ЕС) 2018/1724 и статистическите данни, съхранявани в централното хранилище за докладване и статистика (ЦХДС)</w:t>
      </w:r>
      <w:r w:rsidRPr="00D92BE2">
        <w:rPr>
          <w:b/>
          <w:i/>
        </w:rPr>
        <w:t>. По-специално, Комисията (Евростат) получава достъп до съхраняваните в ЦХДС данни от оперативно съвместимите широкомащабни информационни системи в пространството на свобода, сигурност и правосъдие</w:t>
      </w:r>
      <w:r w:rsidRPr="00D92BE2">
        <w:t xml:space="preserve"> в съответствие с регламенти (ЕС) 2019/817 и (ЕС) 2019/818 и регламентите за установяване на системите, чиито статистически данни се съхраняват в ЦХДС. За тази цел Комисията (Евростат) продължава да си сътрудничи със съответните органи и агенции на Съюза с цел определяне на персонализираните статистически данни и метаданни, които се изискват, когато това е възможно съгласно правото на Съюза, за европейската статистика за населението и жилищния фонд, оперативните условия за тяхното предоставяне и необходимите съпътстващи физически и логически гаранции.“</w:t>
      </w:r>
      <w:r w:rsidR="00595216">
        <w:t>;</w:t>
      </w:r>
    </w:p>
    <w:p w14:paraId="244FA072" w14:textId="19944F1C" w:rsidR="008E16FC" w:rsidRPr="00D92BE2" w:rsidRDefault="008E16FC" w:rsidP="008E16FC">
      <w:pPr>
        <w:spacing w:before="120" w:after="120" w:line="360" w:lineRule="auto"/>
        <w:ind w:left="850" w:hanging="850"/>
        <w:rPr>
          <w:szCs w:val="24"/>
        </w:rPr>
      </w:pPr>
      <w:r w:rsidRPr="00D92BE2">
        <w:t>6)</w:t>
      </w:r>
      <w:r w:rsidRPr="00D92BE2">
        <w:tab/>
      </w:r>
      <w:r w:rsidR="00595216">
        <w:t>В</w:t>
      </w:r>
      <w:r w:rsidRPr="00D92BE2">
        <w:t>мъква се следният член:</w:t>
      </w:r>
    </w:p>
    <w:p w14:paraId="1DCB03CB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t>„Член 10а</w:t>
      </w:r>
    </w:p>
    <w:p w14:paraId="105D3613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t>Списъци на държави и територии</w:t>
      </w:r>
    </w:p>
    <w:p w14:paraId="62F03AA3" w14:textId="77777777" w:rsidR="008E16FC" w:rsidRPr="00D92BE2" w:rsidRDefault="008E16FC" w:rsidP="008E16FC">
      <w:pPr>
        <w:spacing w:before="120" w:after="120" w:line="360" w:lineRule="auto"/>
        <w:ind w:left="850"/>
        <w:rPr>
          <w:szCs w:val="24"/>
        </w:rPr>
      </w:pPr>
      <w:r w:rsidRPr="00D92BE2">
        <w:t>Списъците на държави и територии, посочени в член 11 от Регламент (ЕС) .../...,</w:t>
      </w:r>
      <w:r w:rsidRPr="00D92BE2">
        <w:rPr>
          <w:vertAlign w:val="superscript"/>
        </w:rPr>
        <w:t xml:space="preserve"> *</w:t>
      </w:r>
      <w:r w:rsidRPr="00D92BE2">
        <w:rPr>
          <w:noProof/>
          <w:w w:val="0"/>
          <w:szCs w:val="24"/>
          <w:vertAlign w:val="superscript"/>
          <w:lang w:eastAsia="en-US"/>
        </w:rPr>
        <w:footnoteReference w:customMarkFollows="1" w:id="34"/>
        <w:t>+</w:t>
      </w:r>
      <w:r w:rsidRPr="00D92BE2">
        <w:rPr>
          <w:b/>
          <w:i/>
          <w:vertAlign w:val="superscript"/>
        </w:rPr>
        <w:t xml:space="preserve"> </w:t>
      </w:r>
      <w:r w:rsidRPr="00D92BE2">
        <w:t xml:space="preserve"> се прилагат при съставянето на статистически данни съгласно </w:t>
      </w:r>
      <w:r w:rsidRPr="00D92BE2">
        <w:lastRenderedPageBreak/>
        <w:t>настоящия регламент, за да се гарантира съпоставимост на специфичните за държавите и териториите данни в европейската статистика. Държавите членки прилагат тези списъци за първи път при съставянето на статистиката съгласно настоящия регламент, като предаването на данни започва от референтната 2026 г.</w:t>
      </w:r>
    </w:p>
    <w:p w14:paraId="350660D9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________</w:t>
      </w:r>
    </w:p>
    <w:p w14:paraId="50BE324F" w14:textId="77777777" w:rsidR="008E16FC" w:rsidRPr="00D92BE2" w:rsidRDefault="008E16FC" w:rsidP="00595216">
      <w:pPr>
        <w:spacing w:before="120" w:after="120" w:line="360" w:lineRule="auto"/>
        <w:ind w:left="1418" w:hanging="567"/>
        <w:rPr>
          <w:szCs w:val="24"/>
        </w:rPr>
      </w:pPr>
      <w:r w:rsidRPr="00D92BE2">
        <w:rPr>
          <w:vertAlign w:val="superscript"/>
        </w:rPr>
        <w:t>*</w:t>
      </w:r>
      <w:r w:rsidRPr="00D92BE2">
        <w:tab/>
        <w:t>Регламент (ЕС) .../... на Европейския парламент и на Съвета относно европейската статистика за населението и жилищния фонд, за изменение на Регламент (ЕО) № 862/2007 и за отмяна на регламенти (ЕО) № 763/2008 и (ЕС) № 1260/2013 (ОВ ...).“.</w:t>
      </w:r>
    </w:p>
    <w:p w14:paraId="2B9CD37F" w14:textId="77777777" w:rsidR="008E16FC" w:rsidRPr="00D92BE2" w:rsidRDefault="008E16FC" w:rsidP="008E16FC">
      <w:pPr>
        <w:spacing w:before="120" w:after="120" w:line="360" w:lineRule="auto"/>
        <w:rPr>
          <w:szCs w:val="24"/>
          <w:lang w:eastAsia="en-US"/>
        </w:rPr>
      </w:pPr>
    </w:p>
    <w:p w14:paraId="3A6A7DF6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 21</w:t>
      </w:r>
      <w:r w:rsidRPr="00D92BE2">
        <w:br/>
        <w:t>Отмяна</w:t>
      </w:r>
    </w:p>
    <w:p w14:paraId="226F2381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Регламенти (ЕО) № 763/2008 и (ЕС) № 1260/2013 се отменят, считано от 1 януари 2026 г., без да се засягат установените в тези правни актове задължения по отношение на референтните периоди, които попадат изцяло или частично преди тази дата.</w:t>
      </w:r>
    </w:p>
    <w:p w14:paraId="1CB1DD3D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Позоваванията на отменените регламенти се считат за позовавания на настоящия регламент.</w:t>
      </w:r>
    </w:p>
    <w:p w14:paraId="6E812AAC" w14:textId="77777777" w:rsidR="008E16FC" w:rsidRPr="00D92BE2" w:rsidRDefault="008E16FC" w:rsidP="008E16FC">
      <w:pPr>
        <w:spacing w:before="120" w:after="120" w:line="360" w:lineRule="auto"/>
        <w:jc w:val="center"/>
        <w:rPr>
          <w:szCs w:val="24"/>
        </w:rPr>
      </w:pPr>
      <w:r w:rsidRPr="00D92BE2">
        <w:t>Член 22</w:t>
      </w:r>
      <w:r w:rsidRPr="00D92BE2">
        <w:br/>
        <w:t>Влизане в сила и прилагане</w:t>
      </w:r>
    </w:p>
    <w:p w14:paraId="6C4F0D8E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 xml:space="preserve">Настоящият регламент влиза в сила на двадесетия ден след публикуването му в </w:t>
      </w:r>
      <w:r w:rsidRPr="00724CFC">
        <w:rPr>
          <w:i/>
        </w:rPr>
        <w:t>Официален вестник на Европейския съюз</w:t>
      </w:r>
      <w:r w:rsidRPr="00D92BE2">
        <w:t>.</w:t>
      </w:r>
    </w:p>
    <w:p w14:paraId="2FC7F134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Той се прилага от 1 януари 2026 г.</w:t>
      </w:r>
    </w:p>
    <w:p w14:paraId="247D3208" w14:textId="77777777" w:rsidR="008E16FC" w:rsidRPr="00D92BE2" w:rsidRDefault="008E16FC" w:rsidP="008E16FC">
      <w:pPr>
        <w:spacing w:before="120" w:after="120" w:line="360" w:lineRule="auto"/>
        <w:rPr>
          <w:szCs w:val="24"/>
        </w:rPr>
      </w:pPr>
      <w:r w:rsidRPr="00D92BE2">
        <w:t>Настоящият регламент е задължителен в своята цялост и се прилага пряко във всички държави членки.</w:t>
      </w:r>
    </w:p>
    <w:p w14:paraId="71F52416" w14:textId="77777777" w:rsidR="008E16FC" w:rsidRPr="00D92BE2" w:rsidRDefault="008E16FC" w:rsidP="008E16FC">
      <w:pPr>
        <w:keepNext/>
        <w:widowControl/>
        <w:spacing w:before="120" w:line="360" w:lineRule="auto"/>
        <w:rPr>
          <w:szCs w:val="24"/>
        </w:rPr>
      </w:pPr>
      <w:r w:rsidRPr="00D92BE2">
        <w:t>Съставено в …</w:t>
      </w:r>
    </w:p>
    <w:p w14:paraId="64764F42" w14:textId="77777777" w:rsidR="008E16FC" w:rsidRPr="00D92BE2" w:rsidRDefault="008E16FC" w:rsidP="008E16FC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</w:rPr>
      </w:pPr>
      <w:r w:rsidRPr="00D92BE2">
        <w:rPr>
          <w:i/>
        </w:rPr>
        <w:t>За Европейския парламент</w:t>
      </w:r>
      <w:r w:rsidRPr="00D92BE2">
        <w:rPr>
          <w:i/>
        </w:rPr>
        <w:tab/>
        <w:t>За Съвета</w:t>
      </w:r>
    </w:p>
    <w:p w14:paraId="29CB8D24" w14:textId="77777777" w:rsidR="008E16FC" w:rsidRPr="00D92BE2" w:rsidRDefault="008E16FC" w:rsidP="008E16FC">
      <w:pPr>
        <w:widowControl/>
        <w:tabs>
          <w:tab w:val="left" w:pos="4252"/>
        </w:tabs>
        <w:spacing w:line="360" w:lineRule="auto"/>
        <w:rPr>
          <w:i/>
          <w:szCs w:val="24"/>
        </w:rPr>
      </w:pPr>
      <w:r w:rsidRPr="00D92BE2">
        <w:rPr>
          <w:i/>
        </w:rPr>
        <w:t>Председател</w:t>
      </w:r>
      <w:r w:rsidRPr="00D92BE2">
        <w:rPr>
          <w:i/>
        </w:rPr>
        <w:tab/>
      </w:r>
      <w:proofErr w:type="spellStart"/>
      <w:r w:rsidRPr="00D92BE2">
        <w:rPr>
          <w:i/>
        </w:rPr>
        <w:t>Председател</w:t>
      </w:r>
      <w:proofErr w:type="spellEnd"/>
    </w:p>
    <w:p w14:paraId="00F262B7" w14:textId="77777777" w:rsidR="008E16FC" w:rsidRPr="00D92BE2" w:rsidRDefault="008E16FC" w:rsidP="008E16FC">
      <w:pPr>
        <w:widowControl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 w:rsidRPr="00D92BE2">
        <w:br w:type="page"/>
      </w:r>
      <w:r w:rsidRPr="00D92BE2">
        <w:rPr>
          <w:b/>
          <w:u w:val="single"/>
        </w:rPr>
        <w:lastRenderedPageBreak/>
        <w:t>ПРИЛОЖЕНИЕ</w:t>
      </w:r>
    </w:p>
    <w:p w14:paraId="6DC1C8A4" w14:textId="77777777" w:rsidR="008E16FC" w:rsidRPr="00D92BE2" w:rsidRDefault="008E16FC" w:rsidP="008E16FC">
      <w:pPr>
        <w:keepNext/>
        <w:widowControl/>
        <w:tabs>
          <w:tab w:val="left" w:pos="850"/>
        </w:tabs>
        <w:spacing w:before="120" w:after="120"/>
        <w:ind w:left="850" w:hanging="850"/>
        <w:jc w:val="center"/>
        <w:outlineLvl w:val="1"/>
        <w:rPr>
          <w:rFonts w:eastAsia="Calibri"/>
          <w:b/>
          <w:noProof/>
          <w:szCs w:val="22"/>
        </w:rPr>
      </w:pPr>
      <w:r w:rsidRPr="00D92BE2">
        <w:rPr>
          <w:b/>
        </w:rPr>
        <w:t xml:space="preserve">Области, теми и подробни теми с периодичност и </w:t>
      </w:r>
      <w:proofErr w:type="spellStart"/>
      <w:r w:rsidRPr="00D92BE2">
        <w:rPr>
          <w:b/>
        </w:rPr>
        <w:t>референтeн</w:t>
      </w:r>
      <w:proofErr w:type="spellEnd"/>
      <w:r w:rsidRPr="00D92BE2">
        <w:rPr>
          <w:b/>
        </w:rPr>
        <w:t xml:space="preserve"> момент за всяка подробна тема</w:t>
      </w:r>
    </w:p>
    <w:tbl>
      <w:tblPr>
        <w:tblW w:w="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3402"/>
        <w:gridCol w:w="1276"/>
        <w:gridCol w:w="1559"/>
      </w:tblGrid>
      <w:tr w:rsidR="008E16FC" w:rsidRPr="00D92BE2" w14:paraId="384FC20D" w14:textId="77777777" w:rsidTr="00D27C68">
        <w:trPr>
          <w:cantSplit/>
          <w:trHeight w:val="517"/>
          <w:tblHeader/>
        </w:trPr>
        <w:tc>
          <w:tcPr>
            <w:tcW w:w="18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B2454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D92BE2">
              <w:rPr>
                <w:b/>
                <w:sz w:val="20"/>
              </w:rPr>
              <w:t>Област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ED8D58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D92BE2">
              <w:rPr>
                <w:b/>
                <w:sz w:val="20"/>
              </w:rPr>
              <w:t>Тема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45937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D92BE2">
              <w:rPr>
                <w:b/>
                <w:sz w:val="20"/>
              </w:rPr>
              <w:t>Подробна тема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EF4A5A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D92BE2">
              <w:rPr>
                <w:b/>
                <w:sz w:val="20"/>
              </w:rPr>
              <w:t xml:space="preserve">Периодичност 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44173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b/>
                <w:noProof/>
                <w:sz w:val="20"/>
                <w:szCs w:val="24"/>
              </w:rPr>
            </w:pPr>
            <w:r w:rsidRPr="00D92BE2">
              <w:rPr>
                <w:b/>
                <w:sz w:val="20"/>
              </w:rPr>
              <w:t>Референтен момент (дата или период)</w:t>
            </w:r>
          </w:p>
        </w:tc>
      </w:tr>
      <w:tr w:rsidR="008E16FC" w:rsidRPr="00D92BE2" w14:paraId="08142D39" w14:textId="77777777" w:rsidTr="00D27C68">
        <w:trPr>
          <w:cantSplit/>
          <w:trHeight w:val="517"/>
          <w:tblHeader/>
        </w:trPr>
        <w:tc>
          <w:tcPr>
            <w:tcW w:w="97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44E6D" w14:textId="77777777" w:rsidR="008E16FC" w:rsidRPr="00D92BE2" w:rsidRDefault="008E16FC" w:rsidP="00D27C68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D1A667" w14:textId="77777777" w:rsidR="008E16FC" w:rsidRPr="00D92BE2" w:rsidRDefault="008E16FC" w:rsidP="00D27C68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E9B274" w14:textId="77777777" w:rsidR="008E16FC" w:rsidRPr="00D92BE2" w:rsidRDefault="008E16FC" w:rsidP="00D27C68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7001DA" w14:textId="77777777" w:rsidR="008E16FC" w:rsidRPr="00D92BE2" w:rsidRDefault="008E16FC" w:rsidP="00D27C68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03EFD2" w14:textId="77777777" w:rsidR="008E16FC" w:rsidRPr="00D92BE2" w:rsidRDefault="008E16FC" w:rsidP="00D27C68">
            <w:pPr>
              <w:spacing w:before="120" w:after="120" w:line="276" w:lineRule="auto"/>
              <w:rPr>
                <w:b/>
                <w:noProof/>
                <w:sz w:val="20"/>
                <w:szCs w:val="22"/>
              </w:rPr>
            </w:pPr>
          </w:p>
        </w:tc>
      </w:tr>
      <w:tr w:rsidR="008E16FC" w:rsidRPr="00D92BE2" w14:paraId="3F2F1B8D" w14:textId="77777777" w:rsidTr="00D27C68"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917A6B2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Демография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6B62BCF9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Брой на населението към определени дати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45F89325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Основни характеристики на лицето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6C31C17D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6M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4BD8CA73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30.6.ГГ и</w:t>
            </w:r>
          </w:p>
          <w:p w14:paraId="56DB894C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034E2939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BC21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F18B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13C7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C0B6833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CA93B20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06DED0E8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2714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0D05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7917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5F2A665B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8A5ACB0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23657393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F63A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CD6A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13C8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E66A2F0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4285D5BC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4D2A244E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A5EC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0835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91098F2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Социално-икономически характеристики на лицето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5CC83E86" w14:textId="77777777" w:rsidR="008E16FC" w:rsidRPr="00D92BE2" w:rsidRDefault="008E16FC" w:rsidP="00D27C68">
            <w:pPr>
              <w:spacing w:before="120" w:after="120" w:line="360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91386E1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7EFE53DC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9183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E2BE1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0FB0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4F348836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2D5A5F14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3BE8B618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417B4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4D1A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0A9E6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64D2B305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22AB830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6F1F9352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9A73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498158F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Плодовитост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597FB204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Раждания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2DD1D98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47C51767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Месец</w:t>
            </w:r>
          </w:p>
        </w:tc>
      </w:tr>
      <w:tr w:rsidR="008E16FC" w:rsidRPr="00D92BE2" w14:paraId="5DE4E390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A6E1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C367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3310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381D557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6E22CFD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6ADACEBB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AFCAE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723C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377252B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Законно предизвикани прекъсвания на бременност</w:t>
            </w:r>
            <w:r w:rsidRPr="00D92BE2">
              <w:rPr>
                <w:sz w:val="20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CD98D09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1043E68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51F07BFA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C98D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2EF61C89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Смъртност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2B18657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Умирания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5F7B97E3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237EC8F7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Месец, седмица</w:t>
            </w:r>
          </w:p>
        </w:tc>
      </w:tr>
      <w:tr w:rsidR="008E16FC" w:rsidRPr="00D92BE2" w14:paraId="4B509FBC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1445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34481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7CD80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264369AA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3396126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5AAED9B7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CBA3A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2620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2307890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Умирания при бебета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88DE51C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69B30E1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52310BAE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213E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003F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739379F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 xml:space="preserve">Умирания след късна </w:t>
            </w:r>
            <w:proofErr w:type="spellStart"/>
            <w:r w:rsidRPr="00D92BE2">
              <w:rPr>
                <w:sz w:val="20"/>
              </w:rPr>
              <w:t>фетална</w:t>
            </w:r>
            <w:proofErr w:type="spellEnd"/>
            <w:r w:rsidRPr="00D92BE2">
              <w:rPr>
                <w:sz w:val="20"/>
              </w:rPr>
              <w:t xml:space="preserve"> смърт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29179FB9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A574CFC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1E421491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EB87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1ED614D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Партньорства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ABA96D8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Бракове и регистрирани партньорства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6339CE6F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BB15CCE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6988CBEE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BCE53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14:paraId="0DC72337" w14:textId="77777777" w:rsidR="008E16FC" w:rsidRPr="00D92BE2" w:rsidRDefault="008E16FC" w:rsidP="00D27C68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2B9EBF63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Характеристики на лицата, които встъпват в брак или регистрирано партньорство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420FA9B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03AC449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2931766D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5822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14:paraId="01B5DD15" w14:textId="77777777" w:rsidR="008E16FC" w:rsidRPr="00D92BE2" w:rsidRDefault="008E16FC" w:rsidP="00D27C68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8EF221B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Разводи и прекратени регистрирани партньорства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48FC377C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EE95A14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09576341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002C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2DA88A40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Миграция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5CC932A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Имигранти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4368AE7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3М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B7B6ED3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Месец</w:t>
            </w:r>
          </w:p>
        </w:tc>
      </w:tr>
      <w:tr w:rsidR="008E16FC" w:rsidRPr="00D92BE2" w14:paraId="5574B7CC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7CD7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4835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D5B8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6AAEE416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5271090A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0A87D68D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EDEA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31DEC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41BFC093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Емигранти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44B9912" w14:textId="77777777" w:rsidR="008E16FC" w:rsidRPr="00D92BE2" w:rsidRDefault="008E16FC" w:rsidP="00D27C68">
            <w:pPr>
              <w:spacing w:after="120" w:line="276" w:lineRule="auto"/>
              <w:rPr>
                <w:b/>
                <w:i/>
                <w:sz w:val="20"/>
              </w:rPr>
            </w:pPr>
            <w:r w:rsidRPr="00D92BE2">
              <w:rPr>
                <w:b/>
                <w:i/>
                <w:sz w:val="20"/>
              </w:rPr>
              <w:t>3М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33C474B" w14:textId="77777777" w:rsidR="008E16FC" w:rsidRPr="00D92BE2" w:rsidRDefault="008E16FC" w:rsidP="00D27C68">
            <w:pPr>
              <w:spacing w:after="120" w:line="276" w:lineRule="auto"/>
              <w:rPr>
                <w:b/>
                <w:i/>
                <w:sz w:val="20"/>
              </w:rPr>
            </w:pPr>
            <w:r w:rsidRPr="00D92BE2">
              <w:rPr>
                <w:b/>
                <w:i/>
                <w:sz w:val="20"/>
              </w:rPr>
              <w:t>Месец</w:t>
            </w:r>
          </w:p>
        </w:tc>
      </w:tr>
      <w:tr w:rsidR="008E16FC" w:rsidRPr="00D92BE2" w14:paraId="0DBC649C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8B95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9AFC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96CE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46392DD5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AA02BC8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187B3316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7D0E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64765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1BEDC835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Вътрешна миграция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C265CEB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6C757AC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4346923B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7F0D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090DE813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Придобива</w:t>
            </w:r>
            <w:r w:rsidRPr="00D92BE2">
              <w:rPr>
                <w:sz w:val="20"/>
              </w:rPr>
              <w:lastRenderedPageBreak/>
              <w:t>не и загуба на гражданство на държава — членка на ЕС, и гражданство на Съюза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58CC5EA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lastRenderedPageBreak/>
              <w:t>Лица, придобили гражданство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349197DF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507C1536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76412534" w14:textId="77777777" w:rsidTr="00D27C68"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C491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AE12" w14:textId="77777777" w:rsidR="008E16FC" w:rsidRPr="00D92BE2" w:rsidRDefault="008E16FC" w:rsidP="00D27C68">
            <w:pPr>
              <w:spacing w:before="120" w:after="120" w:line="276" w:lineRule="auto"/>
              <w:rPr>
                <w:sz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1838F46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Лица, загубили или отказали се от гражданство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5F1C6D1C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6092AE9A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Година</w:t>
            </w:r>
          </w:p>
        </w:tc>
      </w:tr>
      <w:tr w:rsidR="008E16FC" w:rsidRPr="00D92BE2" w14:paraId="11DAF12F" w14:textId="77777777" w:rsidTr="00D27C68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3D453C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Жилищен фонд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5E6B1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Жилищни помещения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BFCA40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Характеристики на жилищните помещения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BECAB3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2F982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0025A0D0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5358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2472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Конвенционални жилища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FFC35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Основни характеристики на сградата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B7272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НГ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23630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740095BB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0914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22FA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EA976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7E922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7B250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6C2E1404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0BB6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2ACC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19A3F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Характеристики на сградата, свързани с енергийната ефективност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3716F6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НГ</w:t>
            </w:r>
            <w:r w:rsidRPr="00D92BE2">
              <w:rPr>
                <w:sz w:val="20"/>
              </w:rPr>
              <w:br/>
              <w:t>(1Г от 2031 г. нататък)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8BE6D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5CCA7B4B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D50A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B693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0C5B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6C890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91D6C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31858D26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DBE3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88608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Обитавани конвенционални жилища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AB055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Характеристики на обитаваните конвенционални жилища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5B750A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A5B10A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03E63623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AD57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AC7D5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D11F81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Използване на обитавани конвенционални жилища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26BA1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8028A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5E783128" w14:textId="77777777" w:rsidTr="00D27C68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B79390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Семейства и домакинства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4D3A7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Семейства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588D6D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Характеристики на семействата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66DAE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A994E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391E0B9F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2B40E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265D6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Домакинства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99A08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Характеристики на домакинствата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71634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B6E95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1E20558C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093CC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2EC6D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D4D9FA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B377E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НГ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CB749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07A2AF99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E9028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D467D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62231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Положение на домакинството на лицето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AAA83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FC2EF9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55C4CB45" w14:textId="77777777" w:rsidTr="00D27C68">
        <w:trPr>
          <w:cantSplit/>
        </w:trPr>
        <w:tc>
          <w:tcPr>
            <w:tcW w:w="97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72959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9E79D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75949" w14:textId="77777777" w:rsidR="008E16FC" w:rsidRPr="00D92BE2" w:rsidRDefault="008E16FC" w:rsidP="00D27C68">
            <w:pPr>
              <w:spacing w:before="120" w:after="120" w:line="276" w:lineRule="auto"/>
              <w:rPr>
                <w:noProof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92AE5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10Г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F8A2D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31.12.ГГ</w:t>
            </w:r>
          </w:p>
        </w:tc>
      </w:tr>
      <w:tr w:rsidR="008E16FC" w:rsidRPr="00D92BE2" w14:paraId="7B495B80" w14:textId="77777777" w:rsidTr="00D27C68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79B6F7B2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</w:rPr>
              <w:t>_______________________________________</w:t>
            </w:r>
          </w:p>
        </w:tc>
      </w:tr>
      <w:tr w:rsidR="008E16FC" w:rsidRPr="00D92BE2" w14:paraId="156B800A" w14:textId="77777777" w:rsidTr="00D27C68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</w:tcPr>
          <w:p w14:paraId="484836CF" w14:textId="77777777" w:rsidR="008E16FC" w:rsidRPr="00D92BE2" w:rsidRDefault="008E16FC" w:rsidP="00D27C68">
            <w:pPr>
              <w:spacing w:after="120" w:line="276" w:lineRule="auto"/>
              <w:rPr>
                <w:sz w:val="20"/>
                <w:lang w:eastAsia="en-US"/>
              </w:rPr>
            </w:pPr>
          </w:p>
        </w:tc>
      </w:tr>
      <w:tr w:rsidR="008E16FC" w:rsidRPr="00D92BE2" w14:paraId="3A00A75A" w14:textId="77777777" w:rsidTr="00D27C68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40" w:type="dxa"/>
              <w:bottom w:w="0" w:type="dxa"/>
              <w:right w:w="340" w:type="dxa"/>
            </w:tcMar>
            <w:hideMark/>
          </w:tcPr>
          <w:p w14:paraId="581BB521" w14:textId="77777777" w:rsidR="008E16FC" w:rsidRPr="00D92BE2" w:rsidRDefault="008E16FC" w:rsidP="00D27C68">
            <w:pPr>
              <w:spacing w:after="120" w:line="276" w:lineRule="auto"/>
              <w:rPr>
                <w:sz w:val="20"/>
              </w:rPr>
            </w:pPr>
            <w:r w:rsidRPr="00D92BE2">
              <w:rPr>
                <w:sz w:val="20"/>
                <w:vertAlign w:val="superscript"/>
              </w:rPr>
              <w:t>1</w:t>
            </w:r>
            <w:r w:rsidRPr="00D92BE2">
              <w:rPr>
                <w:sz w:val="20"/>
              </w:rPr>
              <w:t xml:space="preserve"> Предоставяне на доброволен принцип.</w:t>
            </w:r>
          </w:p>
        </w:tc>
      </w:tr>
    </w:tbl>
    <w:p w14:paraId="462104E8" w14:textId="77777777" w:rsidR="008E16FC" w:rsidRPr="00D92BE2" w:rsidRDefault="008E16FC" w:rsidP="008E16FC">
      <w:pPr>
        <w:spacing w:before="120" w:after="120" w:line="360" w:lineRule="auto"/>
        <w:outlineLvl w:val="0"/>
        <w:rPr>
          <w:b/>
          <w:i/>
          <w:iCs/>
          <w:noProof/>
          <w:szCs w:val="24"/>
          <w:lang w:eastAsia="en-US"/>
        </w:rPr>
      </w:pPr>
    </w:p>
    <w:p w14:paraId="7BC6109E" w14:textId="77777777" w:rsidR="008E16FC" w:rsidRPr="00D92BE2" w:rsidRDefault="008E16FC" w:rsidP="008E16FC">
      <w:pPr>
        <w:keepNext/>
        <w:widowControl/>
        <w:tabs>
          <w:tab w:val="left" w:pos="850"/>
        </w:tabs>
        <w:spacing w:before="120" w:after="120"/>
        <w:ind w:left="850" w:hanging="850"/>
        <w:jc w:val="both"/>
        <w:outlineLvl w:val="1"/>
        <w:rPr>
          <w:rFonts w:eastAsia="Calibri"/>
          <w:b/>
          <w:noProof/>
          <w:szCs w:val="22"/>
        </w:rPr>
      </w:pPr>
      <w:r w:rsidRPr="00D92BE2">
        <w:rPr>
          <w:b/>
        </w:rPr>
        <w:t>Легенда</w:t>
      </w:r>
    </w:p>
    <w:tbl>
      <w:tblPr>
        <w:tblW w:w="5660" w:type="dxa"/>
        <w:tblLook w:val="04A0" w:firstRow="1" w:lastRow="0" w:firstColumn="1" w:lastColumn="0" w:noHBand="0" w:noVBand="1"/>
      </w:tblPr>
      <w:tblGrid>
        <w:gridCol w:w="4644"/>
        <w:gridCol w:w="1016"/>
      </w:tblGrid>
      <w:tr w:rsidR="008E16FC" w:rsidRPr="00D92BE2" w14:paraId="425A648D" w14:textId="77777777" w:rsidTr="00D27C68">
        <w:tc>
          <w:tcPr>
            <w:tcW w:w="56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788384" w14:textId="77777777" w:rsidR="008E16FC" w:rsidRPr="00D92BE2" w:rsidRDefault="008E16FC" w:rsidP="00D27C68">
            <w:pPr>
              <w:keepNext/>
              <w:widowControl/>
              <w:tabs>
                <w:tab w:val="left" w:pos="850"/>
              </w:tabs>
              <w:spacing w:before="120" w:after="120"/>
              <w:ind w:left="850" w:hanging="850"/>
              <w:jc w:val="center"/>
              <w:outlineLvl w:val="1"/>
              <w:rPr>
                <w:rFonts w:eastAsia="Calibri"/>
                <w:b/>
                <w:noProof/>
                <w:sz w:val="20"/>
                <w:szCs w:val="22"/>
              </w:rPr>
            </w:pPr>
            <w:r w:rsidRPr="00D92BE2">
              <w:rPr>
                <w:b/>
                <w:sz w:val="20"/>
              </w:rPr>
              <w:t>Периодичност</w:t>
            </w:r>
          </w:p>
        </w:tc>
      </w:tr>
      <w:tr w:rsidR="008E16FC" w:rsidRPr="00D92BE2" w14:paraId="65FD4FDF" w14:textId="77777777" w:rsidTr="00D27C68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049F8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На 3 месеца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B27347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3М</w:t>
            </w:r>
          </w:p>
        </w:tc>
      </w:tr>
      <w:tr w:rsidR="008E16FC" w:rsidRPr="00D92BE2" w14:paraId="38418B12" w14:textId="77777777" w:rsidTr="00D27C68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F933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На 6 месеца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DF58A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6M</w:t>
            </w:r>
          </w:p>
        </w:tc>
      </w:tr>
      <w:tr w:rsidR="008E16FC" w:rsidRPr="00D92BE2" w14:paraId="100B3625" w14:textId="77777777" w:rsidTr="00D27C68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10682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Веднъж годишно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38252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1Г</w:t>
            </w:r>
          </w:p>
        </w:tc>
      </w:tr>
      <w:tr w:rsidR="008E16FC" w:rsidRPr="00D92BE2" w14:paraId="7898352E" w14:textId="77777777" w:rsidTr="00D27C68">
        <w:tc>
          <w:tcPr>
            <w:tcW w:w="46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8DF52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Веднъж на няколко години (години, завършващи на „1“, „5“, „8“)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0C07E8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НГ</w:t>
            </w:r>
          </w:p>
        </w:tc>
      </w:tr>
      <w:tr w:rsidR="008E16FC" w:rsidRPr="00D92BE2" w14:paraId="7CD491B8" w14:textId="77777777" w:rsidTr="00D27C68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D271E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Веднъж на десет години (години, завършващи на „1“)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251AF" w14:textId="77777777" w:rsidR="008E16FC" w:rsidRPr="00D92BE2" w:rsidRDefault="008E16FC" w:rsidP="00D27C68">
            <w:pPr>
              <w:spacing w:before="120" w:after="120" w:line="360" w:lineRule="auto"/>
              <w:jc w:val="center"/>
              <w:rPr>
                <w:noProof/>
                <w:sz w:val="20"/>
                <w:szCs w:val="24"/>
              </w:rPr>
            </w:pPr>
            <w:r w:rsidRPr="00D92BE2">
              <w:rPr>
                <w:sz w:val="20"/>
              </w:rPr>
              <w:t>10Г</w:t>
            </w:r>
          </w:p>
        </w:tc>
      </w:tr>
    </w:tbl>
    <w:p w14:paraId="01E74D63" w14:textId="77777777" w:rsidR="008E16FC" w:rsidRPr="00D92BE2" w:rsidRDefault="008E16FC" w:rsidP="008E16FC">
      <w:pPr>
        <w:spacing w:before="120" w:after="120" w:line="360" w:lineRule="auto"/>
        <w:outlineLvl w:val="0"/>
        <w:rPr>
          <w:b/>
          <w:noProof/>
          <w:szCs w:val="24"/>
          <w:lang w:eastAsia="en-US"/>
        </w:rPr>
      </w:pPr>
    </w:p>
    <w:p w14:paraId="21908717" w14:textId="77777777" w:rsidR="008E16FC" w:rsidRPr="00D92BE2" w:rsidRDefault="008E16FC" w:rsidP="008E16FC">
      <w:pPr>
        <w:spacing w:before="120" w:after="120" w:line="360" w:lineRule="auto"/>
        <w:outlineLvl w:val="0"/>
        <w:rPr>
          <w:b/>
          <w:i/>
          <w:iCs/>
          <w:noProof/>
          <w:szCs w:val="24"/>
          <w:lang w:eastAsia="en-US"/>
        </w:rPr>
      </w:pPr>
    </w:p>
    <w:p w14:paraId="409B32B5" w14:textId="77777777" w:rsidR="008E16FC" w:rsidRPr="00D92BE2" w:rsidRDefault="008E16FC" w:rsidP="008E16FC">
      <w:pPr>
        <w:spacing w:before="120" w:after="120" w:line="360" w:lineRule="auto"/>
        <w:rPr>
          <w:szCs w:val="24"/>
          <w:lang w:eastAsia="en-US"/>
        </w:rPr>
      </w:pPr>
    </w:p>
    <w:p w14:paraId="1CF520D3" w14:textId="77777777" w:rsidR="008E16FC" w:rsidRPr="00D92BE2" w:rsidRDefault="008E16FC" w:rsidP="008E16FC">
      <w:pPr>
        <w:pStyle w:val="NormalCenter12a"/>
      </w:pPr>
    </w:p>
    <w:p w14:paraId="02F8F4AE" w14:textId="77777777" w:rsidR="00E365E1" w:rsidRPr="0051495C" w:rsidRDefault="00E365E1" w:rsidP="008E16FC"/>
    <w:sectPr w:rsidR="00E365E1" w:rsidRPr="0051495C" w:rsidSect="0051495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7044B" w14:textId="77777777" w:rsidR="00D27C68" w:rsidRPr="0051495C" w:rsidRDefault="00D27C68">
      <w:r w:rsidRPr="0051495C">
        <w:separator/>
      </w:r>
    </w:p>
  </w:endnote>
  <w:endnote w:type="continuationSeparator" w:id="0">
    <w:p w14:paraId="2CDB69DB" w14:textId="77777777" w:rsidR="00D27C68" w:rsidRPr="0051495C" w:rsidRDefault="00D27C68">
      <w:r w:rsidRPr="005149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D1A76" w14:textId="77777777" w:rsidR="00D27C68" w:rsidRPr="0051495C" w:rsidRDefault="00D27C6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E5BBD" w14:textId="77777777" w:rsidR="00D27C68" w:rsidRPr="0051495C" w:rsidRDefault="00D27C6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9D828" w14:textId="77777777" w:rsidR="00D27C68" w:rsidRPr="0051495C" w:rsidRDefault="00D27C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BE3C1" w14:textId="77777777" w:rsidR="00D27C68" w:rsidRPr="0051495C" w:rsidRDefault="00D27C68">
      <w:r w:rsidRPr="0051495C">
        <w:separator/>
      </w:r>
    </w:p>
  </w:footnote>
  <w:footnote w:type="continuationSeparator" w:id="0">
    <w:p w14:paraId="29BB5F0E" w14:textId="77777777" w:rsidR="00D27C68" w:rsidRPr="0051495C" w:rsidRDefault="00D27C68">
      <w:r w:rsidRPr="0051495C">
        <w:continuationSeparator/>
      </w:r>
    </w:p>
  </w:footnote>
  <w:footnote w:id="1">
    <w:p w14:paraId="65C3DE8F" w14:textId="77777777" w:rsidR="00D27C68" w:rsidRPr="00EA3370" w:rsidRDefault="00D27C68" w:rsidP="00EA3370">
      <w:pPr>
        <w:pStyle w:val="FootnoteText"/>
        <w:ind w:left="851" w:hanging="851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 w:rsidRPr="00374B02">
        <w:rPr>
          <w:sz w:val="24"/>
          <w:szCs w:val="24"/>
          <w:lang w:val="en-GB"/>
        </w:rPr>
        <w:t>O</w:t>
      </w:r>
      <w:r>
        <w:rPr>
          <w:sz w:val="24"/>
          <w:szCs w:val="24"/>
          <w:lang w:val="bg-BG"/>
        </w:rPr>
        <w:t>В</w:t>
      </w:r>
      <w:r w:rsidRPr="00EA3370">
        <w:rPr>
          <w:sz w:val="24"/>
          <w:szCs w:val="24"/>
          <w:lang w:val="en-GB"/>
        </w:rPr>
        <w:t xml:space="preserve"> C 228, 29.6.2023</w:t>
      </w:r>
      <w:r>
        <w:rPr>
          <w:sz w:val="24"/>
          <w:szCs w:val="24"/>
          <w:lang w:val="bg-BG"/>
        </w:rPr>
        <w:t> </w:t>
      </w:r>
      <w:proofErr w:type="gramStart"/>
      <w:r>
        <w:rPr>
          <w:sz w:val="24"/>
          <w:szCs w:val="24"/>
          <w:lang w:val="bg-BG"/>
        </w:rPr>
        <w:t>г.</w:t>
      </w:r>
      <w:r w:rsidRPr="00374B02">
        <w:rPr>
          <w:sz w:val="24"/>
          <w:szCs w:val="24"/>
          <w:lang w:val="en-GB"/>
        </w:rPr>
        <w:t>,</w:t>
      </w:r>
      <w:proofErr w:type="gramEnd"/>
      <w:r w:rsidRPr="00374B02"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bg-BG"/>
        </w:rPr>
        <w:t>стр</w:t>
      </w:r>
      <w:proofErr w:type="spellEnd"/>
      <w:r w:rsidRPr="00EA3370">
        <w:rPr>
          <w:sz w:val="24"/>
          <w:szCs w:val="24"/>
          <w:lang w:val="en-GB"/>
        </w:rPr>
        <w:t>. 148.</w:t>
      </w:r>
    </w:p>
  </w:footnote>
  <w:footnote w:id="2">
    <w:p w14:paraId="591C6465" w14:textId="41850F17" w:rsidR="00D27C68" w:rsidRPr="00C069D0" w:rsidRDefault="00D27C68" w:rsidP="00D27C68">
      <w:pPr>
        <w:pStyle w:val="FootnoteText"/>
        <w:ind w:left="851" w:hanging="851"/>
        <w:rPr>
          <w:lang w:val="bg-BG"/>
        </w:rPr>
      </w:pPr>
      <w:r>
        <w:rPr>
          <w:rStyle w:val="FootnoteReference"/>
        </w:rPr>
        <w:t>*</w:t>
      </w:r>
      <w:r>
        <w:t xml:space="preserve"> </w:t>
      </w:r>
      <w:r>
        <w:rPr>
          <w:lang w:val="bg-BG"/>
        </w:rPr>
        <w:tab/>
      </w:r>
      <w:r w:rsidRPr="00D64700">
        <w:rPr>
          <w:sz w:val="24"/>
          <w:szCs w:val="24"/>
          <w:lang w:val="bg-BG" w:eastAsia="en-GB"/>
        </w:rPr>
        <w:t>Промените в текста са в резултат от приемането на изменение</w:t>
      </w:r>
      <w:r>
        <w:rPr>
          <w:sz w:val="24"/>
          <w:szCs w:val="24"/>
          <w:lang w:eastAsia="en-GB"/>
        </w:rPr>
        <w:t xml:space="preserve"> 56</w:t>
      </w:r>
      <w:r w:rsidRPr="00D64700">
        <w:rPr>
          <w:sz w:val="24"/>
          <w:szCs w:val="24"/>
          <w:lang w:eastAsia="en-GB"/>
        </w:rPr>
        <w:t xml:space="preserve">. </w:t>
      </w:r>
      <w:r>
        <w:rPr>
          <w:sz w:val="24"/>
          <w:szCs w:val="24"/>
          <w:lang w:val="bg-BG" w:eastAsia="en-GB"/>
        </w:rPr>
        <w:t>Н</w:t>
      </w:r>
      <w:r w:rsidRPr="00BB49BA">
        <w:rPr>
          <w:rFonts w:eastAsia="Calibri"/>
          <w:bCs/>
          <w:sz w:val="24"/>
          <w:szCs w:val="24"/>
          <w:lang w:val="bg-BG"/>
        </w:rPr>
        <w:t>ов или изменен текст се обозначава с получер курсив; заличаванията се посочват със символа ▌.</w:t>
      </w:r>
    </w:p>
  </w:footnote>
  <w:footnote w:id="3">
    <w:p w14:paraId="3516BF2C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ОВ C ,  г., стр. .</w:t>
      </w:r>
    </w:p>
  </w:footnote>
  <w:footnote w:id="4">
    <w:p w14:paraId="44B0BD25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ОВ C ,  г., стр. .</w:t>
      </w:r>
    </w:p>
  </w:footnote>
  <w:footnote w:id="5">
    <w:p w14:paraId="1B4DB818" w14:textId="29A7B34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 xml:space="preserve">Регламент (EС) 2019/1700 на Европейския парламент и на Съвета от 10 октомври 2019 г. </w:t>
      </w:r>
      <w:r w:rsidRPr="00D92BE2">
        <w:t>за създаване на обща рамка за европейската статистика за лицата и домакинствата, основана на индивидуални данни, събрани чрез извадки, за изменение на регламенти (EО) № 808/2004, (EО) № 452/2008 и (EО) № 1338/2008 на Европейския парламент и на Съвета, и за отмяна на Регламент (EО) № 1177/2003 на Европейския парламент и на Съвета и на Регламент (E</w:t>
      </w:r>
      <w:r>
        <w:t>О) № 577/98 на Съвета (OВ L </w:t>
      </w:r>
      <w:r>
        <w:t>261</w:t>
      </w:r>
      <w:r w:rsidR="008035F8">
        <w:rPr>
          <w:lang w:val="lt-LT"/>
        </w:rPr>
        <w:t>I</w:t>
      </w:r>
      <w:bookmarkStart w:id="9" w:name="_GoBack"/>
      <w:bookmarkEnd w:id="9"/>
      <w:r w:rsidRPr="00D92BE2">
        <w:t>, 14.10.2019 г., стр. 1).</w:t>
      </w:r>
    </w:p>
  </w:footnote>
  <w:footnote w:id="6">
    <w:p w14:paraId="0F9C3BA6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(ЕС) № 1260/2013 на Европейския парламент и на Съвета от 20 ноември 2013 г. относно европейската демографска статистика (ОВ L 330, 10.12.2013 г., стр. 39).</w:t>
      </w:r>
    </w:p>
  </w:footnote>
  <w:footnote w:id="7">
    <w:p w14:paraId="77A91B5B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(ЕО) № 223/2009 на Европейския парламент и на Съвета от 11 март 2009 г. относно европейската статистика и за отмяна на Регламент (ЕО, Евратом) № 1101/2008 за предоставянето на поверителна статистическа информация на Статистическата служба на Европейските общности, на Регламент (ЕО) № 322/97 на Съвета относно статистиката на Общността и на Решение 89/382/ЕИО, Евратом на Съвета за създаване на Статистически програмен комитет на Европейските общности (ОВ L 87, 31.3.2009 г., стр. 164).</w:t>
      </w:r>
    </w:p>
  </w:footnote>
  <w:footnote w:id="8">
    <w:p w14:paraId="2D8B59E9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SWD(2023)13.</w:t>
      </w:r>
    </w:p>
  </w:footnote>
  <w:footnote w:id="9">
    <w:p w14:paraId="56051031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(ЕО) № 862/2007 на Европейския парламент и на Съвета от 11 юли 2007 г. относно статистиката на Общността за миграцията и международната закрила и за отмяна на Регламент (ЕИО) № 311/76 на Съвета относно изготвяне на статистика за чуждестранните работници (ОВ L 199, 31.7.2007 г., стр. 23).</w:t>
      </w:r>
    </w:p>
  </w:footnote>
  <w:footnote w:id="10">
    <w:p w14:paraId="1B4B0BC2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(ЕО) № 763/2008 на Европейския парламент и на Съвета от 9 юли 2008 г. относно преброяването на населението и жилищния фонд (ОВ L 218, 13.8.2008 г., стр. 14).</w:t>
      </w:r>
    </w:p>
  </w:footnote>
  <w:footnote w:id="11">
    <w:p w14:paraId="290ED0CB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(ЕО) № 1059/2003 на Европейския парламент и на Съвета от 26 май 2003 г. за установяване на обща класификация на териториалните единици за статистически цели (NUTS) (ОВ L 154, 21.6.2003 г., стр. 1).</w:t>
      </w:r>
    </w:p>
  </w:footnote>
  <w:footnote w:id="12">
    <w:p w14:paraId="386CC1E1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 xml:space="preserve">Регламент за изпълнение (ЕС) 2018/1799 на Комисията от 21 ноември 2018 г. за започване на временно пряко статистическо действие за разпространение на избрани теми от преброяването на населението и жилищния фонд от 2021 г., </w:t>
      </w:r>
      <w:proofErr w:type="spellStart"/>
      <w:r w:rsidRPr="00D92BE2">
        <w:t>геокодирани</w:t>
      </w:r>
      <w:proofErr w:type="spellEnd"/>
      <w:r w:rsidRPr="00D92BE2">
        <w:t xml:space="preserve"> към координатна мрежа от 1 km2 (ОВ L 296, 22.11.2018 г., стр. 19).</w:t>
      </w:r>
    </w:p>
  </w:footnote>
  <w:footnote w:id="13">
    <w:p w14:paraId="3F56AF2D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Директива 2007/2/ЕО на Европейския парламент и на Съвета от 14 март 2007 г. за създаване на инфраструктура за пространствена информация в Европейската общност (INSPIRE) (ОВ L 108, 25.4.2007 г., стр. 1).</w:t>
      </w:r>
    </w:p>
  </w:footnote>
  <w:footnote w:id="14">
    <w:p w14:paraId="7B8B3466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Директива 2010/31/ЕС на Европейския парламент и на Съвета от 19 май 2010 г. относно енергийните характеристики на сградите (ОВ L 153, 18.6.2010 г., стр. 13).</w:t>
      </w:r>
    </w:p>
  </w:footnote>
  <w:footnote w:id="15">
    <w:p w14:paraId="26663234" w14:textId="42947984" w:rsidR="00D27C68" w:rsidRPr="00D92BE2" w:rsidRDefault="00D27C68" w:rsidP="00D27C68">
      <w:pPr>
        <w:pStyle w:val="FootnoteTextForceStyle"/>
        <w:ind w:left="851" w:hanging="851"/>
        <w:rPr>
          <w:szCs w:val="24"/>
        </w:rPr>
      </w:pPr>
      <w:r w:rsidRPr="00D92BE2">
        <w:rPr>
          <w:rStyle w:val="FootnoteReference"/>
          <w:szCs w:val="24"/>
        </w:rPr>
        <w:footnoteRef/>
      </w:r>
      <w:r w:rsidRPr="00D92BE2">
        <w:tab/>
        <w:t>Директива (ЕС)</w:t>
      </w:r>
      <w:r w:rsidRPr="00724CFC">
        <w:t xml:space="preserve"> 2024/1275</w:t>
      </w:r>
      <w:r w:rsidRPr="00D92BE2">
        <w:t xml:space="preserve"> на Европейския парламент и на Съвета от </w:t>
      </w:r>
      <w:r w:rsidRPr="00724CFC">
        <w:t xml:space="preserve">24 </w:t>
      </w:r>
      <w:r>
        <w:t>април</w:t>
      </w:r>
      <w:r w:rsidRPr="00724CFC">
        <w:t xml:space="preserve"> 2024</w:t>
      </w:r>
      <w:r>
        <w:rPr>
          <w:lang w:val="en-GB"/>
        </w:rPr>
        <w:t> </w:t>
      </w:r>
      <w:r>
        <w:t>г.</w:t>
      </w:r>
      <w:r w:rsidRPr="00D92BE2">
        <w:t xml:space="preserve"> относно енергийните характеристики на сградите (преработен текст) (ОВ L,</w:t>
      </w:r>
      <w:r>
        <w:t xml:space="preserve"> 2024/1275, 8.5.2024 г.,</w:t>
      </w:r>
      <w:r w:rsidRPr="00D92BE2">
        <w:t xml:space="preserve"> ELI: </w:t>
      </w:r>
      <w:r w:rsidRPr="00D27C68">
        <w:rPr>
          <w:lang w:val="en-GB"/>
        </w:rPr>
        <w:t>http</w:t>
      </w:r>
      <w:r w:rsidRPr="00724CFC">
        <w:t>://</w:t>
      </w:r>
      <w:r w:rsidRPr="00D27C68">
        <w:rPr>
          <w:lang w:val="en-GB"/>
        </w:rPr>
        <w:t>data</w:t>
      </w:r>
      <w:r w:rsidRPr="00724CFC">
        <w:t>.</w:t>
      </w:r>
      <w:proofErr w:type="spellStart"/>
      <w:r w:rsidRPr="00D27C68">
        <w:rPr>
          <w:lang w:val="en-GB"/>
        </w:rPr>
        <w:t>europa</w:t>
      </w:r>
      <w:proofErr w:type="spellEnd"/>
      <w:r w:rsidRPr="00724CFC">
        <w:t>.</w:t>
      </w:r>
      <w:proofErr w:type="spellStart"/>
      <w:r w:rsidRPr="00D27C68">
        <w:rPr>
          <w:lang w:val="en-GB"/>
        </w:rPr>
        <w:t>eu</w:t>
      </w:r>
      <w:proofErr w:type="spellEnd"/>
      <w:r w:rsidRPr="00724CFC">
        <w:t>/</w:t>
      </w:r>
      <w:proofErr w:type="spellStart"/>
      <w:r w:rsidRPr="00D27C68">
        <w:rPr>
          <w:lang w:val="en-GB"/>
        </w:rPr>
        <w:t>eli</w:t>
      </w:r>
      <w:proofErr w:type="spellEnd"/>
      <w:r w:rsidRPr="00724CFC">
        <w:t>/</w:t>
      </w:r>
      <w:proofErr w:type="spellStart"/>
      <w:r w:rsidRPr="00D27C68">
        <w:rPr>
          <w:lang w:val="en-GB"/>
        </w:rPr>
        <w:t>dir</w:t>
      </w:r>
      <w:proofErr w:type="spellEnd"/>
      <w:r w:rsidRPr="00724CFC">
        <w:t>/2024/1275/</w:t>
      </w:r>
      <w:proofErr w:type="spellStart"/>
      <w:r w:rsidRPr="00D27C68">
        <w:rPr>
          <w:lang w:val="en-GB"/>
        </w:rPr>
        <w:t>oj</w:t>
      </w:r>
      <w:proofErr w:type="spellEnd"/>
      <w:r w:rsidRPr="00D92BE2">
        <w:t>).</w:t>
      </w:r>
    </w:p>
  </w:footnote>
  <w:footnote w:id="16">
    <w:p w14:paraId="67DFFC59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(ЕС) № 910/2014 на Европейския парламент и на Съвета от 23 юли 2014 г. относно електронната идентификация и удостоверителните услуги при електронни трансакции на вътрешния пазар и за отмяна на Директива 1999/93/ЕО (ОВ L 257, 28.8.2014 г., стр. 73).</w:t>
      </w:r>
    </w:p>
  </w:footnote>
  <w:footnote w:id="17">
    <w:p w14:paraId="16E0C52A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(ЕС) 2018/1724 на Европейския парламент и на Съвета от 2 октомври 2018 г. за създаване на единна цифрова платформа за предоставяне на достъп до информация, до процедури и до услуги за оказване на помощ и решаване на проблеми и за изменение на Регламент (ЕС) № 1024/2012, (ОВ L 295, 21.11.2018 г., стр. 1).</w:t>
      </w:r>
    </w:p>
  </w:footnote>
  <w:footnote w:id="18">
    <w:p w14:paraId="47F8A623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(ЕС) 2019/817 на Европейския парламент и на Съвета от 20 май 2019 г. за създаване на рамка за оперативна съвместимост между информационните системи на ЕС в областта на границите и визите и за изменение на регламенти (ЕО) № 767/2008, (ЕС) 2016/399, (ЕС) 2017/2226, (ЕС) 2018/1240, (ЕС) 2018/1726, (ЕС) 2018/1861 на Европейския парламент и на Съвета и на решения 2004/512/ЕО и 2008/633/ПВР на Съвета (ОВ L 135, 22.5.2019 г., стр. 27).</w:t>
      </w:r>
    </w:p>
  </w:footnote>
  <w:footnote w:id="19">
    <w:p w14:paraId="290A6A4D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(ЕС) 2019/818 на Европейския парламент и на Съвета от 20 май 2019 г. за създаване на рамка за оперативна съвместимост между информационните системи на ЕС в областта на полицейското и съдебното сътрудничество, убежището и миграцията и за изменение на регламенти (ЕС) 2018/1726, (ЕС) 2018/1862 и (ЕС) 2019/816 на Европейския парламент и на Съвета (ОВ L 135, 22.5.2019 г., стр. 85).</w:t>
      </w:r>
    </w:p>
  </w:footnote>
  <w:footnote w:id="20">
    <w:p w14:paraId="0F9CE0CB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(ЕС) 2018/1725 на Европейския парламент и на Съвета от 23 октомври 2018 г. относно защитата на физическите лица във връзка с обработването на лични данни от институциите, органите, службите и агенциите на Съюза и относно свободното движение на такива данни и за отмяна на Регламент (ЕО) № 45/2001 и Решение № 1247/2002/ЕО (OВ L 295, 21.11.2018 г., стp. 39).</w:t>
      </w:r>
    </w:p>
  </w:footnote>
  <w:footnote w:id="21">
    <w:p w14:paraId="106896E7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rStyle w:val="FootnoteReference"/>
          <w:szCs w:val="24"/>
        </w:rPr>
        <w:footnoteRef/>
      </w:r>
      <w:r w:rsidRPr="00D92BE2">
        <w:tab/>
        <w:t>Регламент (ЕС) 2016/679 на Европейския парламент и на Съвета от 27 април 2016 г. относно защитата на физическите лица във връзка с обработването на лични данни и относно свободното движение на такива данни и за отмяна на Директива 95/46/ЕО (Общ регламент относно защитата на данните) (ОВ L 119, 4.5.2016 г., стр. 1).</w:t>
      </w:r>
    </w:p>
  </w:footnote>
  <w:footnote w:id="22">
    <w:p w14:paraId="1771D684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Директива 2002/58/ЕО на Европейския парламент и на Съвета от 12 юли 2002 г. относно обработката на лични данни и защита на правото на неприкосновеност на личния живот в сектора на електронните комуникации (Директива за правото на неприкосновеност на личния живот и електронни комуникации) (OВ L 201, 31.7.2002 г., стр. 37).</w:t>
      </w:r>
    </w:p>
  </w:footnote>
  <w:footnote w:id="23">
    <w:p w14:paraId="053F3B15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ОВ L 123, 12.5.2016 г., стр. 1.</w:t>
      </w:r>
    </w:p>
  </w:footnote>
  <w:footnote w:id="24">
    <w:p w14:paraId="65CA3FC9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 (ЕС) 2021/690 на Европейския парламент и на Съвета от 28 април 2021 г. за създаване на програма за вътрешния пазар, конкурентоспособността на предприятията, включително малките и средните предприятия, областта на растенията, животните, храните и фуражите, и европейската статистика (програма „Единен пазар“), и за отмяна на регламенти (ЕС) № 99/2013, (ЕС) № 1287/2013, (ЕС) № 254/2014 и (ЕС) № 652/2014 (ОВ L 153, 3.5.2021 г., стр. 1).</w:t>
      </w:r>
    </w:p>
  </w:footnote>
  <w:footnote w:id="25">
    <w:p w14:paraId="1AFDF3D7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rStyle w:val="FootnoteReference"/>
          <w:szCs w:val="24"/>
        </w:rPr>
        <w:footnoteRef/>
      </w:r>
      <w:r w:rsidRPr="00D92BE2">
        <w:tab/>
        <w:t>Регламент (ЕС) 2021/240 на Европейския парламент и на Съвета от 10 февруари 2021 г. за създаване на Инструмент за техническа подкрепа (ОВ L 57, 18.2.2021 г., стр. 1).</w:t>
      </w:r>
    </w:p>
  </w:footnote>
  <w:footnote w:id="26">
    <w:p w14:paraId="1B802F36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rStyle w:val="FootnoteReference"/>
          <w:szCs w:val="24"/>
        </w:rPr>
        <w:footnoteRef/>
      </w:r>
      <w:r w:rsidRPr="00D92BE2">
        <w:tab/>
        <w:t>Регламент (ЕС, Евратом) 2018/1046 на Европейския парламент и на Съвета от 18 юли 2018 г. за финансовите правила, приложими за общия бюджет на Съюза, за изменение на регламенти (ЕС) № 1296/2013, (ЕС) № 1301/2013, (ЕС) № 1303/2013, (ЕС) № 1304/2013, (ЕС) № 1309/2013, (ЕС) № 1316/2013, (ЕС) № 223/2014 и (ЕС) № 283/2014 и на Решение № 541/2014/ЕС и за отмяна на Регламент (ЕС, Евратом) № 966/2012 (ОВ L 193, 30.7.2018 г., стр. 1).</w:t>
      </w:r>
    </w:p>
  </w:footnote>
  <w:footnote w:id="27">
    <w:p w14:paraId="1F9FF59F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(ЕС, Евратом) № 883/2013 на Европейския парламент и на Съвета от 11 септември 2013 г. относно разследванията, провеждани от Европейската служба за борба с измамите (OLAF), и за отмяна на Регламент (ЕО) № 1073/1999 на Европейския парламент и на Съвета и Регламент (Евратом) № 1074/1999 на Съвета (ОВ L 248, 18.9.2013 г., стр. 1).</w:t>
      </w:r>
    </w:p>
  </w:footnote>
  <w:footnote w:id="28">
    <w:p w14:paraId="569EA7C8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(ЕО, Евратом) № 2988/95 на Съвета от 18 декември 1995 г. относно защитата на финансовите интереси на Европейските общности (ОВ L 312, 23.12.1995 г., стр. 1).</w:t>
      </w:r>
    </w:p>
  </w:footnote>
  <w:footnote w:id="29">
    <w:p w14:paraId="1F978763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(Евратом, ЕО) № 2185/96 на Съвета от 11 ноември 1996 г. относно контрола и проверките на място, извършвани от Комисията за защита на финансовите интереси на Европейските общности срещу измами и други нередности (ОВ L 292, 15.11.1996 г., стр. 2).</w:t>
      </w:r>
    </w:p>
  </w:footnote>
  <w:footnote w:id="30">
    <w:p w14:paraId="1331B1BE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(ЕС) 2017/1939 на Съвета от 12 октомври 2017 г. за установяване на засилено сътрудничество за създаване на Европейска прокуратура (OВ L 283, 31.10.2017 г., стp. 1).</w:t>
      </w:r>
    </w:p>
  </w:footnote>
  <w:footnote w:id="31">
    <w:p w14:paraId="747C7227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Директива (ЕС) 2017/1371 на Европейския парламент и на Съвета от 5 юли 2017 г. относно борбата с измамите, засягащи финансовите интереси на Съюза, по наказателноправен ред (ОВ L 198, 28.7.2017 г., стр. 29).</w:t>
      </w:r>
    </w:p>
  </w:footnote>
  <w:footnote w:id="32">
    <w:p w14:paraId="653441D8" w14:textId="77777777" w:rsidR="00D27C68" w:rsidRPr="00D92BE2" w:rsidRDefault="00D27C68" w:rsidP="008E16FC">
      <w:pPr>
        <w:pStyle w:val="FootnoteTextForceStyle"/>
        <w:ind w:left="851" w:hanging="851"/>
        <w:rPr>
          <w:szCs w:val="24"/>
        </w:rPr>
      </w:pPr>
      <w:r w:rsidRPr="00D92BE2">
        <w:rPr>
          <w:szCs w:val="24"/>
          <w:vertAlign w:val="superscript"/>
        </w:rPr>
        <w:footnoteRef/>
      </w:r>
      <w:r w:rsidRPr="00D92BE2">
        <w:tab/>
        <w:t>Регламент (ЕС) № 182/2011 на Европейския парламент и на Съвета от 16 февруари 2011 г.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(ОВ L 55, 28.2.2011 г., стр. 13).</w:t>
      </w:r>
    </w:p>
  </w:footnote>
  <w:footnote w:id="33">
    <w:p w14:paraId="3CD0E73B" w14:textId="77777777" w:rsidR="00D27C68" w:rsidRPr="00724CFC" w:rsidRDefault="00D27C68" w:rsidP="008E16FC">
      <w:pPr>
        <w:pStyle w:val="FootnoteText"/>
        <w:ind w:left="851" w:hanging="851"/>
        <w:rPr>
          <w:sz w:val="24"/>
          <w:szCs w:val="24"/>
          <w:lang w:val="bg-BG"/>
        </w:rPr>
      </w:pPr>
      <w:r w:rsidRPr="00724CFC">
        <w:rPr>
          <w:rStyle w:val="FootnoteReference"/>
          <w:sz w:val="24"/>
          <w:lang w:val="bg-BG"/>
        </w:rPr>
        <w:t>+</w:t>
      </w:r>
      <w:r w:rsidRPr="00724CFC">
        <w:rPr>
          <w:sz w:val="24"/>
          <w:lang w:val="bg-BG"/>
        </w:rPr>
        <w:tab/>
      </w:r>
      <w:bookmarkStart w:id="10" w:name="_Hlk159427958"/>
      <w:r w:rsidRPr="00724CFC">
        <w:rPr>
          <w:sz w:val="24"/>
          <w:lang w:val="bg-BG"/>
        </w:rPr>
        <w:t>ОВ: моля, въведете в текста номера на регламента, съдържащ се в документ (2023/0008(</w:t>
      </w:r>
      <w:r w:rsidRPr="00D92BE2">
        <w:rPr>
          <w:sz w:val="24"/>
        </w:rPr>
        <w:t>COD</w:t>
      </w:r>
      <w:r w:rsidRPr="00724CFC">
        <w:rPr>
          <w:sz w:val="24"/>
          <w:lang w:val="bg-BG"/>
        </w:rPr>
        <w:t xml:space="preserve">)), </w:t>
      </w:r>
      <w:bookmarkEnd w:id="10"/>
      <w:r w:rsidRPr="00724CFC">
        <w:rPr>
          <w:sz w:val="24"/>
          <w:lang w:val="bg-BG"/>
        </w:rPr>
        <w:t>а в бележката под линия — номера, датата, заглавието и данните за публикацията в ОВ на този регламент.</w:t>
      </w:r>
    </w:p>
  </w:footnote>
  <w:footnote w:id="34">
    <w:p w14:paraId="35438E0A" w14:textId="77777777" w:rsidR="00D27C68" w:rsidRPr="00724CFC" w:rsidRDefault="00D27C68" w:rsidP="008E16FC">
      <w:pPr>
        <w:pStyle w:val="FootnoteText"/>
        <w:ind w:left="851" w:hanging="851"/>
        <w:rPr>
          <w:sz w:val="24"/>
          <w:szCs w:val="24"/>
          <w:lang w:val="bg-BG"/>
        </w:rPr>
      </w:pPr>
      <w:r w:rsidRPr="00724CFC">
        <w:rPr>
          <w:rStyle w:val="FootnoteReference"/>
          <w:sz w:val="24"/>
          <w:lang w:val="bg-BG"/>
        </w:rPr>
        <w:t>+</w:t>
      </w:r>
      <w:r w:rsidRPr="00724CFC">
        <w:rPr>
          <w:sz w:val="24"/>
          <w:lang w:val="bg-BG"/>
        </w:rPr>
        <w:tab/>
        <w:t>ОВ: моля, въведете в текста номера на регламента, съдържащ се в документ (2023/0008(</w:t>
      </w:r>
      <w:r w:rsidRPr="00D92BE2">
        <w:rPr>
          <w:sz w:val="24"/>
        </w:rPr>
        <w:t>COD</w:t>
      </w:r>
      <w:r w:rsidRPr="00724CFC">
        <w:rPr>
          <w:sz w:val="24"/>
          <w:lang w:val="bg-BG"/>
        </w:rPr>
        <w:t>)), а в бележката под линия — номера, датата, заглавието и данните за публикацията в ОВ на този регламент.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F2E59" w14:textId="77777777" w:rsidR="00D27C68" w:rsidRPr="0051495C" w:rsidRDefault="00D27C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7F7A8" w14:textId="77777777" w:rsidR="00D27C68" w:rsidRPr="0051495C" w:rsidRDefault="00D27C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FA304" w14:textId="77777777" w:rsidR="00D27C68" w:rsidRPr="0051495C" w:rsidRDefault="00D27C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D1E6980"/>
    <w:multiLevelType w:val="hybridMultilevel"/>
    <w:tmpl w:val="D4C627CE"/>
    <w:lvl w:ilvl="0" w:tplc="194CDD7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E7AC3020" w:tentative="1">
      <w:start w:val="1"/>
      <w:numFmt w:val="lowerLetter"/>
      <w:lvlText w:val="%2."/>
      <w:lvlJc w:val="left"/>
      <w:pPr>
        <w:ind w:left="1440" w:hanging="360"/>
      </w:pPr>
    </w:lvl>
    <w:lvl w:ilvl="2" w:tplc="91087926" w:tentative="1">
      <w:start w:val="1"/>
      <w:numFmt w:val="lowerRoman"/>
      <w:lvlText w:val="%3."/>
      <w:lvlJc w:val="right"/>
      <w:pPr>
        <w:ind w:left="2160" w:hanging="180"/>
      </w:pPr>
    </w:lvl>
    <w:lvl w:ilvl="3" w:tplc="2EF24418" w:tentative="1">
      <w:start w:val="1"/>
      <w:numFmt w:val="decimal"/>
      <w:lvlText w:val="%4."/>
      <w:lvlJc w:val="left"/>
      <w:pPr>
        <w:ind w:left="2880" w:hanging="360"/>
      </w:pPr>
    </w:lvl>
    <w:lvl w:ilvl="4" w:tplc="CE540112" w:tentative="1">
      <w:start w:val="1"/>
      <w:numFmt w:val="lowerLetter"/>
      <w:lvlText w:val="%5."/>
      <w:lvlJc w:val="left"/>
      <w:pPr>
        <w:ind w:left="3600" w:hanging="360"/>
      </w:pPr>
    </w:lvl>
    <w:lvl w:ilvl="5" w:tplc="91D6672E" w:tentative="1">
      <w:start w:val="1"/>
      <w:numFmt w:val="lowerRoman"/>
      <w:lvlText w:val="%6."/>
      <w:lvlJc w:val="right"/>
      <w:pPr>
        <w:ind w:left="4320" w:hanging="180"/>
      </w:pPr>
    </w:lvl>
    <w:lvl w:ilvl="6" w:tplc="A52409B8" w:tentative="1">
      <w:start w:val="1"/>
      <w:numFmt w:val="decimal"/>
      <w:lvlText w:val="%7."/>
      <w:lvlJc w:val="left"/>
      <w:pPr>
        <w:ind w:left="5040" w:hanging="360"/>
      </w:pPr>
    </w:lvl>
    <w:lvl w:ilvl="7" w:tplc="1B2E3A16" w:tentative="1">
      <w:start w:val="1"/>
      <w:numFmt w:val="lowerLetter"/>
      <w:lvlText w:val="%8."/>
      <w:lvlJc w:val="left"/>
      <w:pPr>
        <w:ind w:left="5760" w:hanging="360"/>
      </w:pPr>
    </w:lvl>
    <w:lvl w:ilvl="8" w:tplc="AEA2F9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4/2023"/>
    <w:docVar w:name="dvlangue" w:val="BG"/>
    <w:docVar w:name="dvnumam" w:val="83"/>
    <w:docVar w:name="dvpe" w:val="746.665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относно европейската статистика за населението и жилищния фонд, за изменение на Регламент (ЕО) № 862/2007 и за отмяна на регламенти (ЕО) № 763/2008 и (ЕС) № 1260/2013(COM(2023)0031 – C9-0010/2023 – 2023/0008(COD))"/>
  </w:docVars>
  <w:rsids>
    <w:rsidRoot w:val="00A638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15AE"/>
    <w:rsid w:val="002767FF"/>
    <w:rsid w:val="002B18FE"/>
    <w:rsid w:val="002B5493"/>
    <w:rsid w:val="00343214"/>
    <w:rsid w:val="00361C00"/>
    <w:rsid w:val="00374B0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495C"/>
    <w:rsid w:val="00545827"/>
    <w:rsid w:val="00560270"/>
    <w:rsid w:val="00595216"/>
    <w:rsid w:val="005C2568"/>
    <w:rsid w:val="006037C0"/>
    <w:rsid w:val="006631B6"/>
    <w:rsid w:val="00680577"/>
    <w:rsid w:val="006D5E75"/>
    <w:rsid w:val="006F74FA"/>
    <w:rsid w:val="00724CFC"/>
    <w:rsid w:val="00731ADD"/>
    <w:rsid w:val="00734777"/>
    <w:rsid w:val="00747932"/>
    <w:rsid w:val="00751A4A"/>
    <w:rsid w:val="00756632"/>
    <w:rsid w:val="00762C74"/>
    <w:rsid w:val="0076606D"/>
    <w:rsid w:val="00786EC0"/>
    <w:rsid w:val="007B6E4A"/>
    <w:rsid w:val="007D1690"/>
    <w:rsid w:val="007E22AD"/>
    <w:rsid w:val="008035F8"/>
    <w:rsid w:val="00817416"/>
    <w:rsid w:val="00842779"/>
    <w:rsid w:val="00865F67"/>
    <w:rsid w:val="00881A7B"/>
    <w:rsid w:val="008840E5"/>
    <w:rsid w:val="00887B3E"/>
    <w:rsid w:val="008C2AC6"/>
    <w:rsid w:val="008E16FC"/>
    <w:rsid w:val="00930C23"/>
    <w:rsid w:val="0093193B"/>
    <w:rsid w:val="009509D8"/>
    <w:rsid w:val="00950B64"/>
    <w:rsid w:val="00981893"/>
    <w:rsid w:val="009D6E6C"/>
    <w:rsid w:val="00A1687D"/>
    <w:rsid w:val="00A43E52"/>
    <w:rsid w:val="00A4678D"/>
    <w:rsid w:val="00A638C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C68"/>
    <w:rsid w:val="00D56C11"/>
    <w:rsid w:val="00D834A0"/>
    <w:rsid w:val="00D872DF"/>
    <w:rsid w:val="00D91E21"/>
    <w:rsid w:val="00DA7FCD"/>
    <w:rsid w:val="00E365E1"/>
    <w:rsid w:val="00E820A4"/>
    <w:rsid w:val="00EA3370"/>
    <w:rsid w:val="00EB006A"/>
    <w:rsid w:val="00EB4772"/>
    <w:rsid w:val="00ED169E"/>
    <w:rsid w:val="00ED4235"/>
    <w:rsid w:val="00EF68A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D57D8"/>
  <w15:chartTrackingRefBased/>
  <w15:docId w15:val="{1E7E4E34-1277-47D3-A2F2-C2B9CE83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6606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6606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6606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6606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6606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6606D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76606D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76606D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76606D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76606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6606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6606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6606D"/>
    <w:pPr>
      <w:spacing w:after="120"/>
    </w:pPr>
  </w:style>
  <w:style w:type="paragraph" w:customStyle="1" w:styleId="PageHeading">
    <w:name w:val="PageHeading"/>
    <w:basedOn w:val="Normal"/>
    <w:rsid w:val="007660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6606D"/>
    <w:rPr>
      <w:b/>
    </w:rPr>
  </w:style>
  <w:style w:type="paragraph" w:customStyle="1" w:styleId="NormalBold12a">
    <w:name w:val="NormalBold12a"/>
    <w:basedOn w:val="Normal"/>
    <w:rsid w:val="0076606D"/>
    <w:pPr>
      <w:spacing w:after="240"/>
    </w:pPr>
    <w:rPr>
      <w:b/>
    </w:rPr>
  </w:style>
  <w:style w:type="paragraph" w:customStyle="1" w:styleId="AmJustText">
    <w:name w:val="AmJustText"/>
    <w:basedOn w:val="Normal"/>
    <w:rsid w:val="0076606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6606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6606D"/>
    <w:pPr>
      <w:spacing w:after="480"/>
      <w:ind w:left="1417"/>
    </w:pPr>
  </w:style>
  <w:style w:type="paragraph" w:customStyle="1" w:styleId="CoverNormal">
    <w:name w:val="CoverNormal"/>
    <w:basedOn w:val="Normal"/>
    <w:rsid w:val="0076606D"/>
    <w:pPr>
      <w:ind w:left="1418"/>
    </w:pPr>
  </w:style>
  <w:style w:type="paragraph" w:customStyle="1" w:styleId="AmCrossRef">
    <w:name w:val="AmCrossRef"/>
    <w:basedOn w:val="Normal"/>
    <w:rsid w:val="0076606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6606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6606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6606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6606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6606D"/>
    <w:pPr>
      <w:spacing w:before="240" w:after="1200"/>
    </w:pPr>
  </w:style>
  <w:style w:type="paragraph" w:styleId="Header">
    <w:name w:val="header"/>
    <w:basedOn w:val="Normal"/>
    <w:link w:val="HeaderChar"/>
    <w:rsid w:val="007660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6606D"/>
    <w:rPr>
      <w:sz w:val="24"/>
      <w:lang w:val="bg-BG"/>
    </w:rPr>
  </w:style>
  <w:style w:type="paragraph" w:customStyle="1" w:styleId="AmOrLang">
    <w:name w:val="AmOrLang"/>
    <w:basedOn w:val="Normal"/>
    <w:rsid w:val="0076606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660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660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6606D"/>
    <w:pPr>
      <w:spacing w:before="240"/>
    </w:pPr>
    <w:rPr>
      <w:b/>
    </w:rPr>
  </w:style>
  <w:style w:type="paragraph" w:customStyle="1" w:styleId="EPBody">
    <w:name w:val="EPBody"/>
    <w:basedOn w:val="Normal"/>
    <w:rsid w:val="0076606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6606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6606D"/>
    <w:pPr>
      <w:spacing w:before="480" w:after="240"/>
    </w:pPr>
  </w:style>
  <w:style w:type="paragraph" w:customStyle="1" w:styleId="Lgendesigne">
    <w:name w:val="Légende signe"/>
    <w:basedOn w:val="Normal"/>
    <w:rsid w:val="0076606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6606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6606D"/>
    <w:rPr>
      <w:sz w:val="18"/>
    </w:rPr>
  </w:style>
  <w:style w:type="character" w:customStyle="1" w:styleId="Normal6Char">
    <w:name w:val="Normal6 Char"/>
    <w:link w:val="Normal6"/>
    <w:locked/>
    <w:rsid w:val="0076606D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76606D"/>
    <w:pPr>
      <w:spacing w:after="120"/>
    </w:pPr>
  </w:style>
  <w:style w:type="character" w:customStyle="1" w:styleId="NormalBoldChar">
    <w:name w:val="NormalBold Char"/>
    <w:link w:val="NormalBold"/>
    <w:locked/>
    <w:rsid w:val="0076606D"/>
    <w:rPr>
      <w:b/>
      <w:sz w:val="24"/>
      <w:lang w:val="bg-BG"/>
    </w:rPr>
  </w:style>
  <w:style w:type="paragraph" w:customStyle="1" w:styleId="Normal12Italic">
    <w:name w:val="Normal12Italic"/>
    <w:basedOn w:val="Normal"/>
    <w:rsid w:val="0076606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76606D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76606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660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6606D"/>
    <w:pPr>
      <w:jc w:val="right"/>
    </w:pPr>
    <w:rPr>
      <w:lang w:val="bg-BG"/>
    </w:rPr>
  </w:style>
  <w:style w:type="paragraph" w:customStyle="1" w:styleId="Memos">
    <w:name w:val="Memos"/>
    <w:basedOn w:val="NoSpacing"/>
    <w:link w:val="MemosChar"/>
    <w:autoRedefine/>
    <w:qFormat/>
    <w:rsid w:val="0076606D"/>
    <w:pPr>
      <w:widowControl/>
      <w:spacing w:after="120" w:line="340" w:lineRule="exact"/>
      <w:jc w:val="both"/>
    </w:pPr>
    <w:rPr>
      <w:rFonts w:eastAsiaTheme="minorHAnsi"/>
      <w:sz w:val="28"/>
      <w:szCs w:val="32"/>
      <w:u w:val="single"/>
      <w:lang w:eastAsia="en-US"/>
    </w:rPr>
  </w:style>
  <w:style w:type="character" w:customStyle="1" w:styleId="MemosChar">
    <w:name w:val="Memos Char"/>
    <w:basedOn w:val="DefaultParagraphFont"/>
    <w:link w:val="Memos"/>
    <w:rsid w:val="0076606D"/>
    <w:rPr>
      <w:rFonts w:eastAsiaTheme="minorHAnsi"/>
      <w:sz w:val="28"/>
      <w:szCs w:val="32"/>
      <w:u w:val="single"/>
      <w:lang w:val="bg-BG" w:eastAsia="en-US"/>
    </w:rPr>
  </w:style>
  <w:style w:type="paragraph" w:styleId="BalloonText">
    <w:name w:val="Balloon Text"/>
    <w:basedOn w:val="Normal"/>
    <w:link w:val="BalloonTextChar"/>
    <w:unhideWhenUsed/>
    <w:rsid w:val="007660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6606D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7660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60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6606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660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606D"/>
    <w:rPr>
      <w:b/>
      <w:bCs/>
      <w:lang w:val="bg-BG"/>
    </w:rPr>
  </w:style>
  <w:style w:type="paragraph" w:customStyle="1" w:styleId="Normal12a">
    <w:name w:val="Normal12a"/>
    <w:basedOn w:val="Normal"/>
    <w:rsid w:val="0076606D"/>
    <w:pPr>
      <w:spacing w:after="240"/>
    </w:pPr>
  </w:style>
  <w:style w:type="paragraph" w:customStyle="1" w:styleId="PageHeadingNotTOC">
    <w:name w:val="PageHeadingNotTOC"/>
    <w:basedOn w:val="Normal"/>
    <w:rsid w:val="007660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6606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link w:val="Normal24aChar"/>
    <w:rsid w:val="0076606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6606D"/>
    <w:rPr>
      <w:sz w:val="24"/>
      <w:lang w:val="bg-BG"/>
    </w:rPr>
  </w:style>
  <w:style w:type="paragraph" w:customStyle="1" w:styleId="RollCallSymbols14pt">
    <w:name w:val="RollCallSymbols14pt"/>
    <w:basedOn w:val="Normal"/>
    <w:rsid w:val="0076606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6606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6606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6606D"/>
    <w:pPr>
      <w:spacing w:before="120" w:after="120"/>
    </w:pPr>
    <w:rPr>
      <w:snapToGrid w:val="0"/>
      <w:sz w:val="16"/>
      <w:lang w:eastAsia="en-US"/>
    </w:rPr>
  </w:style>
  <w:style w:type="paragraph" w:styleId="NoSpacing">
    <w:name w:val="No Spacing"/>
    <w:uiPriority w:val="1"/>
    <w:qFormat/>
    <w:rsid w:val="0076606D"/>
    <w:pPr>
      <w:widowControl w:val="0"/>
    </w:pPr>
    <w:rPr>
      <w:sz w:val="24"/>
      <w:lang w:val="bg-BG"/>
    </w:rPr>
  </w:style>
  <w:style w:type="paragraph" w:styleId="Footer">
    <w:name w:val="footer"/>
    <w:basedOn w:val="Normal"/>
    <w:link w:val="FooterChar"/>
    <w:rsid w:val="007660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6606D"/>
    <w:rPr>
      <w:sz w:val="24"/>
      <w:lang w:val="bg-BG"/>
    </w:rPr>
  </w:style>
  <w:style w:type="paragraph" w:customStyle="1" w:styleId="NormalCenter12a">
    <w:name w:val="NormalCenter12a"/>
    <w:basedOn w:val="Normal"/>
    <w:rsid w:val="008E16FC"/>
    <w:pPr>
      <w:spacing w:after="240"/>
      <w:jc w:val="center"/>
    </w:pPr>
  </w:style>
  <w:style w:type="paragraph" w:customStyle="1" w:styleId="FootnoteTextForceStyle">
    <w:name w:val="Footnote Text ForceStyle"/>
    <w:rsid w:val="008E16FC"/>
    <w:pPr>
      <w:keepLines/>
      <w:widowControl w:val="0"/>
      <w:ind w:left="850" w:hanging="850"/>
    </w:pPr>
    <w:rPr>
      <w:sz w:val="24"/>
      <w:lang w:val="bg-BG" w:eastAsia="en-US"/>
    </w:rPr>
  </w:style>
  <w:style w:type="paragraph" w:customStyle="1" w:styleId="AmHeadingConsam">
    <w:name w:val="AmHeadingConsam"/>
    <w:basedOn w:val="Normal"/>
    <w:next w:val="NormalCenter12a"/>
    <w:rsid w:val="007B6E4A"/>
    <w:pPr>
      <w:spacing w:before="720"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FFED1-6EC9-48FD-9F4B-70BE99A96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48</Pages>
  <Words>11349</Words>
  <Characters>69070</Characters>
  <Application>Microsoft Office Word</Application>
  <DocSecurity>0</DocSecurity>
  <Lines>575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BINKEVICIUTE Aurelija</cp:lastModifiedBy>
  <cp:revision>3</cp:revision>
  <cp:lastPrinted>2004-11-19T15:42:00Z</cp:lastPrinted>
  <dcterms:created xsi:type="dcterms:W3CDTF">2024-10-17T10:11:00Z</dcterms:created>
  <dcterms:modified xsi:type="dcterms:W3CDTF">2024-11-27T13:07:00Z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A9-0284/2023</vt:lpwstr>
  </property>
  <property fmtid="{D5CDD505-2E9C-101B-9397-08002B2CF9AE}" pid="4" name="&lt;Type&gt;">
    <vt:lpwstr>RR</vt:lpwstr>
  </property>
</Properties>
</file>