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1220" w:rsidTr="0010095E">
        <w:trPr>
          <w:trHeight w:hRule="exact" w:val="1418"/>
        </w:trPr>
        <w:tc>
          <w:tcPr>
            <w:tcW w:w="6804" w:type="dxa"/>
            <w:shd w:val="clear" w:color="auto" w:fill="auto"/>
            <w:vAlign w:val="center"/>
          </w:tcPr>
          <w:p w:rsidR="00751A4A" w:rsidRPr="003B1220" w:rsidRDefault="0043143A" w:rsidP="0010095E">
            <w:pPr>
              <w:pStyle w:val="EPName"/>
            </w:pPr>
            <w:r w:rsidRPr="003B1220">
              <w:t>Ευρωπαϊκό Κοινοβούλιο</w:t>
            </w:r>
          </w:p>
          <w:p w:rsidR="00751A4A" w:rsidRPr="003B1220" w:rsidRDefault="00817416" w:rsidP="00756632">
            <w:pPr>
              <w:pStyle w:val="EPTerm"/>
              <w:rPr>
                <w:rStyle w:val="HideTWBExt"/>
                <w:noProof w:val="0"/>
                <w:vanish w:val="0"/>
                <w:color w:val="auto"/>
              </w:rPr>
            </w:pPr>
            <w:r w:rsidRPr="003B1220">
              <w:t>2019-2024</w:t>
            </w:r>
          </w:p>
        </w:tc>
        <w:tc>
          <w:tcPr>
            <w:tcW w:w="2268" w:type="dxa"/>
            <w:shd w:val="clear" w:color="auto" w:fill="auto"/>
          </w:tcPr>
          <w:p w:rsidR="00751A4A" w:rsidRPr="003B1220" w:rsidRDefault="00187494" w:rsidP="0010095E">
            <w:pPr>
              <w:pStyle w:val="EPLogo"/>
            </w:pPr>
            <w:r w:rsidRPr="003B12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1220" w:rsidRDefault="00D058B8" w:rsidP="004C5D52">
      <w:pPr>
        <w:pStyle w:val="LineTop"/>
      </w:pPr>
    </w:p>
    <w:p w:rsidR="00680577" w:rsidRPr="003B1220" w:rsidRDefault="0043143A" w:rsidP="00680577">
      <w:pPr>
        <w:pStyle w:val="EPBodyTA1"/>
      </w:pPr>
      <w:r w:rsidRPr="003B1220">
        <w:t>ΚΕΙΜΕΝΑ ΠΟΥ ΕΓΚΡΙΘΗΚΑΝ</w:t>
      </w:r>
    </w:p>
    <w:p w:rsidR="00D058B8" w:rsidRPr="003B1220" w:rsidRDefault="00D058B8" w:rsidP="00D058B8">
      <w:pPr>
        <w:pStyle w:val="LineBottom"/>
      </w:pPr>
    </w:p>
    <w:p w:rsidR="0043143A" w:rsidRPr="003B1220" w:rsidRDefault="0043143A" w:rsidP="0043143A">
      <w:pPr>
        <w:pStyle w:val="ATHeading1"/>
      </w:pPr>
      <w:bookmarkStart w:id="0" w:name="TANumber"/>
      <w:r w:rsidRPr="003B1220">
        <w:t>P9_TA(2024)0</w:t>
      </w:r>
      <w:r w:rsidR="00E62074" w:rsidRPr="003B1220">
        <w:t>361</w:t>
      </w:r>
      <w:bookmarkEnd w:id="0"/>
    </w:p>
    <w:p w:rsidR="0043143A" w:rsidRPr="003B1220" w:rsidRDefault="00A37ED8" w:rsidP="00A37ED8">
      <w:pPr>
        <w:pStyle w:val="ATHeading2"/>
      </w:pPr>
      <w:bookmarkStart w:id="1" w:name="title"/>
      <w:r w:rsidRPr="003B1220">
        <w:t>Στατιστικές σχετικά με τον πληθυσμό και τη στέγαση</w:t>
      </w:r>
      <w:bookmarkEnd w:id="1"/>
    </w:p>
    <w:p w:rsidR="0043143A" w:rsidRPr="003B1220" w:rsidRDefault="0043143A" w:rsidP="0043143A">
      <w:pPr>
        <w:rPr>
          <w:i/>
          <w:vanish/>
        </w:rPr>
      </w:pPr>
      <w:r w:rsidRPr="003B1220">
        <w:rPr>
          <w:i/>
        </w:rPr>
        <w:fldChar w:fldCharType="begin"/>
      </w:r>
      <w:r w:rsidRPr="003B1220">
        <w:rPr>
          <w:i/>
        </w:rPr>
        <w:instrText xml:space="preserve"> TC"(</w:instrText>
      </w:r>
      <w:bookmarkStart w:id="2" w:name="DocNumber"/>
      <w:r w:rsidRPr="003B1220">
        <w:rPr>
          <w:i/>
        </w:rPr>
        <w:instrText>A9-0284/2023</w:instrText>
      </w:r>
      <w:bookmarkEnd w:id="2"/>
      <w:r w:rsidRPr="003B1220">
        <w:rPr>
          <w:i/>
        </w:rPr>
        <w:instrText xml:space="preserve"> - Εισηγήτρια: Irena Joveva)"\l3 \n&gt; \* MERGEFORMAT </w:instrText>
      </w:r>
      <w:r w:rsidRPr="003B1220">
        <w:rPr>
          <w:i/>
        </w:rPr>
        <w:fldChar w:fldCharType="end"/>
      </w:r>
    </w:p>
    <w:p w:rsidR="0043143A" w:rsidRPr="003B1220" w:rsidRDefault="0043143A" w:rsidP="0043143A">
      <w:pPr>
        <w:rPr>
          <w:vanish/>
        </w:rPr>
      </w:pPr>
      <w:bookmarkStart w:id="3" w:name="Commission"/>
      <w:r w:rsidRPr="003B1220">
        <w:rPr>
          <w:vanish/>
        </w:rPr>
        <w:t>Επιτροπή Απασχόλησης και Κοινωνικών Υποθέσεων</w:t>
      </w:r>
      <w:bookmarkEnd w:id="3"/>
    </w:p>
    <w:p w:rsidR="0043143A" w:rsidRPr="003B1220" w:rsidRDefault="0043143A" w:rsidP="0043143A">
      <w:pPr>
        <w:rPr>
          <w:vanish/>
        </w:rPr>
      </w:pPr>
      <w:bookmarkStart w:id="4" w:name="PE"/>
      <w:r w:rsidRPr="003B1220">
        <w:rPr>
          <w:vanish/>
        </w:rPr>
        <w:t>PE746.665</w:t>
      </w:r>
      <w:bookmarkEnd w:id="4"/>
    </w:p>
    <w:p w:rsidR="0043143A" w:rsidRPr="003B1220" w:rsidRDefault="0043143A" w:rsidP="0043143A">
      <w:pPr>
        <w:pStyle w:val="ATHeading3"/>
      </w:pPr>
      <w:bookmarkStart w:id="5" w:name="Sujet"/>
      <w:r w:rsidRPr="003B1220">
        <w:t xml:space="preserve">Νομοθετικό ψήφισμα του Ευρωπαϊκού Κοινοβουλίου </w:t>
      </w:r>
      <w:r w:rsidR="00A37ED8" w:rsidRPr="003B1220">
        <w:t xml:space="preserve">της 24ης Απριλίου 2024 </w:t>
      </w:r>
      <w:r w:rsidRPr="003B1220">
        <w:t>σχετικά με την πρόταση κανονισμού του Ευρωπαϊκού Κοινοβουλίου και του Συμβουλίου για τις ευρωπαϊκές στατιστικές σχετικά με τον πληθυσμό και τη στέγαση, την τροποποίηση του κανονισμού (ΕΚ) αριθ. 862/2007 και την κατάργηση των κανονισμών (ΕΚ) αριθ. 763/2008 και (ΕΕ) αριθ. 1260/2013</w:t>
      </w:r>
      <w:bookmarkEnd w:id="5"/>
      <w:r w:rsidRPr="003B1220">
        <w:t xml:space="preserve"> </w:t>
      </w:r>
      <w:bookmarkStart w:id="6" w:name="References"/>
      <w:r w:rsidRPr="003B1220">
        <w:t>(COM(2023)0031 – C9-0010/2023 – 2023/0008(COD))</w:t>
      </w:r>
      <w:bookmarkEnd w:id="6"/>
    </w:p>
    <w:p w:rsidR="009B1103" w:rsidRPr="003B1220" w:rsidRDefault="009B1103" w:rsidP="009B1103">
      <w:pPr>
        <w:pStyle w:val="NormalBold"/>
      </w:pPr>
      <w:bookmarkStart w:id="7" w:name="TextBodyBegin"/>
      <w:bookmarkEnd w:id="7"/>
      <w:r w:rsidRPr="003B1220">
        <w:t>(Συνήθης νομοθετική διαδικασία: πρώτη ανάγνωση)</w:t>
      </w:r>
    </w:p>
    <w:p w:rsidR="009B1103" w:rsidRPr="003B1220" w:rsidRDefault="009B1103" w:rsidP="009B1103">
      <w:pPr>
        <w:pStyle w:val="EPComma"/>
      </w:pPr>
      <w:r w:rsidRPr="003B1220">
        <w:rPr>
          <w:i/>
        </w:rPr>
        <w:t>Το Ευρωπαϊκό Κοινοβούλιο</w:t>
      </w:r>
      <w:r w:rsidRPr="003B1220">
        <w:t>,</w:t>
      </w:r>
    </w:p>
    <w:p w:rsidR="009B1103" w:rsidRPr="003B1220" w:rsidRDefault="009B1103" w:rsidP="009B1103">
      <w:pPr>
        <w:pStyle w:val="NormalHanging12a"/>
      </w:pPr>
      <w:r w:rsidRPr="003B1220">
        <w:t>–</w:t>
      </w:r>
      <w:r w:rsidRPr="003B1220">
        <w:tab/>
        <w:t>έχοντας υπόψη την πρόταση της Επιτροπής προς το Κοινοβούλιο και το Συμβούλιο (COM(2023)0031),</w:t>
      </w:r>
    </w:p>
    <w:p w:rsidR="009B1103" w:rsidRPr="003B1220" w:rsidRDefault="009B1103" w:rsidP="009B1103">
      <w:pPr>
        <w:pStyle w:val="NormalHanging12a"/>
      </w:pPr>
      <w:r w:rsidRPr="003B1220">
        <w:t>–</w:t>
      </w:r>
      <w:r w:rsidRPr="003B1220">
        <w:tab/>
        <w:t>έχοντας υπόψη το άρθρο 294 παράγραφος 2 και το άρθρο 338 παράγραφος 1 της Συνθήκης για τη λειτουργία της Ευρωπαϊκής Ένωσης, σύμφωνα με τα οποία του υποβλήθηκε η πρόταση από την Επιτροπή (C9</w:t>
      </w:r>
      <w:r w:rsidRPr="003B1220">
        <w:noBreakHyphen/>
        <w:t>0010/2023),</w:t>
      </w:r>
    </w:p>
    <w:p w:rsidR="009B1103" w:rsidRPr="003B1220" w:rsidRDefault="009B1103" w:rsidP="009B1103">
      <w:pPr>
        <w:pStyle w:val="NormalHanging12a"/>
      </w:pPr>
      <w:r w:rsidRPr="003B1220">
        <w:t>–</w:t>
      </w:r>
      <w:r w:rsidRPr="003B1220">
        <w:tab/>
        <w:t>έχοντας υπόψη το άρθρο 294 παράγραφος 3 της Συνθήκης για τη λειτουργία της Ευρωπαϊκής Ένωσης,</w:t>
      </w:r>
    </w:p>
    <w:p w:rsidR="00A37ED8" w:rsidRPr="003B1220" w:rsidRDefault="00A37ED8" w:rsidP="009B1103">
      <w:pPr>
        <w:pStyle w:val="NormalHanging12a"/>
      </w:pPr>
      <w:r w:rsidRPr="003B1220">
        <w:t>–</w:t>
      </w:r>
      <w:r w:rsidRPr="003B1220">
        <w:tab/>
        <w:t>έχοντας υπόψη τη γνώμη της Ευρωπαϊκής Οικονομικής και Κοινωνικής Επιτροπής της 27ης Απριλίου 2023</w:t>
      </w:r>
      <w:r w:rsidRPr="003B1220">
        <w:rPr>
          <w:rStyle w:val="FootnoteReference"/>
        </w:rPr>
        <w:footnoteReference w:id="1"/>
      </w:r>
      <w:r w:rsidRPr="003B1220">
        <w:t>,</w:t>
      </w:r>
    </w:p>
    <w:p w:rsidR="009B1103" w:rsidRPr="003B1220" w:rsidRDefault="009B1103" w:rsidP="009B1103">
      <w:pPr>
        <w:pStyle w:val="NormalHanging12a"/>
      </w:pPr>
      <w:r w:rsidRPr="003B1220">
        <w:t>–</w:t>
      </w:r>
      <w:r w:rsidRPr="003B1220">
        <w:tab/>
        <w:t>έχοντας υπόψη το άρθρο 59 του Κανονισμού του,</w:t>
      </w:r>
    </w:p>
    <w:p w:rsidR="009B1103" w:rsidRPr="003B1220" w:rsidRDefault="009B1103" w:rsidP="009B1103">
      <w:pPr>
        <w:pStyle w:val="NormalHanging12a"/>
      </w:pPr>
      <w:r w:rsidRPr="003B1220">
        <w:t>–</w:t>
      </w:r>
      <w:r w:rsidRPr="003B1220">
        <w:tab/>
        <w:t>έχοντας υπόψη τις γνωμοδοτήσεις της Επιτροπής Πολιτικών Ελευθεριών, Δικαιοσύνης και Εσωτερικών Υποθέσεων και της Επιτροπής Περιφερειακής Ανάπτυξης,</w:t>
      </w:r>
    </w:p>
    <w:p w:rsidR="009B1103" w:rsidRPr="003B1220" w:rsidRDefault="009B1103" w:rsidP="009B1103">
      <w:pPr>
        <w:pStyle w:val="NormalHanging12a"/>
      </w:pPr>
      <w:r w:rsidRPr="003B1220">
        <w:t>–</w:t>
      </w:r>
      <w:r w:rsidRPr="003B1220">
        <w:tab/>
        <w:t>έχοντας υπόψη την έκθεση της Επιτροπής Απασχόλησης και Κοινωνικών Υποθέσεων (A9-0284/2023),</w:t>
      </w:r>
    </w:p>
    <w:p w:rsidR="009B1103" w:rsidRPr="003B1220" w:rsidRDefault="00E62074" w:rsidP="00E62074">
      <w:pPr>
        <w:pStyle w:val="NormalHanging12a"/>
      </w:pPr>
      <w:r w:rsidRPr="003B1220">
        <w:t>1.</w:t>
      </w:r>
      <w:r w:rsidRPr="003B1220">
        <w:tab/>
      </w:r>
      <w:r w:rsidR="009B1103" w:rsidRPr="003B1220">
        <w:t>εγκρίνει τη θέση του σε πρώτη ανάγνωση όπως παρατίθεται κατωτέρω·</w:t>
      </w:r>
    </w:p>
    <w:p w:rsidR="009B1103" w:rsidRPr="003B1220" w:rsidRDefault="00E62074" w:rsidP="00E62074">
      <w:pPr>
        <w:pStyle w:val="NormalHanging12a"/>
      </w:pPr>
      <w:r w:rsidRPr="003B1220">
        <w:lastRenderedPageBreak/>
        <w:t>2.</w:t>
      </w:r>
      <w:r w:rsidRPr="003B1220">
        <w:tab/>
      </w:r>
      <w:r w:rsidR="009B1103" w:rsidRPr="003B1220">
        <w:t>ζητεί από την Επιτροπή να του υποβάλει εκ νέου την πρόταση, αν την αντικαταστήσει με νέο κείμενο, αν της επιφέρει σημαντικές τροποποιήσεις ή αν προτίθεται να της επιφέρει σημαντικές τροποποιήσεις·</w:t>
      </w:r>
    </w:p>
    <w:p w:rsidR="009B1103" w:rsidRPr="003B1220" w:rsidRDefault="009B1103" w:rsidP="009B1103">
      <w:pPr>
        <w:pStyle w:val="NormalHanging12a"/>
      </w:pPr>
      <w:r w:rsidRPr="003B1220">
        <w:t>3.</w:t>
      </w:r>
      <w:r w:rsidRPr="003B1220">
        <w:tab/>
        <w:t>αναθέτει στην Πρόεδρό του να διαβιβάσει τη θέση του Κοινοβουλίου στο Συμβούλιο, στην Επιτροπή και στα εθνικά κοινοβούλια.</w:t>
      </w:r>
    </w:p>
    <w:p w:rsidR="00621AFB" w:rsidRDefault="00621AFB" w:rsidP="009B1103">
      <w:pPr>
        <w:pStyle w:val="NormalHanging12a"/>
      </w:pPr>
    </w:p>
    <w:p w:rsidR="00151BEE" w:rsidRPr="003B1220" w:rsidRDefault="00151BEE" w:rsidP="009B1103">
      <w:pPr>
        <w:pStyle w:val="NormalHanging12a"/>
        <w:sectPr w:rsidR="00151BEE" w:rsidRPr="003B1220" w:rsidSect="003F63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51BEE" w:rsidRPr="00C96A0A" w:rsidRDefault="00151BEE" w:rsidP="00151BE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P9_TC1-COD(2023</w:t>
      </w:r>
      <w:r w:rsidRPr="00C96A0A">
        <w:rPr>
          <w:b/>
        </w:rPr>
        <w:t>)0</w:t>
      </w:r>
      <w:r>
        <w:rPr>
          <w:b/>
        </w:rPr>
        <w:t>008</w:t>
      </w:r>
    </w:p>
    <w:p w:rsidR="00621AFB" w:rsidRPr="003B1220" w:rsidRDefault="00151BEE" w:rsidP="00151BE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24</w:t>
      </w:r>
      <w:r w:rsidRPr="00C96A0A">
        <w:rPr>
          <w:b/>
        </w:rPr>
        <w:t> </w:t>
      </w:r>
      <w:r>
        <w:rPr>
          <w:b/>
        </w:rPr>
        <w:t xml:space="preserve">Απριλίου 2024 </w:t>
      </w:r>
      <w:r w:rsidRPr="00C96A0A">
        <w:rPr>
          <w:b/>
        </w:rPr>
        <w:t>εν όψει της έγκρισης κανονισμού (ΕΕ) 20</w:t>
      </w:r>
      <w:r>
        <w:rPr>
          <w:b/>
        </w:rPr>
        <w:t>24</w:t>
      </w:r>
      <w:r w:rsidRPr="00C96A0A">
        <w:rPr>
          <w:b/>
        </w:rPr>
        <w:t xml:space="preserve">/... του Ευρωπαϊκού Κοινοβουλίου και του Συμβουλίου </w:t>
      </w:r>
      <w:r w:rsidR="00621AFB" w:rsidRPr="003B1220">
        <w:rPr>
          <w:b/>
        </w:rPr>
        <w:t>για τις ευρωπαϊκές στατιστικές σχετικά με τον πληθυσμό και τη στέγαση, την τροποποίηση του κανονισμού (ΕΚ) αριθ. 862/2007 και την κατάργηση των κανονισμών (ΕΚ) αριθ. 763/2008 και (ΕΕ) αριθ. 1260/2013</w:t>
      </w:r>
      <w:r>
        <w:rPr>
          <w:rStyle w:val="FootnoteReference"/>
          <w:b/>
        </w:rPr>
        <w:footnoteReference w:customMarkFollows="1" w:id="2"/>
        <w:t>*</w:t>
      </w:r>
    </w:p>
    <w:p w:rsidR="00621AFB" w:rsidRPr="003B1220" w:rsidRDefault="00621AFB" w:rsidP="00621AFB">
      <w:pPr>
        <w:widowControl/>
        <w:spacing w:line="360" w:lineRule="auto"/>
        <w:jc w:val="center"/>
        <w:rPr>
          <w:szCs w:val="24"/>
        </w:rPr>
      </w:pPr>
      <w:r w:rsidRPr="003B1220">
        <w:t>(Κείμενο που παρουσιάζει ενδιαφέρον για τον ΕΟΧ)</w:t>
      </w:r>
    </w:p>
    <w:p w:rsidR="00621AFB" w:rsidRPr="003B1220" w:rsidRDefault="00621AFB" w:rsidP="00621AFB">
      <w:pPr>
        <w:keepNext/>
        <w:spacing w:before="600" w:after="120" w:line="360" w:lineRule="auto"/>
        <w:rPr>
          <w:szCs w:val="24"/>
        </w:rPr>
      </w:pPr>
      <w:r w:rsidRPr="003B1220">
        <w:t>ΤΟ ΕΥΡΩΠΑΪΚΟ ΚΟΙΝΟΒΟΥΛΙΟ ΚΑΙ ΤΟ ΣΥΜΒΟΥΛΙΟ ΤΗΣ ΕΥΡΩΠΑΪΚΗΣ ΕΝΩΣΗΣ,</w:t>
      </w:r>
    </w:p>
    <w:p w:rsidR="00621AFB" w:rsidRPr="003B1220" w:rsidRDefault="00621AFB" w:rsidP="00621AFB">
      <w:pPr>
        <w:spacing w:before="120" w:after="120" w:line="360" w:lineRule="auto"/>
      </w:pPr>
      <w:r w:rsidRPr="003B1220">
        <w:t>Έχοντας υπόψη τη Συνθήκη για τη λειτουργία της Ευρωπαϊκής Ένωσης και ιδίως το άρθρο 338 παράγραφος 1,</w:t>
      </w:r>
    </w:p>
    <w:p w:rsidR="00621AFB" w:rsidRPr="003B1220" w:rsidRDefault="00621AFB" w:rsidP="00621AFB">
      <w:pPr>
        <w:spacing w:before="120" w:after="120" w:line="360" w:lineRule="auto"/>
      </w:pPr>
      <w:r w:rsidRPr="003B1220">
        <w:t>Έχοντας υπόψη την πρόταση της Ευρωπαϊκής Επιτροπής,</w:t>
      </w:r>
    </w:p>
    <w:p w:rsidR="00621AFB" w:rsidRPr="003B1220" w:rsidRDefault="00621AFB" w:rsidP="00621AFB">
      <w:pPr>
        <w:spacing w:before="120" w:after="120" w:line="360" w:lineRule="auto"/>
      </w:pPr>
      <w:r w:rsidRPr="003B1220">
        <w:t>Κατόπιν διαβίβασης του σχεδίου νομοθετικής πράξης στα εθνικά κοινοβούλια,</w:t>
      </w:r>
    </w:p>
    <w:p w:rsidR="00621AFB" w:rsidRPr="003B1220" w:rsidRDefault="00621AFB" w:rsidP="00621AFB">
      <w:pPr>
        <w:spacing w:before="120" w:after="120" w:line="360" w:lineRule="auto"/>
      </w:pPr>
      <w:r w:rsidRPr="003B1220">
        <w:t>Έχοντας υπόψη τη γνώμη της Ευρωπαϊκής Οικονομικής και Κοινωνικής Επιτροπής</w:t>
      </w:r>
      <w:r w:rsidRPr="003B1220">
        <w:rPr>
          <w:vertAlign w:val="superscript"/>
          <w:lang w:eastAsia="en-US"/>
        </w:rPr>
        <w:footnoteReference w:id="3"/>
      </w:r>
      <w:r w:rsidRPr="003B1220">
        <w:t>,</w:t>
      </w:r>
    </w:p>
    <w:p w:rsidR="00621AFB" w:rsidRPr="003B1220" w:rsidRDefault="00621AFB" w:rsidP="00621AFB">
      <w:pPr>
        <w:spacing w:before="120" w:after="120" w:line="360" w:lineRule="auto"/>
      </w:pPr>
      <w:r w:rsidRPr="003B1220">
        <w:t>Έχοντας υπόψη τη γνώμη της Επιτροπής των Περιφερειών</w:t>
      </w:r>
      <w:r w:rsidRPr="003B1220">
        <w:rPr>
          <w:vertAlign w:val="superscript"/>
          <w:lang w:eastAsia="en-US"/>
        </w:rPr>
        <w:footnoteReference w:id="4"/>
      </w:r>
      <w:r w:rsidRPr="003B1220">
        <w:t>,</w:t>
      </w:r>
    </w:p>
    <w:p w:rsidR="00621AFB" w:rsidRPr="003B1220" w:rsidRDefault="00621AFB" w:rsidP="00621AFB">
      <w:pPr>
        <w:spacing w:before="120" w:after="120" w:line="360" w:lineRule="auto"/>
      </w:pPr>
      <w:r w:rsidRPr="003B1220">
        <w:t>Αποφασίζοντας σύμφωνα με τη συνήθη νομοθετική διαδικασία,</w:t>
      </w:r>
    </w:p>
    <w:p w:rsidR="00621AFB" w:rsidRPr="003B1220" w:rsidRDefault="00621AFB" w:rsidP="00621AFB">
      <w:pPr>
        <w:spacing w:before="120" w:after="120" w:line="360" w:lineRule="auto"/>
      </w:pPr>
      <w:r w:rsidRPr="003B1220">
        <w:t>Εκτιμώντας τα ακόλουθα:</w:t>
      </w:r>
    </w:p>
    <w:p w:rsidR="00621AFB" w:rsidRPr="003B1220" w:rsidRDefault="00621AFB" w:rsidP="00621AFB">
      <w:pPr>
        <w:spacing w:before="120" w:after="120" w:line="360" w:lineRule="auto"/>
        <w:ind w:left="850" w:hanging="850"/>
        <w:rPr>
          <w:szCs w:val="24"/>
        </w:rPr>
      </w:pPr>
      <w:r w:rsidRPr="003B1220">
        <w:t>(1)</w:t>
      </w:r>
      <w:r w:rsidRPr="003B1220">
        <w:tab/>
        <w:t xml:space="preserve">Οι ευρωπαϊκές στατιστικές σχετικά με τον πληθυσμό και τη στέγαση </w:t>
      </w:r>
      <w:r w:rsidRPr="003B1220">
        <w:rPr>
          <w:b/>
          <w:bCs/>
          <w:i/>
          <w:iCs/>
        </w:rPr>
        <w:t>διαδραματίζουν κεντρικό ρόλο στις διαδικασίες χάραξης πολιτικής και λήψης αποφάσεων και, συνεπώς,</w:t>
      </w:r>
      <w:r w:rsidRPr="003B1220">
        <w:t xml:space="preserve"> είναι απαραίτητες για τον σχεδιασμό, την εφαρμογή και την αξιολόγηση των ενωσιακών πολιτικών, ιδίως εκείνων που αφορούν τις δημογραφικές αλλαγές, τον πράσινο και τον ψηφιακό μετασχηματισμό, </w:t>
      </w:r>
      <w:r w:rsidRPr="003B1220">
        <w:rPr>
          <w:b/>
          <w:bCs/>
          <w:i/>
          <w:iCs/>
        </w:rPr>
        <w:t>το πλαίσιο για την</w:t>
      </w:r>
      <w:r w:rsidRPr="003B1220">
        <w:t xml:space="preserve"> προώθηση της ενεργειακής απόδοσης, την οικονομική, κοινωνική και εδαφική συνοχή, καθώς και </w:t>
      </w:r>
      <w:r w:rsidRPr="003B1220">
        <w:rPr>
          <w:b/>
          <w:bCs/>
          <w:i/>
          <w:iCs/>
        </w:rPr>
        <w:t>την εφαρμογή των αρχών του ευρωπαϊκού πυλώνα κοινωνικών δικαιωμάτων</w:t>
      </w:r>
      <w:r w:rsidRPr="003B1220">
        <w:t xml:space="preserve"> και την επίτευξη των στόχων βιώσιμης ανάπτυξης του θεματολογίου των Ηνωμένων Εθνών για το 2030 </w:t>
      </w:r>
      <w:r w:rsidRPr="003B1220">
        <w:rPr>
          <w:b/>
          <w:bCs/>
          <w:i/>
          <w:iCs/>
        </w:rPr>
        <w:t xml:space="preserve">στον βαθμό που εμπίπτουν στο </w:t>
      </w:r>
      <w:r w:rsidRPr="003B1220">
        <w:rPr>
          <w:b/>
          <w:bCs/>
          <w:i/>
          <w:iCs/>
        </w:rPr>
        <w:lastRenderedPageBreak/>
        <w:t>πεδίο εφαρμογής του παρόντος κανονισμού.</w:t>
      </w:r>
    </w:p>
    <w:p w:rsidR="00621AFB" w:rsidRPr="003B1220" w:rsidRDefault="00621AFB" w:rsidP="00621AFB">
      <w:pPr>
        <w:spacing w:before="120" w:after="120" w:line="360" w:lineRule="auto"/>
        <w:ind w:left="850" w:hanging="850"/>
        <w:rPr>
          <w:szCs w:val="24"/>
        </w:rPr>
      </w:pPr>
      <w:r w:rsidRPr="003B1220">
        <w:t>(2)</w:t>
      </w:r>
      <w:r w:rsidRPr="003B1220">
        <w:tab/>
        <w:t>Οι στατιστικές σχετικά με τον πληθυσμό αποτελούν σημαντικό παρονομαστή για ευρύ φάσμα δεικτών πολιτικής και χρησιμοποιούνται ως σημείο αναφοράς στις ευρωπαϊκές στατιστικές, ιδίως για την παροχή πλαισίων δειγματοληψίας για τη διενέργεια αντιπροσωπευτικών ερευνών σε άτομα και νοικοκυριά, σύμφωνα με τον κανονισμό (ΕΕ) 2019/1700 του Ευρωπαϊκού Κοινοβουλίου και του Συμβουλίου</w:t>
      </w:r>
      <w:r w:rsidRPr="003B1220">
        <w:rPr>
          <w:szCs w:val="24"/>
          <w:vertAlign w:val="superscript"/>
          <w:lang w:eastAsia="en-US"/>
        </w:rPr>
        <w:footnoteReference w:id="5"/>
      </w:r>
      <w:r w:rsidRPr="003B1220">
        <w:t>.</w:t>
      </w:r>
    </w:p>
    <w:p w:rsidR="00621AFB" w:rsidRPr="003B1220" w:rsidRDefault="00621AFB" w:rsidP="00621AFB">
      <w:pPr>
        <w:spacing w:before="120" w:after="120" w:line="360" w:lineRule="auto"/>
        <w:ind w:left="850" w:hanging="850"/>
        <w:rPr>
          <w:szCs w:val="24"/>
        </w:rPr>
      </w:pPr>
      <w:r w:rsidRPr="003B1220">
        <w:t>(3)</w:t>
      </w:r>
      <w:r w:rsidRPr="003B1220">
        <w:tab/>
        <w:t>Το Συμβούλιο Οικονομικών και Δημοσιονομικών Θεμάτων αναθέτει τακτικά στην επιτροπή οικονομικής πολιτικής να αξιολογεί τη μακροπρόθεσμη βιωσιμότητα και ποιότητα των δημόσιων οικονομικών βάσει προβολών πληθυσμού που παράγει η Eurostat. Οι προβολές πληθυσμού χρησιμοποιούνται επίσης για την ανάλυση πολιτικής στο πλαίσιο του Ευρωπαϊκού Εξαμήνου. Η Επιτροπή (Eurostat) θα πρέπει να έχει στη διάθεσή της όλες τις απαραίτητες στατιστικές προκειμένου να εκπονεί και να δημοσιεύει προβολές πληθυσμού σύμφωνα με τις ανάγκες πληροφόρησης της Ένωσης.</w:t>
      </w:r>
    </w:p>
    <w:p w:rsidR="00621AFB" w:rsidRPr="003B1220" w:rsidRDefault="00621AFB" w:rsidP="00621AFB">
      <w:pPr>
        <w:spacing w:before="120" w:after="120" w:line="360" w:lineRule="auto"/>
        <w:ind w:left="850" w:hanging="850"/>
        <w:rPr>
          <w:szCs w:val="24"/>
        </w:rPr>
      </w:pPr>
      <w:r w:rsidRPr="003B1220">
        <w:t>(4)</w:t>
      </w:r>
      <w:r w:rsidRPr="003B1220">
        <w:tab/>
        <w:t>Σύμφωνα με το άρθρο 175 παράγραφος 2 της Συνθήκης για τη λειτουργία της Ευρωπαϊκής Ένωσης (ΣΛΕΕ), η Επιτροπή θα πρέπει να υποβάλλει ανά τριετία έκθεση στο Ευρωπαϊκό Κοινοβούλιο, στο Συμβούλιο, στην Οικονομική και Κοινωνική Επιτροπή και στην Επιτροπή των Περιφερειών σχετικά με την πρόοδο που έχει σημειωθεί για την υλοποίηση της οικονομικής, κοινωνικής και εδαφικής συνοχής. Τα περιφερειακά και τοπικά δεδομένα, μεταξύ άλλων για διάφορους εδαφικούς τύπους, όπως οι παραμεθόριες περιφέρειες, οι πόλεις και οι λειτουργικές αστικές περιοχές τους, οι μητροπολιτικές περιφέρειες, οι αγροτικές περιοχές, οι ορεινές και νησιωτικές περιοχές, είναι απαραίτητα για την κατάρτιση των εν λόγω εκθέσεων και για την τακτική παρακολούθηση των δημογραφικών εξελίξεων και των πιθανών μελλοντικών δημογραφικών προκλήσεων που θα προκύψουν στην επικράτεια της Ένωσης.</w:t>
      </w:r>
    </w:p>
    <w:p w:rsidR="00621AFB" w:rsidRPr="003B1220" w:rsidRDefault="00621AFB" w:rsidP="00621AFB">
      <w:pPr>
        <w:spacing w:before="120" w:after="120" w:line="360" w:lineRule="auto"/>
        <w:ind w:left="850" w:hanging="850"/>
        <w:rPr>
          <w:szCs w:val="24"/>
        </w:rPr>
      </w:pPr>
      <w:r w:rsidRPr="003B1220">
        <w:lastRenderedPageBreak/>
        <w:t>(5)</w:t>
      </w:r>
      <w:r w:rsidRPr="003B1220">
        <w:tab/>
        <w:t>Σύμφωνα με το άρθρο 16 παράγραφος 4 της Συνθήκης για την Ευρωπαϊκή Ένωση (ΣΕΕ), η ειδική πλειοψηφία των μελών του Συμβουλίου πρόκειται να ορίζεται, μεταξύ άλλων, βάσει του πληθυσμού των κρατών μελών. Γι’ αυτόν τον σκοπό, σύμφωνα με το άρθρο 4 παράγραφος 1 του κανονισμού (ΕΕ) αριθ. 1260/2013 του Ευρωπαϊκού Κοινοβουλίου και του Συμβουλίου</w:t>
      </w:r>
      <w:r w:rsidRPr="003B1220">
        <w:rPr>
          <w:szCs w:val="24"/>
          <w:vertAlign w:val="superscript"/>
          <w:lang w:eastAsia="en-US"/>
        </w:rPr>
        <w:footnoteReference w:id="6"/>
      </w:r>
      <w:r w:rsidRPr="003B1220">
        <w:t>, τα κράτη μέλη υποχρεούνται επί του παρόντος να παρέχουν στην Επιτροπή (Eurostat) στοιχεία για τον συνολικό πληθυσμό σε εθνικό επίπεδο.</w:t>
      </w:r>
    </w:p>
    <w:p w:rsidR="00621AFB" w:rsidRPr="003B1220" w:rsidRDefault="00621AFB" w:rsidP="00621AFB">
      <w:pPr>
        <w:spacing w:before="120" w:after="120" w:line="360" w:lineRule="auto"/>
        <w:ind w:left="850" w:hanging="850"/>
        <w:rPr>
          <w:szCs w:val="24"/>
        </w:rPr>
      </w:pPr>
      <w:r w:rsidRPr="003B1220">
        <w:t>(6)</w:t>
      </w:r>
      <w:r w:rsidRPr="003B1220">
        <w:tab/>
        <w:t>Το 2017 η επιτροπή του ευρωπαϊκού στατιστικού συστήματος ενέκρινε το μνημόνιο της Βουδαπέστης, στο οποίο προβλεπόταν η ανάγκη για ετήσιες στατιστικές σχετικά με το μέγεθος και ορισμένα κοινωνικά, οικονομικά και δημογραφικά χαρακτηριστικά του πληθυσμού, καθώς και για βελτιωμένες στατιστικές σχετικά με τη μετανάστευση. Για την τήρηση των αρχών της ισότητας και της απαγόρευσης των διακρίσεων εις βάρος των πολιτών της σε όλες τις δραστηριότητες και τον σεβασμό των ατομικών δικαιωμάτων των πολιτών τα οποία κατοχυρώνονται στον Χάρτη των Θεμελιωδών Δικαιωμάτων της Ευρωπαϊκής Ένωσης και στα άρθρα 10 και 19 της ΣΛΕΕ, κ</w:t>
      </w:r>
      <w:r w:rsidRPr="003B1220">
        <w:rPr>
          <w:b/>
          <w:bCs/>
          <w:i/>
          <w:iCs/>
        </w:rPr>
        <w:t>αι για την παρακολούθηση της προόδου της υλοποίησης του ευρωπαϊκού πυλώνα κοινωνικών δικαιωμάτων,</w:t>
      </w:r>
      <w:r w:rsidRPr="003B1220">
        <w:t xml:space="preserve"> η Ένωση χρειάζεται αξιόπιστες και συγκρίσιμες στατιστικές. Ο κανονισμός (ΕΕ) 2019/1700 παρέχει ένα πλαίσιο για τις συλλογές δεδομένων από δείγματα που καθιστούν δυνατή τη συλλογή δεδομένων σχετικά με την ισότητα και την απαγόρευση των διακρίσεων, στον βαθμό που αυτό είναι εφικτό όσον αφορά τα δείγματα, καθώς και την ανάλυση ορισμένων πτυχών της ισότητας και των διακρίσεων μέσω κατάρτισης κοινωνικοοικονομικών δεικτών και πληροφοριών σχετικά με τις εμπειρίες διακρίσεων. Επιπροσθέτως, ο Οργανισμός Θεμελιωδών Δικαιωμάτων (FRA) και το Ευρωπαϊκό Ινστιτούτο για την Ισότητα των Φύλων (EIGE) διενεργούν ειδικές μελέτες και ειδικές έρευνες που μπορούν να επεκτείνουν περαιτέρω τη διαθεσιμότητα στατιστικών για την ισότητα σε επίπεδο Ένωσης.</w:t>
      </w:r>
      <w:r w:rsidRPr="003B1220">
        <w:rPr>
          <w:b/>
          <w:i/>
        </w:rPr>
        <w:t xml:space="preserve"> </w:t>
      </w:r>
      <w:r w:rsidRPr="003B1220">
        <w:rPr>
          <w:b/>
          <w:bCs/>
          <w:i/>
          <w:iCs/>
        </w:rPr>
        <w:t>Επιπλέον, το Ευρωπαϊκό Ίδρυμα για τη Βελτίωση των Συνθηκών Διαβίωσης και Εργασίας (</w:t>
      </w:r>
      <w:proofErr w:type="spellStart"/>
      <w:r w:rsidRPr="003B1220">
        <w:rPr>
          <w:b/>
          <w:bCs/>
          <w:i/>
          <w:iCs/>
        </w:rPr>
        <w:t>Eurofound</w:t>
      </w:r>
      <w:proofErr w:type="spellEnd"/>
      <w:r w:rsidRPr="003B1220">
        <w:rPr>
          <w:b/>
          <w:bCs/>
          <w:i/>
          <w:iCs/>
        </w:rPr>
        <w:t>) παρέχει δεδομένα και πληροφορίες που συλλέγονται μέσω ερευνών σχετικά με τις συνθήκες διαβίωσης και εργασίας.</w:t>
      </w:r>
      <w:r w:rsidRPr="003B1220">
        <w:t xml:space="preserve"> Η συνεργασία και ο συντονισμός μεταξύ των κρατών μελών, της Επιτροπής (Eurostat) </w:t>
      </w:r>
      <w:r w:rsidRPr="003B1220">
        <w:lastRenderedPageBreak/>
        <w:t>και των εν λόγω οργανισμών θα πρέπει να ενισχυθούν περαιτέρω ώστε να ανταποκρίνονται στις αυξανόμενες απαιτήσεις των χρηστών για αξιόπιστα και ολοκληρωμένα δεδομένα σχετικά με την ισότητα και τη διαφορετικότητα στην Ένωση.</w:t>
      </w:r>
    </w:p>
    <w:p w:rsidR="00621AFB" w:rsidRPr="003B1220" w:rsidRDefault="00621AFB" w:rsidP="00621AFB">
      <w:pPr>
        <w:spacing w:before="120" w:after="120" w:line="360" w:lineRule="auto"/>
        <w:ind w:left="850" w:hanging="850"/>
        <w:rPr>
          <w:szCs w:val="24"/>
        </w:rPr>
      </w:pPr>
      <w:r w:rsidRPr="003B1220">
        <w:rPr>
          <w:b/>
          <w:i/>
        </w:rPr>
        <w:t>(6a)</w:t>
      </w:r>
      <w:r w:rsidRPr="003B1220">
        <w:tab/>
      </w:r>
      <w:r w:rsidRPr="003B1220">
        <w:rPr>
          <w:b/>
          <w:i/>
        </w:rPr>
        <w:t>Με το Μνημόνιο της Βουδαπέστης ζητήθηκε επίσης να βελτιωθούν τα στατιστικά στοιχεία για τη μετανάστευση και την ανάπτυξη, καθώς και να ισχύουν κοινοί ορισμοί για τον πληθυσμό και τη μετανάστευση, λαμβάνοντας υπόψη την ανάγκη θέσπισης εννοιών και ορισμών που είναι στατιστικά ορθές, συναφείς και εφαρμόσιμες δεδομένων των αναδυόμενων ειδών μετανάστευσης. Τα παρελθόντα και τα εν εξελίξει γεγονότα, όπως η αποχώρηση του Ηνωμένου Βασιλείου από την Ένωση και οι συνέπειες του επιθετικού πολέμου της Ρωσίας κατά της Ουκρανίας αλλά και άλλες ανθρωπιστικές κρίσεις υπογραμμίζουν τη σημασία των έγκαιρων και λεπτομερών στατιστικών στοιχείων για τη μετανάστευση και τη διεθνή προστασία, τα οποία είναι απαραίτητα για την επισκόπηση των μεταναστευτικών ροών προς, εντός και από την Ένωση.</w:t>
      </w:r>
    </w:p>
    <w:p w:rsidR="00621AFB" w:rsidRPr="003B1220" w:rsidRDefault="00621AFB" w:rsidP="00621AFB">
      <w:pPr>
        <w:spacing w:before="120" w:after="120" w:line="360" w:lineRule="auto"/>
        <w:ind w:left="850" w:hanging="850"/>
        <w:rPr>
          <w:szCs w:val="24"/>
        </w:rPr>
      </w:pPr>
      <w:r w:rsidRPr="003B1220">
        <w:t>(7)</w:t>
      </w:r>
      <w:r w:rsidRPr="003B1220">
        <w:tab/>
        <w:t>Για την επίτευξη των στόχων της Ευρωπαϊκής Πράσινης Συμφωνίας, η ανάπτυξη και η αξιολόγηση αποτελεσματικών πολιτικών απαιτούν ενισχυμένες στατιστικές σχετικά με τη χρήση ενέργειας και την ενεργειακή απόδοση των κατοικιών, λεπτομερή γεωγραφικά δεδομένα σχετικά με την κατανομή του πληθυσμού, καθώς και πιο ενδελεχείς μελέτες όσον αφορά τη σχέση μεταξύ πληθυσμού και στέγασης. Με την πανδημία COVID-19 εκδηλώθηκε η ανάγκη για αξιόπιστες, υψηλής συχνότητας και επίκαιρες στατιστικές σχετικά με τους θανάτους στην Ένωση. Παρότι οι ανάγκες για δεδομένα καλύφθηκαν με την εθελοντική συλλογή δεδομένων από τα κράτη μέλη και την υποβολή τους στην Επιτροπή (Eurostat), η Ένωση χρειάζεται κατάλληλο μηχανισμό για την υποχρεωτική συλλογή των εν λόγω δεδομένων στο πλαίσιο του ευρωπαϊκού στατιστικού συστήματος (ΕΣΣ) με την αναγκαία συχνότητα, την έγκαιρη υποβολή και τη λεπτομέρεια.</w:t>
      </w:r>
    </w:p>
    <w:p w:rsidR="00621AFB" w:rsidRPr="003B1220" w:rsidRDefault="00621AFB" w:rsidP="00621AFB">
      <w:pPr>
        <w:spacing w:before="120" w:after="120" w:line="360" w:lineRule="auto"/>
        <w:ind w:left="850" w:hanging="850"/>
        <w:rPr>
          <w:szCs w:val="24"/>
        </w:rPr>
      </w:pPr>
      <w:r w:rsidRPr="003B1220">
        <w:rPr>
          <w:b/>
          <w:i/>
        </w:rPr>
        <w:t>(7a)</w:t>
      </w:r>
      <w:r w:rsidRPr="003B1220">
        <w:tab/>
      </w:r>
      <w:r w:rsidRPr="003B1220">
        <w:rPr>
          <w:b/>
          <w:i/>
        </w:rPr>
        <w:t xml:space="preserve">Προκειμένου να παρακολουθεί την πρόοδο στην εφαρμογή των αρχών του ευρωπαϊκού πυλώνα κοινωνικών δικαιωμάτων, των πρωταρχικών στόχων του σχετικού σχεδίου δράσης και της ευρωπαϊκής εγγύησης για τα παιδιά σε εθνικό επίπεδο, καθώς και για να εκτιμήσει τις διανεμητικές επιπτώσεις που προκαλεί η κλιματική αλλαγή και οι πολιτικές εν γένει, η Ένωση χρειάζεται έναν κατάλληλο μηχανισμό για την υποχρεωτική συλλογή τέτοιων δεδομένων στο πλαίσιο του ΕΣΣ </w:t>
      </w:r>
      <w:r w:rsidRPr="003B1220">
        <w:rPr>
          <w:b/>
          <w:i/>
        </w:rPr>
        <w:lastRenderedPageBreak/>
        <w:t>με την αναγκαία συχνότητα, έγκαιρη υποβολή και λεπτομέρεια.</w:t>
      </w:r>
    </w:p>
    <w:p w:rsidR="00621AFB" w:rsidRPr="003B1220" w:rsidRDefault="00621AFB" w:rsidP="00621AFB">
      <w:pPr>
        <w:spacing w:before="120" w:after="120" w:line="360" w:lineRule="auto"/>
        <w:ind w:left="850" w:hanging="850"/>
        <w:rPr>
          <w:szCs w:val="24"/>
        </w:rPr>
      </w:pPr>
      <w:r w:rsidRPr="003B1220">
        <w:t>(8)</w:t>
      </w:r>
      <w:r w:rsidRPr="003B1220">
        <w:tab/>
        <w:t>Το Οικονομικό και Κοινωνικό Συμβούλιο των Ηνωμένων Εθνών, κατόπιν πρότασης της Στατιστικής Επιτροπής των Ηνωμένων Εθνών, εγκρίνει ανά δεκαετία ψηφίσματα σχετικά με την παγκόσμια απογραφή πληθυσμού και στέγασης και καλεί τα κράτη μέλη του ΟΗΕ να διενεργούν απογραφές πληθυσμού και στέγασης σύμφωνα με τις διεθνείς και περιφερειακές συστάσεις και διασφαλίζοντας την ακεραιότητα, την αξιοπιστία, την ακρίβεια και την αξία των αποτελεσμάτων των απογραφών πληθυσμού και στέγασης. Οι ευρωπαϊκές στατιστικές σχετικά με τον πληθυσμό και τη στέγαση θα πρέπει να λαμβάνουν υπόψη τις συστάσεις αυτές.</w:t>
      </w:r>
    </w:p>
    <w:p w:rsidR="00621AFB" w:rsidRPr="003B1220" w:rsidRDefault="00621AFB" w:rsidP="00621AFB">
      <w:pPr>
        <w:spacing w:before="120" w:after="120" w:line="360" w:lineRule="auto"/>
        <w:ind w:left="850" w:hanging="850"/>
        <w:rPr>
          <w:szCs w:val="24"/>
        </w:rPr>
      </w:pPr>
      <w:r w:rsidRPr="003B1220">
        <w:t>(9)</w:t>
      </w:r>
      <w:r w:rsidRPr="003B1220">
        <w:tab/>
      </w:r>
      <w:r w:rsidRPr="003B1220">
        <w:rPr>
          <w:b/>
          <w:i/>
        </w:rPr>
        <w:t xml:space="preserve">Ο εξορθολογισμός των υποχρεώσεων υποβολής εκθέσεων και η μείωση του διοικητικού φόρτου αποτελούν βασικό στόχο της Επιτροπής. Η ανακοίνωση της Επιτροπής της 16ης Μαρτίου 2023 με τίτλο «Μακροπρόθεσμη ανταγωνιστικότητα της ΕΕ: προοπτικές μετά το 2030» αποσκοπεί στον εξορθολογισμό και την απλούστευση των απαιτήσεων υποβολής εκθέσεων κατά 25 % για τις επιχειρήσεις και τις διοικήσεις, χωρίς να υπονομεύονται οι σχετικοί στόχοι πολιτικής. </w:t>
      </w:r>
      <w:r w:rsidRPr="003B1220">
        <w:t>Ο κανονισμός (ΕΚ) αριθ. 223/2009 του Ευρωπαϊκού Κοινοβουλίου και του Συμβουλίου</w:t>
      </w:r>
      <w:r w:rsidRPr="003B1220">
        <w:rPr>
          <w:szCs w:val="24"/>
          <w:vertAlign w:val="superscript"/>
          <w:lang w:eastAsia="en-US"/>
        </w:rPr>
        <w:footnoteReference w:id="7"/>
      </w:r>
      <w:r w:rsidRPr="003B1220">
        <w:t xml:space="preserve"> θέσπισε νομικό πλαίσιο αναφοράς για την ανάπτυξη, παραγωγή και διάχυση των ευρωπαϊκών στατιστικών, βάσει κοινών στατιστικών αρχών. Ο εν λόγω κανονισμός ορίζει κριτήρια ποιότητας και αναφέρεται στην ανάγκη να μειωθεί η επιβάρυνση ανταπόκρισης στο ελάχιστο για όσους συμμετέχουν στην έρευνα και να προωθηθεί ο γενικότερος στόχος της μείωσης της διοικητικής επιβάρυνσης. Ένα νέο νομικό πλαίσιο για τις ευρωπαϊκές στατιστικές σχετικά με τον πληθυσμό και τη στέγαση θα πρέπει να διασφαλίζει και να αξιοποιεί την εφαρμογή των κριτηρίων ποιότητας που ορίζονται στον εν λόγω κανονισμό και να μειώνει τη διοικητική επιβάρυνση, μέσω της αποτελεσματικής και αποδοτικής επαναχρησιμοποίησης των διαθέσιμων πηγών δεδομένων, </w:t>
      </w:r>
      <w:r w:rsidRPr="003B1220">
        <w:lastRenderedPageBreak/>
        <w:t>συμπεριλαμβανομένων των διοικητικών δεδομένων.</w:t>
      </w:r>
    </w:p>
    <w:p w:rsidR="00621AFB" w:rsidRPr="003B1220" w:rsidRDefault="00621AFB" w:rsidP="00621AFB">
      <w:pPr>
        <w:spacing w:before="120" w:after="120" w:line="360" w:lineRule="auto"/>
        <w:ind w:left="850" w:hanging="850"/>
        <w:rPr>
          <w:szCs w:val="24"/>
        </w:rPr>
      </w:pPr>
      <w:r w:rsidRPr="003B1220">
        <w:t>(10)</w:t>
      </w:r>
      <w:r w:rsidRPr="003B1220">
        <w:tab/>
        <w:t>Η αξιολόγηση των υφιστάμενων στατιστικών</w:t>
      </w:r>
      <w:r w:rsidRPr="003B1220">
        <w:rPr>
          <w:szCs w:val="24"/>
          <w:vertAlign w:val="superscript"/>
          <w:lang w:eastAsia="en-US"/>
        </w:rPr>
        <w:footnoteReference w:id="8"/>
      </w:r>
      <w:r w:rsidRPr="003B1220">
        <w:t xml:space="preserve"> σχετικά με τις απογραφές πληθυσμού και στέγασης στην Ένωση, των στατιστικών για τις διεθνείς μεταναστευτικές ροές, τους μεταναστευτικούς πληθυσμούς και την απόκτηση υπηκοότητας, καθώς και των δημογραφικών στατιστικών έχει καταδείξει ότι το ισχύον νομικό πλαίσιο που περιλαμβάνει τους κανονισμούς (ΕΚ) αριθ. 862/2007</w:t>
      </w:r>
      <w:r w:rsidRPr="003B1220">
        <w:rPr>
          <w:szCs w:val="24"/>
          <w:vertAlign w:val="superscript"/>
          <w:lang w:eastAsia="en-US"/>
        </w:rPr>
        <w:footnoteReference w:id="9"/>
      </w:r>
      <w:r w:rsidRPr="003B1220">
        <w:t>, (ΕΚ) αριθ. 763/2008</w:t>
      </w:r>
      <w:r w:rsidRPr="003B1220">
        <w:rPr>
          <w:szCs w:val="24"/>
          <w:vertAlign w:val="superscript"/>
          <w:lang w:eastAsia="en-US"/>
        </w:rPr>
        <w:footnoteReference w:id="10"/>
      </w:r>
      <w:r w:rsidRPr="003B1220">
        <w:t xml:space="preserve"> και (ΕΕ) αριθ. 1260/2013 του Ευρωπαϊκού Κοινοβουλίου και του Συμβουλίου έχει οδηγήσει σε σημαντικές συνολικές βελτιώσεις των στατιστικών σε σύγκριση με την κατάσταση του 2005 κατά το οποίο δεν ήταν σε ισχύ το τρέχον νομικό πλαίσιο. Ωστόσο, το εν λόγω πλαίσιο ενδέχεται να οδηγήσει σε έλλειψη συνοχής και συγκρισιμότητας, η οποία θα πρέπει να αντιμετωπιστεί.</w:t>
      </w:r>
    </w:p>
    <w:p w:rsidR="00621AFB" w:rsidRPr="003B1220" w:rsidRDefault="00621AFB" w:rsidP="00621AFB">
      <w:pPr>
        <w:spacing w:before="120" w:after="120" w:line="360" w:lineRule="auto"/>
        <w:ind w:left="850" w:hanging="850"/>
        <w:rPr>
          <w:szCs w:val="24"/>
        </w:rPr>
      </w:pPr>
      <w:r w:rsidRPr="003B1220">
        <w:t>(11)</w:t>
      </w:r>
      <w:r w:rsidRPr="003B1220">
        <w:tab/>
      </w:r>
      <w:r w:rsidRPr="003B1220">
        <w:rPr>
          <w:b/>
          <w:bCs/>
          <w:i/>
          <w:iCs/>
        </w:rPr>
        <w:t>Η κλιματική αλλαγή, ο ψηφιακός μετασχηματισμός,</w:t>
      </w:r>
      <w:r w:rsidRPr="003B1220">
        <w:t xml:space="preserve"> η εξελισσόμενη δημογραφική κατάσταση και οι πρόσφατες μεταναστευτικές τάσεις έχουν δημιουργήσει απαιτήσεις για πιο επίκαιρες, πιο συχνές και πιο λεπτομερείς ευρωπαϊκές στατιστικές σχετικά με τον πληθυσμό,</w:t>
      </w:r>
      <w:r w:rsidRPr="003B1220">
        <w:rPr>
          <w:b/>
          <w:bCs/>
          <w:i/>
          <w:iCs/>
        </w:rPr>
        <w:t xml:space="preserve"> τις κοινωνικοοικονομικές εξελίξεις,</w:t>
      </w:r>
      <w:r w:rsidRPr="003B1220">
        <w:t xml:space="preserve"> τα δημογραφικά γεγονότα και τη στέγαση, συμπεριλαμβανομένων λεπτομερειών για θέματα ή ομάδες που έχουν αποκτήσει πολιτική και κοινωνική σημασία κατά την τελευταία δεκαετία. Επιπλέον, το υφιστάμενο νομικό πλαίσιο δεν είναι αρκετά ευέλικτο ώστε να προσαρμόζεται στις εξελισσόμενες ανάγκες πολιτικής και να επιτρέπει τη χρήση νέων πηγών σε εθνικό και ενωσιακό επίπεδο. Επιπροσθέτως, η δομή του υφιστάμενου νομικού πλαισίου, το οποίο έχει τη μορφή τριών διακριτών κανονισμών, οι οποίοι έχουν εκδοθεί σε διαφορετικές χρονικές στιγμές, έχει οδηγήσει σε εγγενείς ασυνέπειες στις στατιστικές. Τέλος, δεδομένου ότι ο κανονισμός (ΕΕ) αριθ. 1260/2013 θα παύσει να ισχύει την 31η Αυγούστου 2028, απαιτείται θέσπιση νέας νομικής βάσης για τις δημογραφικές στατιστικές που συλλέγονται δυνάμει του εν λόγω κανονισμού. Ως εκ τούτου, είναι αναγκαίο να </w:t>
      </w:r>
      <w:r w:rsidRPr="003B1220">
        <w:lastRenderedPageBreak/>
        <w:t>αντικατασταθεί το ισχύον νομικό πλαίσιο από ένα νέο, πιο συνεκτικό και ευέλικτο νομικό πλαίσιο με το οποίο θα πρέπει να τροποποιηθούν τα σχετικά μέρη του κανονισμού (ΕΚ) αριθ. 862/2007 και να καταργηθούν οι κανονισμοί (ΕΚ) αριθ. 763/2008 και (ΕΕ) αριθ. 1260/2013.</w:t>
      </w:r>
    </w:p>
    <w:p w:rsidR="00621AFB" w:rsidRPr="003B1220" w:rsidRDefault="00621AFB" w:rsidP="00621AFB">
      <w:pPr>
        <w:spacing w:before="120" w:after="120" w:line="360" w:lineRule="auto"/>
        <w:ind w:left="850" w:hanging="850"/>
        <w:rPr>
          <w:szCs w:val="24"/>
        </w:rPr>
      </w:pPr>
      <w:r w:rsidRPr="003B1220">
        <w:t>(12)</w:t>
      </w:r>
      <w:r w:rsidRPr="003B1220">
        <w:tab/>
        <w:t>Το άρθρο 3 του κανονισμού (ΕΚ) αριθ. 862/2007 καλύπτει τις στατιστικές σχετικά με τη χώρα υπηκοότητας και τον τόπο γέννησης του διαμένοντος πληθυσμού (μεταναστευτικοί πληθυσμοί), σχετικά με τις αλλαγές διαμονής μεταξύ χωρών (διεθνείς μεταναστευτικές ροές) και την απόκτηση υπηκοότητας από τον διαμένοντα πληθυσμό, ενώ οι υπόλοιπες στατιστικές βάσει του εν λόγω κανονισμού αφορούν διοικητικές και δικαστικές διαδικασίες σχετικά με τη μεταναστευτική νομοθεσία και τη διεθνή προστασία. Ως εκ τούτου, οι στατιστικές, για τις οποίες γίνεται λόγος στο άρθρο 3 του εν λόγω κανονισμού, είναι στενά συνδεδεμένες και θα πρέπει να είναι συνεπείς προς τις στατιστικές σχετικά με τον διαμένοντα πληθυσμό και τις δημογραφικές μεταβολές του που προβλέπονται στους κανονισμούς (ΕΚ) αριθ. 763/2008 και (ΕΕ) αριθ. 1260/2013. Συνεπώς, προκειμένου να εξασφαλιστεί η εγγενής συνέπεια των στατιστικών αυτών, είναι απαραίτητη η ενσωμάτωσή τους σε μία ενιαία νομική βάση και η παράλληλη απαλοιφή του άρθρου 3 από τον κανονισμό (ΕΚ) αριθ. 862/2007.</w:t>
      </w:r>
    </w:p>
    <w:p w:rsidR="00621AFB" w:rsidRPr="003B1220" w:rsidRDefault="00621AFB" w:rsidP="00621AFB">
      <w:pPr>
        <w:spacing w:before="120" w:after="120" w:line="360" w:lineRule="auto"/>
        <w:ind w:left="850" w:hanging="850"/>
        <w:rPr>
          <w:szCs w:val="24"/>
        </w:rPr>
      </w:pPr>
      <w:r w:rsidRPr="003B1220">
        <w:t>(13)</w:t>
      </w:r>
      <w:r w:rsidRPr="003B1220">
        <w:tab/>
        <w:t xml:space="preserve">Λόγω της ταχέως μεταβαλλόμενης φύσης ορισμένων χαρακτηριστικών του πληθυσμού και της στέγασης, ειδικότερα όσον αφορά τα δημογραφικά, </w:t>
      </w:r>
      <w:r w:rsidRPr="003B1220">
        <w:rPr>
          <w:b/>
          <w:bCs/>
          <w:i/>
          <w:iCs/>
        </w:rPr>
        <w:t>κοινωνικοοικονομικά</w:t>
      </w:r>
      <w:r w:rsidRPr="003B1220">
        <w:t xml:space="preserve"> και μεταναστευτικά φαινόμενα, καθώς και της αντίστοιχης ανάγκης για έγκαιρη στόχευση και προσαρμογή των πολιτικών, οι στατιστικές πρέπει να καθίστανται διαθέσιμες εγκαίρως, λίγο μετά την περίοδο αναφοράς. Επομένως, η περιοδικότητα και η έγκαιρη υποβολή των στατιστικών θα πρέπει να βελτιωθούν σημαντικά</w:t>
      </w:r>
      <w:r w:rsidRPr="003B1220">
        <w:rPr>
          <w:b/>
          <w:bCs/>
          <w:i/>
          <w:iCs/>
        </w:rPr>
        <w:t>, όπου είναι δυνατόν μέσω της χρήσης διοικητικών δεδομένων και διοικητικών αρχείων.</w:t>
      </w:r>
      <w:r w:rsidRPr="003B1220">
        <w:rPr>
          <w:b/>
          <w:i/>
        </w:rPr>
        <w:t xml:space="preserve"> </w:t>
      </w:r>
      <w:r w:rsidRPr="003B1220">
        <w:t>Για τον σκοπό αυτό, τα κράτη μέλη θα πρέπει να παρέχουν επαρκείς πόρους στις εθνικές στατιστικές υπηρεσίες τους.</w:t>
      </w:r>
    </w:p>
    <w:p w:rsidR="00621AFB" w:rsidRPr="003B1220" w:rsidRDefault="00621AFB" w:rsidP="00621AFB">
      <w:pPr>
        <w:spacing w:before="120" w:after="120" w:line="360" w:lineRule="auto"/>
        <w:ind w:left="850" w:hanging="850"/>
        <w:rPr>
          <w:szCs w:val="24"/>
        </w:rPr>
      </w:pPr>
      <w:r w:rsidRPr="003B1220">
        <w:t>(14)</w:t>
      </w:r>
      <w:r w:rsidRPr="003B1220">
        <w:tab/>
        <w:t>Ο κανονισμός (ΕΚ) αριθ. 1059/2003 του Ευρωπαϊκού Κοινοβουλίου και του Συμβουλίου</w:t>
      </w:r>
      <w:r w:rsidRPr="003B1220">
        <w:rPr>
          <w:szCs w:val="24"/>
          <w:vertAlign w:val="superscript"/>
          <w:lang w:eastAsia="en-US"/>
        </w:rPr>
        <w:footnoteReference w:id="11"/>
      </w:r>
      <w:r w:rsidRPr="003B1220">
        <w:t xml:space="preserve"> θεσπίζει μεθοδολογία βάσει </w:t>
      </w:r>
      <w:proofErr w:type="spellStart"/>
      <w:r w:rsidRPr="003B1220">
        <w:t>καννάβων</w:t>
      </w:r>
      <w:proofErr w:type="spellEnd"/>
      <w:r w:rsidRPr="003B1220">
        <w:t xml:space="preserve"> για τον ορισμό των εδαφικών τυπολογιών με βάση την κατανομή του πληθυσμού σε φατνία </w:t>
      </w:r>
      <w:proofErr w:type="spellStart"/>
      <w:r w:rsidRPr="003B1220">
        <w:t>καννάβου</w:t>
      </w:r>
      <w:proofErr w:type="spellEnd"/>
      <w:r w:rsidRPr="003B1220">
        <w:t xml:space="preserve"> ενός </w:t>
      </w:r>
      <w:r w:rsidRPr="003B1220">
        <w:lastRenderedPageBreak/>
        <w:t>τετραγωνικού χιλιομέτρου. Ο εκτελεστικός κανονισμός (ΕΕ) 2018/1799 της Επιτροπής</w:t>
      </w:r>
      <w:r w:rsidRPr="003B1220">
        <w:rPr>
          <w:szCs w:val="24"/>
          <w:vertAlign w:val="superscript"/>
          <w:lang w:eastAsia="en-US"/>
        </w:rPr>
        <w:footnoteReference w:id="12"/>
      </w:r>
      <w:r w:rsidRPr="003B1220">
        <w:t xml:space="preserve">, ως προσωρινή άμεση στατιστική δράση που συνοδεύει τις απογραφές πληθυσμού και στέγασης του 2021, προβλέπει την εξαγωγή βασικών αποτελεσμάτων απογραφής σε πανευρωπαϊκό </w:t>
      </w:r>
      <w:proofErr w:type="spellStart"/>
      <w:r w:rsidRPr="003B1220">
        <w:t>κάνναβο</w:t>
      </w:r>
      <w:proofErr w:type="spellEnd"/>
      <w:r w:rsidRPr="003B1220">
        <w:t xml:space="preserve"> του ενός τετραγωνικού χιλιομέτρου. Το νομικό πλαίσιο θα πρέπει να διασφαλίζει τη διαρκή διάδοση των πληθυσμιακών στατιστικών με γεωγραφικές αναφορές, με βάση τα δίκτυα και την επέκτασή τους στις στατιστικές σχετικά με τη στέγαση.</w:t>
      </w:r>
    </w:p>
    <w:p w:rsidR="00621AFB" w:rsidRPr="003B1220" w:rsidRDefault="00621AFB" w:rsidP="00621AFB">
      <w:pPr>
        <w:spacing w:before="120" w:after="120" w:line="360" w:lineRule="auto"/>
        <w:ind w:left="850" w:hanging="850"/>
        <w:rPr>
          <w:szCs w:val="24"/>
        </w:rPr>
      </w:pPr>
      <w:r w:rsidRPr="003B1220">
        <w:t>(15)</w:t>
      </w:r>
      <w:r w:rsidRPr="003B1220">
        <w:tab/>
        <w:t xml:space="preserve">Οι εδαφικές μονάδες και οι στατιστικοί </w:t>
      </w:r>
      <w:proofErr w:type="spellStart"/>
      <w:r w:rsidRPr="003B1220">
        <w:t>κάνναβοι</w:t>
      </w:r>
      <w:proofErr w:type="spellEnd"/>
      <w:r w:rsidRPr="003B1220">
        <w:t xml:space="preserve"> θα πρέπει να ορίζονται σύμφωνα με τον κανονισμό (ΕΚ) αριθ. 1059/2003.</w:t>
      </w:r>
    </w:p>
    <w:p w:rsidR="00621AFB" w:rsidRPr="003B1220" w:rsidRDefault="00621AFB" w:rsidP="00621AFB">
      <w:pPr>
        <w:spacing w:before="120" w:after="120" w:line="360" w:lineRule="auto"/>
        <w:ind w:left="850" w:hanging="850"/>
        <w:rPr>
          <w:szCs w:val="24"/>
        </w:rPr>
      </w:pPr>
      <w:r w:rsidRPr="003B1220">
        <w:t>(16)</w:t>
      </w:r>
      <w:r w:rsidRPr="003B1220">
        <w:tab/>
        <w:t xml:space="preserve">Για τη </w:t>
      </w:r>
      <w:proofErr w:type="spellStart"/>
      <w:r w:rsidRPr="003B1220">
        <w:t>γεωκωδικοποίηση</w:t>
      </w:r>
      <w:proofErr w:type="spellEnd"/>
      <w:r w:rsidRPr="003B1220">
        <w:t xml:space="preserve"> της τοποθεσίας, θα πρέπει να χρησιμοποιείται το θέμα «Στατιστικές μονάδες» σύμφωνα με το παράρτημα III της οδηγίας 2007/2/ΕΚ του Ευρωπαϊκού Κοινοβουλίου και του Συμβουλίου</w:t>
      </w:r>
      <w:r w:rsidRPr="003B1220">
        <w:rPr>
          <w:szCs w:val="24"/>
          <w:vertAlign w:val="superscript"/>
          <w:lang w:eastAsia="en-US"/>
        </w:rPr>
        <w:footnoteReference w:id="13"/>
      </w:r>
      <w:r w:rsidRPr="003B1220">
        <w:t>.</w:t>
      </w:r>
    </w:p>
    <w:p w:rsidR="00621AFB" w:rsidRPr="003B1220" w:rsidRDefault="00621AFB" w:rsidP="00621AFB">
      <w:pPr>
        <w:spacing w:before="120" w:after="120" w:line="360" w:lineRule="auto"/>
        <w:ind w:left="850" w:hanging="850"/>
        <w:rPr>
          <w:szCs w:val="24"/>
        </w:rPr>
      </w:pPr>
      <w:r w:rsidRPr="003B1220">
        <w:t>(17)</w:t>
      </w:r>
      <w:r w:rsidRPr="003B1220">
        <w:tab/>
        <w:t>Το ισχύον νομικό πλαίσιο για τις ευρωπαϊκές στατιστικές σχετικά με τον πληθυσμό και τη στέγαση πρέπει να επικαιροποιηθεί ώστε να διασφαλίζει ότι οι επί του παρόντος διακριτές στατιστικές διαδικασίες θα ενσωματώνονται επαρκώς σε ένα κοινό πλαίσιο που θα επιτρέπει στο ΕΣΣ να ανταποκρίνεται αποτελεσματικά στις νέες ανάγκες πληροφόρησης της Ένωσης και να προάγει τις στατιστικές καινοτομίες. Τα στατιστικά αποτελέσματα πρέπει</w:t>
      </w:r>
      <w:r w:rsidRPr="003B1220">
        <w:rPr>
          <w:b/>
          <w:bCs/>
          <w:i/>
          <w:iCs/>
        </w:rPr>
        <w:t xml:space="preserve"> να ενισχυθούν</w:t>
      </w:r>
      <w:r w:rsidRPr="003B1220">
        <w:t xml:space="preserve"> ώστε να παραμείνουν επίκαιρα ενόψει των δημογραφικών, μεταναστευτικών, κοινωνικών και οικονομικών αλλαγών </w:t>
      </w:r>
      <w:r w:rsidRPr="003B1220">
        <w:rPr>
          <w:b/>
          <w:bCs/>
          <w:i/>
          <w:iCs/>
        </w:rPr>
        <w:t>και προκλήσεων, στηρίζοντας τη χάραξη πολιτικής και τη λήψη αποφάσεων.</w:t>
      </w:r>
    </w:p>
    <w:p w:rsidR="00621AFB" w:rsidRPr="003B1220" w:rsidRDefault="00621AFB" w:rsidP="00621AFB">
      <w:pPr>
        <w:spacing w:before="120" w:after="120" w:line="360" w:lineRule="auto"/>
        <w:ind w:left="850" w:hanging="850"/>
        <w:rPr>
          <w:szCs w:val="24"/>
        </w:rPr>
      </w:pPr>
      <w:r w:rsidRPr="003B1220">
        <w:t>(18)</w:t>
      </w:r>
      <w:r w:rsidRPr="003B1220">
        <w:tab/>
        <w:t xml:space="preserve">Οι βελτιωμένες τακτικές στατιστικές (που εκπονούνται ετησίως ή και συχνότερα) σχετικά με τον πληθυσμό και τη στέγαση με βάση διοικητικές πηγές θα πρέπει να συμπληρώνονται με πληροφορίες από συντονισμένες απογραφές πληθυσμού και στέγασης στην Ένωση οι οποίες διενεργούνται ανά δεκαετία σύμφωνα με τις αρχές και τις συστάσεις του ΟΗΕ. Εξίσου σημαντικό είναι οι απογραφές πληθυσμού και στέγασης να παρέχουν μια μοναδική ευκαιρία για την προβολή των επίσημων </w:t>
      </w:r>
      <w:r w:rsidRPr="003B1220">
        <w:lastRenderedPageBreak/>
        <w:t>στατιστικών, τόσο όσον αφορά τις πράξεις όσο και τα αποτελέσματα.</w:t>
      </w:r>
    </w:p>
    <w:p w:rsidR="00621AFB" w:rsidRPr="003B1220" w:rsidRDefault="00621AFB" w:rsidP="00621AFB">
      <w:pPr>
        <w:spacing w:before="120" w:after="120" w:line="360" w:lineRule="auto"/>
        <w:ind w:left="850" w:hanging="850"/>
        <w:rPr>
          <w:szCs w:val="24"/>
        </w:rPr>
      </w:pPr>
      <w:r w:rsidRPr="003B1220">
        <w:t>(19)</w:t>
      </w:r>
      <w:r w:rsidRPr="003B1220">
        <w:tab/>
        <w:t>Οι απογραφές της Ένωσης θα πρέπει να καταστούν οικονομικά αποδοτικότερες μέσω της πλήρους αξιοποίησης του πλούσιου συνόλου διοικητικών δεδομένων που είναι διαθέσιμα σε όλα τα κράτη μέλη ή συνδυασμού διαφόρων πηγών, συμπεριλαμβανομένων των πηγών που σχετίζονται με το διαδίκτυο των πραγμάτων και την παροχή ψηφιακών υπηρεσιών</w:t>
      </w:r>
      <w:r w:rsidRPr="003B1220">
        <w:rPr>
          <w:b/>
          <w:bCs/>
          <w:i/>
          <w:iCs/>
        </w:rPr>
        <w:t>, με βάση τη σύναψη πρωτοκόλλων μεταξύ των εθνικών στατιστικών υπηρεσιών των κρατών μελών και των παρόχων δεδομένων από ιδιωτικές βάσεις δεδομένων.</w:t>
      </w:r>
      <w:r w:rsidRPr="003B1220">
        <w:t xml:space="preserve"> </w:t>
      </w:r>
      <w:r w:rsidRPr="003B1220">
        <w:rPr>
          <w:b/>
          <w:bCs/>
          <w:i/>
          <w:iCs/>
        </w:rPr>
        <w:t>Θα πρέπει να σέβονται την ιδιωτικότητα των δεδομένων προσωπικού χαρακτήρα θεσπίζοντας τις απαιτούμενες εγγυήσεις για τη συλλογή δεδομένων προσωπικού χαρακτήρα, ώστε να αποφεύγεται κάθε πιθανή κατάχρηση και να διασφαλίζονται τα θεμελιώδη δικαιώματα.</w:t>
      </w:r>
      <w:r w:rsidRPr="003B1220">
        <w:rPr>
          <w:b/>
          <w:i/>
        </w:rPr>
        <w:t xml:space="preserve"> </w:t>
      </w:r>
      <w:r w:rsidRPr="003B1220">
        <w:t>Θα πρέπει επίσης να χρησιμοποιούνται για την αποκατάσταση της δημογραφικής βάσης και να περιλαμβάνουν έρευνες όσον αφορά την κάλυψη των πηγών διοικητικών δεδομένων.</w:t>
      </w:r>
    </w:p>
    <w:p w:rsidR="00621AFB" w:rsidRPr="003B1220" w:rsidRDefault="00621AFB" w:rsidP="00621AFB">
      <w:pPr>
        <w:spacing w:before="120" w:after="120" w:line="360" w:lineRule="auto"/>
        <w:ind w:left="850" w:hanging="850"/>
        <w:rPr>
          <w:szCs w:val="24"/>
        </w:rPr>
      </w:pPr>
      <w:r w:rsidRPr="003B1220">
        <w:t>(20)</w:t>
      </w:r>
      <w:r w:rsidRPr="003B1220">
        <w:tab/>
        <w:t xml:space="preserve">Τα κράτη μέλη και η Επιτροπή (Eurostat) θα πρέπει να έχουν βιώσιμη πρόσβαση στο ευρύτερο δυνατό φάσμα πηγών δεδομένων ώστε να διασφαλίζεται η εκπόνηση ευρωπαϊκών στατιστικών σχετικά με τον πληθυσμό και τη στέγαση οι οποίες θα συνδυάζουν την υψηλή ποιότητα και την οικονομική αποδοτικότητα. Στο πλαίσιο αυτό, είναι κρίσιμης σημασίας να έχουν οι εθνικές στατιστικές αρχές έγκαιρη πρόσβαση και </w:t>
      </w:r>
      <w:r w:rsidRPr="003B1220">
        <w:rPr>
          <w:b/>
          <w:bCs/>
          <w:i/>
          <w:iCs/>
        </w:rPr>
        <w:t>να τους επιτρέπεται</w:t>
      </w:r>
      <w:r w:rsidRPr="003B1220">
        <w:t xml:space="preserve"> να χρησιμοποιούν άμεσα τα διοικητικά δεδομένα που ανήκουν στις δημόσιες διοικήσεις σε εθνικό, περιφερειακό και τοπικό επίπεδο, σύμφωνα με το άρθρο 17α του κανονισμού (ΕΚ) αριθ. 223/2009. Για παράδειγμα, οι στατιστικές σχετικά με την ενεργειακή απόδοση των κτιρίων μπορούν να βασίζονται σε διοικητικά δεδομένα που αφορούν την έκδοση ενεργειακών πιστοποιητικών κτιρίων δυνάμει της οδηγίας 2010/31/ΕΕ του Ευρωπαϊκού Κοινοβουλίου και του Συμβουλίου</w:t>
      </w:r>
      <w:r w:rsidRPr="003B1220">
        <w:rPr>
          <w:szCs w:val="24"/>
          <w:vertAlign w:val="superscript"/>
          <w:lang w:eastAsia="en-US"/>
        </w:rPr>
        <w:footnoteReference w:id="14"/>
      </w:r>
      <w:r w:rsidRPr="003B1220">
        <w:t xml:space="preserve">. </w:t>
      </w:r>
      <w:r w:rsidRPr="003B1220">
        <w:rPr>
          <w:b/>
          <w:i/>
        </w:rPr>
        <w:t xml:space="preserve">Οι εθνικές στατιστικές αρχές θα πρέπει να είναι σε θέση να επαναχρησιμοποιούν πλήρως, τακτικά και εγκαίρως, διοικητικά δεδομένα από τις διαλειτουργικές βάσεις δεδομένων για την ενεργειακή απόδοση των κτιρίων που είναι διαθέσιμα σε εθνικό επίπεδο σύμφωνα με την οδηγία (ΕΕ) </w:t>
      </w:r>
      <w:r w:rsidR="00151BEE">
        <w:rPr>
          <w:b/>
          <w:i/>
        </w:rPr>
        <w:t xml:space="preserve">2024/1275 </w:t>
      </w:r>
      <w:r w:rsidRPr="003B1220">
        <w:rPr>
          <w:b/>
          <w:i/>
        </w:rPr>
        <w:t xml:space="preserve">του </w:t>
      </w:r>
      <w:r w:rsidRPr="003B1220">
        <w:rPr>
          <w:b/>
          <w:i/>
        </w:rPr>
        <w:lastRenderedPageBreak/>
        <w:t>Ευρωπαϊκού Κοινοβουλίου και του Συμβουλίου</w:t>
      </w:r>
      <w:r w:rsidRPr="003B1220">
        <w:rPr>
          <w:b/>
          <w:i/>
          <w:szCs w:val="24"/>
          <w:vertAlign w:val="superscript"/>
          <w:lang w:eastAsia="en-US"/>
        </w:rPr>
        <w:footnoteReference w:id="15"/>
      </w:r>
      <w:r w:rsidRPr="003B1220">
        <w:rPr>
          <w:b/>
          <w:i/>
        </w:rPr>
        <w:t xml:space="preserve">. </w:t>
      </w:r>
      <w:r w:rsidRPr="003B1220">
        <w:t xml:space="preserve">Οι εθνικές στατιστικές </w:t>
      </w:r>
      <w:r w:rsidRPr="003B1220">
        <w:rPr>
          <w:b/>
          <w:bCs/>
          <w:i/>
          <w:iCs/>
        </w:rPr>
        <w:t xml:space="preserve">αρχές </w:t>
      </w:r>
      <w:r w:rsidRPr="003B1220">
        <w:t>πρέπει επίσης να συμμετέχουν στη λήψη αποφάσεων που αφορούν τον σχεδιασμό και την αναδιαμόρφωση των σχετικών πηγών διοικητικών δεδομένων, ώστε να διασφαλίζεται ότι αυτά μπορούν να επαναχρησιμοποιούνται για την κατάρτιση επίσημων στατιστικών.</w:t>
      </w:r>
    </w:p>
    <w:p w:rsidR="00621AFB" w:rsidRPr="003B1220" w:rsidRDefault="00621AFB" w:rsidP="00621AFB">
      <w:pPr>
        <w:spacing w:before="120" w:after="120" w:line="360" w:lineRule="auto"/>
        <w:ind w:left="850" w:hanging="850"/>
        <w:rPr>
          <w:szCs w:val="24"/>
        </w:rPr>
      </w:pPr>
      <w:r w:rsidRPr="003B1220">
        <w:t>(21)</w:t>
      </w:r>
      <w:r w:rsidRPr="003B1220">
        <w:tab/>
        <w:t>Τα τελευταία χρόνια έχουν αναπτυχθεί σε επίπεδο Ένωσης ολοκληρωμένες βάσεις δεδομένων και συστήματα διαλειτουργικότητας που σχετίζονται με τη διαμονή, τα δημογραφικά γεγονότα, την υπηκοότητα και τις μεταναστευτικές και διασυνοριακές μετακινήσεις πληθυσμών, όπως αυτά που θεσπίζονται δυνάμει των κανονισμών (ΕΕ) αριθ. 910/2014</w:t>
      </w:r>
      <w:r w:rsidRPr="003B1220">
        <w:rPr>
          <w:szCs w:val="24"/>
          <w:vertAlign w:val="superscript"/>
          <w:lang w:eastAsia="en-US"/>
        </w:rPr>
        <w:footnoteReference w:id="16"/>
      </w:r>
      <w:r w:rsidRPr="003B1220">
        <w:t>, (ΕΕ) 2018/1724</w:t>
      </w:r>
      <w:r w:rsidRPr="003B1220">
        <w:rPr>
          <w:szCs w:val="24"/>
          <w:vertAlign w:val="superscript"/>
          <w:lang w:eastAsia="en-US"/>
        </w:rPr>
        <w:footnoteReference w:id="17"/>
      </w:r>
      <w:r w:rsidRPr="003B1220">
        <w:t>, (ΕΕ) 2019/817</w:t>
      </w:r>
      <w:r w:rsidRPr="003B1220">
        <w:rPr>
          <w:szCs w:val="24"/>
          <w:vertAlign w:val="superscript"/>
          <w:lang w:eastAsia="en-US"/>
        </w:rPr>
        <w:footnoteReference w:id="18"/>
      </w:r>
      <w:r w:rsidRPr="003B1220">
        <w:t xml:space="preserve"> και (ΕΕ) 2019/818</w:t>
      </w:r>
      <w:r w:rsidRPr="003B1220">
        <w:rPr>
          <w:szCs w:val="24"/>
          <w:vertAlign w:val="superscript"/>
          <w:lang w:eastAsia="en-US"/>
        </w:rPr>
        <w:footnoteReference w:id="19"/>
      </w:r>
      <w:r w:rsidRPr="003B1220">
        <w:t xml:space="preserve"> του Ευρωπαϊκού Κοινοβουλίου και του Συμβουλίου. Παρέχουν πολύτιμες πληροφορίες που μπορούν να χρησιμοποιηθούν εκ νέου για την κατάρτιση και τη διασφάλιση της ποιότητας των ευρωπαϊκών στατιστικών σχετικά με τον πληθυσμό και τη στέγαση.</w:t>
      </w:r>
    </w:p>
    <w:p w:rsidR="00621AFB" w:rsidRPr="003B1220" w:rsidRDefault="00621AFB" w:rsidP="00621AFB">
      <w:pPr>
        <w:spacing w:before="120" w:after="120" w:line="360" w:lineRule="auto"/>
        <w:ind w:left="850" w:hanging="850"/>
        <w:rPr>
          <w:szCs w:val="24"/>
        </w:rPr>
      </w:pPr>
      <w:r w:rsidRPr="003B1220">
        <w:t>(22)</w:t>
      </w:r>
      <w:r w:rsidRPr="003B1220">
        <w:tab/>
        <w:t xml:space="preserve">Στο πλαίσιο αυτό, είναι σημαντικό να δοθεί στην Επιτροπή (Eurostat) η δυνατότητα να χρησιμοποιεί εκ νέου τα εν λόγω δεδομένα μόνο για στατιστικούς σκοπούς, </w:t>
      </w:r>
      <w:r w:rsidRPr="003B1220">
        <w:lastRenderedPageBreak/>
        <w:t>τηρώντας αυστηρά τους κανόνες περί προστασίας των δεδομένων και της ιδιωτικής ζωής, όπως προβλέπεται στον κανονισμό (ΕΕ) 2018/1725 του Ευρωπαϊκού Κοινοβουλίου και του Συμβουλίου</w:t>
      </w:r>
      <w:r w:rsidRPr="003B1220">
        <w:rPr>
          <w:szCs w:val="24"/>
          <w:vertAlign w:val="superscript"/>
          <w:lang w:eastAsia="en-US"/>
        </w:rPr>
        <w:footnoteReference w:id="20"/>
      </w:r>
      <w:r w:rsidRPr="003B1220">
        <w:t xml:space="preserve">. Αυτό θα πρέπει να ισχύει ιδίως για τα στατιστικά στοιχεία που αποθηκεύονται στο κεντρικό αποθετήριο για την υποβολή εκθέσεων και την κατάρτιση στατιστικών (CRRS) σύμφωνα με τον σκοπό του CRRS που προβλέπεται στο άρθρο 39 παράγραφος 1 του κανονισμού (ΕΕ) 2019/817 και στο άρθρο 39 παράγραφος 1 του κανονισμού (ΕΕ) 2019/818, και σύμφωνα με τους κανονισμούς για τη θέσπιση συστημάτων των οποίων τα στατιστικά στοιχεία αποθηκεύονται στο CRRS. Ειδικότερα, λαμβάνοντας υπόψη ότι το CRRS πρέπει να παρέχει </w:t>
      </w:r>
      <w:proofErr w:type="spellStart"/>
      <w:r w:rsidRPr="003B1220">
        <w:t>διασυστημικά</w:t>
      </w:r>
      <w:proofErr w:type="spellEnd"/>
      <w:r w:rsidRPr="003B1220">
        <w:t xml:space="preserve"> στατιστικά στοιχεία και αναλυτικές εκθέσεις για σκοπούς πολιτικής, επιχειρησιακούς σκοπούς και σκοπούς ποιότητας των δεδομένων, η Επιτροπή (Eurostat) θα πρέπει να συνεργάζεται με τον Οργανισμό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Pr="003B1220">
        <w:t>eu-LISA</w:t>
      </w:r>
      <w:proofErr w:type="spellEnd"/>
      <w:r w:rsidRPr="003B1220">
        <w:t>), στο μέτρο του δυνατού, με σκοπό την παροχή των απαιτούμενων ευρωπαϊκών στατιστικών.</w:t>
      </w:r>
    </w:p>
    <w:p w:rsidR="00621AFB" w:rsidRPr="003B1220" w:rsidRDefault="00621AFB" w:rsidP="00621AFB">
      <w:pPr>
        <w:spacing w:before="120" w:after="120" w:line="360" w:lineRule="auto"/>
        <w:ind w:left="850" w:hanging="850"/>
        <w:rPr>
          <w:szCs w:val="24"/>
        </w:rPr>
      </w:pPr>
      <w:r w:rsidRPr="003B1220">
        <w:t>(23)</w:t>
      </w:r>
      <w:r w:rsidRPr="003B1220">
        <w:tab/>
        <w:t xml:space="preserve">Τα δεδομένα που βρίσκονται στην κατοχή ιδιωτών </w:t>
      </w:r>
      <w:r w:rsidRPr="003B1220">
        <w:rPr>
          <w:b/>
          <w:bCs/>
          <w:i/>
          <w:iCs/>
        </w:rPr>
        <w:t>αναφέρονται στον τεράστιο όγκο δεδομένων τα οποία βρίσκονται στην κατοχή ιδιωτικών φορέων, λαμβάνονται ως αποτέλεσμα της δραστηριότητάς τους και θα μπορούσαν να χρησιμοποιηθούν από τις στατιστικές αρχές και την Επιτροπή (Eurostat) για την παραγωγή επίσημων στατιστικών.</w:t>
      </w:r>
      <w:r w:rsidRPr="003B1220">
        <w:rPr>
          <w:b/>
          <w:i/>
        </w:rPr>
        <w:t xml:space="preserve"> </w:t>
      </w:r>
      <w:r w:rsidRPr="003B1220">
        <w:rPr>
          <w:b/>
          <w:bCs/>
          <w:i/>
          <w:iCs/>
        </w:rPr>
        <w:t>Τα δεδομένα αυτά</w:t>
      </w:r>
      <w:r w:rsidRPr="003B1220">
        <w:t xml:space="preserve"> μπορούν να βελτιώσουν την κάλυψη, την έγκαιρη υποβολή και τις ικανότητες αντιμετώπισης κρίσεων των ευρωπαϊκών στατιστικών σχετικά με τον πληθυσμό και τη στέγαση ή ▌ να καταστήσουν δυνατή την καινοτομία στον τομέα της στατιστικής. Τα δεδομένα αυτά έχουν τη δυνατότητα να συμπληρώνουν τις υφιστάμενες δημογραφικές και μεταναστευτικές στατιστικές, να προσφέρουν καινοτομία στον τομέα της στατιστικής και να χρησιμεύουν ακόμα και για την εκπόνηση έγκαιρων εκτιμήσεων </w:t>
      </w:r>
      <w:r w:rsidRPr="003B1220">
        <w:rPr>
          <w:b/>
          <w:bCs/>
          <w:i/>
          <w:iCs/>
        </w:rPr>
        <w:t>ενώ ταυτόχρονα διασφαλίζουν την προστασία των δικαιωμάτων και των ελευθεριών των κατόχων τους.</w:t>
      </w:r>
      <w:r w:rsidRPr="003B1220">
        <w:t xml:space="preserve"> Οι εθνικές στατιστικές υπηρεσίες και άλλες αρμόδιες εθνικές αρχές, καθώς και η Επιτροπή </w:t>
      </w:r>
      <w:r w:rsidRPr="003B1220">
        <w:lastRenderedPageBreak/>
        <w:t xml:space="preserve">(Eurostat) θα πρέπει να έχουν πρόσβαση στα εν λόγω δεδομένα, να τα χρησιμοποιούν </w:t>
      </w:r>
      <w:r w:rsidRPr="003B1220">
        <w:rPr>
          <w:b/>
          <w:bCs/>
          <w:i/>
          <w:iCs/>
        </w:rPr>
        <w:t>και να συνεργάζονται με τους ιδιώτες κατόχους δεδομένων σύμφωνα με τον κανονισμό (ΕΚ) αριθ. 223/2009.</w:t>
      </w:r>
    </w:p>
    <w:p w:rsidR="00621AFB" w:rsidRPr="003B1220" w:rsidRDefault="00621AFB" w:rsidP="00621AFB">
      <w:pPr>
        <w:spacing w:before="120" w:after="120" w:line="360" w:lineRule="auto"/>
        <w:ind w:left="850" w:hanging="850"/>
        <w:rPr>
          <w:szCs w:val="24"/>
        </w:rPr>
      </w:pPr>
      <w:r w:rsidRPr="003B1220">
        <w:t>(24)</w:t>
      </w:r>
      <w:r w:rsidRPr="003B1220">
        <w:tab/>
        <w:t>Προκειμένου να διασφαλιστεί η συγκρισιμότητα των ευρωπαϊκών στατιστικών σχετικά με τον πληθυσμό και τη στέγαση σε επίπεδο Ένωσης, είναι σημαντικό οι κοινοί ορισμοί του πληθυσμού να χρησιμοποιούνται και να εφαρμόζονται με εναρμονισμένο τρόπο. Προκειμένου να εφαρμόζεται η ενιαία εναρμονισμένη πληθυσμιακή βάση με συνεπή, δυναμικό και οικονομικά αποδοτικό τρόπο, διασφαλίζοντας παράλληλα την έγκαιρη εξαγωγή αποτελεσμάτων,</w:t>
      </w:r>
      <w:r w:rsidRPr="003B1220">
        <w:rPr>
          <w:b/>
          <w:bCs/>
          <w:i/>
          <w:iCs/>
        </w:rPr>
        <w:t xml:space="preserve"> πρέπει να εφαρμόζονται επιστημονικά τεκμηριωμένες τεχνικές προσομοίωσης και στατιστικές μέθοδοι,</w:t>
      </w:r>
      <w:r w:rsidRPr="003B1220">
        <w:t xml:space="preserve"> όπως οι «ενδείξεις ζωής»</w:t>
      </w:r>
      <w:r w:rsidRPr="003B1220">
        <w:rPr>
          <w:b/>
          <w:bCs/>
          <w:i/>
          <w:iCs/>
        </w:rPr>
        <w:t>, κατά περίπτωση.</w:t>
      </w:r>
    </w:p>
    <w:p w:rsidR="00621AFB" w:rsidRPr="003B1220" w:rsidRDefault="00621AFB" w:rsidP="00621AFB">
      <w:pPr>
        <w:spacing w:before="120" w:after="120" w:line="360" w:lineRule="auto"/>
        <w:ind w:left="850" w:hanging="850"/>
        <w:rPr>
          <w:szCs w:val="24"/>
        </w:rPr>
      </w:pPr>
      <w:r w:rsidRPr="003B1220">
        <w:t>(25)</w:t>
      </w:r>
      <w:r w:rsidRPr="003B1220">
        <w:tab/>
        <w:t>Τα κράτη μέλη θα πρέπει να παρέχουν τα δεδομένα και μεταδεδομένα τους σε ηλεκτρονική μορφή, με τον κατάλληλο τεχνικό μορφότυπο που προβλέπει η Επιτροπή (Eurostat). Διεθνή πρότυπα, όπως η πρωτοβουλία για την ανταλλαγή στατιστικών στοιχείων και μεταδεδομένων, και στατιστικά ή τεχνικά πρότυπα που εκπονούνται εντός της Ένωσης, όπως τα πρότυπα μεταδεδομένων και επικύρωσης ή οι αρχές του ευρωπαϊκού διαλειτουργικού πλαισίου, θα πρέπει να χρησιμοποιούνται στον βαθμό που είναι συναφή προς τις ευρωπαϊκές στατιστικές σχετικά με τον πληθυσμό και τη στέγαση. Η επιτροπή του ευρωπαϊκού στατιστικού συστήματος έχει εγκρίνει τα πρότυπα του ΕΣΣ για τα μεταδεδομένα και τις εκθέσεις ποιότητας, σύμφωνα με το άρθρο 12 του κανονισμού (ΕΚ) αριθ. 223/2009. Τα πρότυπα αυτά πρέπει να συμβάλλουν στην εναρμόνιση της διασφάλισης της ποιότητας και της υποβολής εκθέσεων δυνάμει του παρόντος κανονισμού, και ως εκ τούτου θα πρέπει να θεσπιστούν.</w:t>
      </w:r>
    </w:p>
    <w:p w:rsidR="00621AFB" w:rsidRPr="003B1220" w:rsidRDefault="00621AFB" w:rsidP="00621AFB">
      <w:pPr>
        <w:spacing w:before="120" w:after="120" w:line="360" w:lineRule="auto"/>
        <w:ind w:left="850" w:hanging="850"/>
        <w:rPr>
          <w:szCs w:val="24"/>
        </w:rPr>
      </w:pPr>
      <w:r w:rsidRPr="003B1220">
        <w:t>(26)</w:t>
      </w:r>
      <w:r w:rsidRPr="003B1220">
        <w:tab/>
        <w:t>Οι ευρωπαϊκές στατιστικές σχετικά με τον πληθυσμό και τη στέγαση θα πρέπει να πληρούν τα κριτήρια ποιότητας σχετικά με την καταλληλότητα, την ακρίβεια, την έγκαιρη υποβολή και την εμπρόθεσμη υποβολή, την προσβασιμότητα και τη σαφήνεια, τη συγκρισιμότητα και τη συνοχή που προβλέπονται στον κανονισμό (ΕΚ) αριθ. 223/2009. Η ποιότητά των εν λόγω στατιστικών θα πρέπει να βελτιώνεται όσο εξελίσσονται οι ανάγκες της Ένωσης</w:t>
      </w:r>
      <w:r w:rsidRPr="003B1220">
        <w:rPr>
          <w:b/>
          <w:bCs/>
          <w:i/>
          <w:iCs/>
        </w:rPr>
        <w:t>, θα πρέπει δε να θεσπιστούν μηχανισμοί για την αντιμετώπιση πιθανών καταστάσεων όπου η ποιότητα των δεδομένων δεν είναι εγγυημένη.</w:t>
      </w:r>
      <w:r w:rsidRPr="003B1220">
        <w:t xml:space="preserve"> Τα κατάλληλα αποτελέσματα από την αξιολόγηση της ποιότητας που διενεργεί η Επιτροπή (Eurostat) θα πρέπει να δημοσιοποιούνται στους χρήστες </w:t>
      </w:r>
      <w:r w:rsidRPr="003B1220">
        <w:lastRenderedPageBreak/>
        <w:t>στατιστικών</w:t>
      </w:r>
      <w:r w:rsidRPr="003B1220">
        <w:rPr>
          <w:b/>
          <w:bCs/>
          <w:i/>
          <w:iCs/>
        </w:rPr>
        <w:t>, εξασφαλίζοντας δωρεάν και εύκολη πρόσβαση σε αυτές τις στατιστικές</w:t>
      </w:r>
      <w:r w:rsidRPr="003B1220">
        <w:t xml:space="preserve"> μέσω των βάσεων δεδομένων της Επιτροπής (Eurostat) στον ιστότοπό της και στις δημοσιεύσεις της.</w:t>
      </w:r>
    </w:p>
    <w:p w:rsidR="00621AFB" w:rsidRPr="003B1220" w:rsidRDefault="00621AFB" w:rsidP="00621AFB">
      <w:pPr>
        <w:spacing w:before="120" w:after="120" w:line="360" w:lineRule="auto"/>
        <w:ind w:left="850" w:hanging="850"/>
        <w:rPr>
          <w:szCs w:val="24"/>
        </w:rPr>
      </w:pPr>
      <w:r w:rsidRPr="003B1220">
        <w:rPr>
          <w:b/>
          <w:i/>
        </w:rPr>
        <w:t>(26α)</w:t>
      </w:r>
      <w:r w:rsidRPr="003B1220">
        <w:tab/>
      </w:r>
      <w:r w:rsidRPr="003B1220">
        <w:rPr>
          <w:b/>
          <w:i/>
        </w:rPr>
        <w:t xml:space="preserve">Οι ευρωπαϊκές στατιστικές για τον πληθυσμό και τη στέγαση θα πρέπει να αντιμετωπίζουν τη συνεχιζόμενη έλλειψη δεδομένων σχετικά με ευάλωτες ομάδες, και συγκεκριμένα δυσπρόσιτες πληθυσμιακές ομάδες όπως άτομα που διαμένουν σε ιδρύματα, (π.χ. στρατιωτικά καταλύματα, σωφρονιστικά ιδρύματα, κοιτώνες σχολών και πανεπιστημίων, θρησκευτικά ιδρύματα, νοσοκομεία, κέντρα ιδρυματικής φροντίδας, ιδρύματα για άτομα με αναπηρία, και ορφανοτροφεία), άτομα ηλικίας άνω των 75 ετών, άτομα με αναπηρία, αστέγους, άτομα που προέρχονται από οικογένειες μεταναστών και ανιθαγενείς. Προκειμένου να γεφυρωθεί αυτό το χάσμα δεδομένων και να αποφευχθούν οι κοινωνικές και οικονομικές ανισότητες που προκύπτουν από αυτό, τα κράτη μέλη θα πρέπει να αναπτύξουν στρατηγικές και στοχευμένες λύσεις για τη συλλογή δεδομένων σχετικά με δυσπρόσιτες πληθυσμιακές ομάδες, ιδίως όσον αφορά τον εντοπισμό, την επικοινωνία, την πειθώ και τη διεξαγωγή συνεντεύξεων στους πληθυσμούς αυτούς. </w:t>
      </w:r>
    </w:p>
    <w:p w:rsidR="00621AFB" w:rsidRPr="003B1220" w:rsidRDefault="00621AFB" w:rsidP="00621AFB">
      <w:pPr>
        <w:spacing w:before="120" w:after="120" w:line="360" w:lineRule="auto"/>
        <w:ind w:left="850" w:hanging="850"/>
        <w:rPr>
          <w:szCs w:val="24"/>
        </w:rPr>
      </w:pPr>
      <w:r w:rsidRPr="003B1220">
        <w:rPr>
          <w:b/>
          <w:i/>
        </w:rPr>
        <w:t>(26β)</w:t>
      </w:r>
      <w:r w:rsidRPr="003B1220">
        <w:tab/>
      </w:r>
      <w:r w:rsidRPr="003B1220">
        <w:rPr>
          <w:b/>
          <w:i/>
        </w:rPr>
        <w:t xml:space="preserve">Οι κατάλληλες, έγκαιρες και αποτελεσματικές πολιτικές προϋποθέτουν αξιόπιστα και συγκρίσιμα δεδομένα, κατανεμημένα ανά φύλο, ηλικία και, κατά περίπτωση, εθνικότητα, κοινωνικοοικονομική κατάσταση, γεωγραφική περιοχή και άλλα χαρακτηριστικά σύμφωνα με τις στατιστικές αρχές που ορίζονται στο άρθρο 338 παράγραφος 1 της ΣΛΕΕ και στον κώδικα ορθής πρακτικής για τις ευρωπαϊκές στατιστικές και το πλαίσιο διασφάλισης της ποιότητας του ΕΣΣ. Τα δεδομένα αυτά είναι σημαντικά για την καλύτερη κατανόηση των τάσεων του πληθυσμού και της στέγασης, την καταπολέμηση των διασταυρωτικών διακρίσεων και την εφαρμογή και αξιολόγηση των ενωσιακών πολιτικών, πολιτικών στόχων και δράσεων, όπως οι αρχές του ευρωπαϊκού πυλώνα κοινωνικών δικαιωμάτων, η ευρωπαϊκή εγγύηση για τα παιδιά, η ευρωπαϊκή στρατηγική για τη φροντίδα, η ευρωπαϊκή στρατηγική για τα δικαιώματα των ατόμων με αναπηρία και η ευρωπαϊκή πλατφόρμα για την καταπολέμηση της αστεγίας, που βασίζονται σε μεγάλο βαθμό σε δεδομένα σχετικά με τα νοικοκυριά και τις οικογένειες. Ο διαχωρισμός των στατιστικών ανά αναπηρία θα πρέπει να ενθαρρυνθεί με τη χρήση υφιστάμενων και νέων διοικητικών πηγών δεδομένων, οι οποίες θα πρέπει </w:t>
      </w:r>
      <w:r w:rsidRPr="003B1220">
        <w:rPr>
          <w:b/>
          <w:i/>
        </w:rPr>
        <w:lastRenderedPageBreak/>
        <w:t>να αξιοποιηθούν για τη διερεύνηση της καταγραφής της αναπηρίας. Η συλλογή και η χρήση τέτοιων δεδομένων πρέπει να πραγματοποιείται με πλήρη σεβασμό των ενωσιακών και εθνικών προτύπων για την προστασία της ιδιωτικής ζωής και των θεμελιωδών δικαιωμάτων, ιδίως για δεδομένα που αφορούν ανήλικους. Στην ανάλυση ανά φύλο θα πρέπει να αποτυπώνονται τα διαθέσιμα στα κράτη μέλη δεδομένα. Σε ορισμένα κράτη μέλη είναι επί του παρόντος δυνατό για τα πρόσωπα να καταχωρίζονται ως έχοντα τρίτο, συνήθως ουδέτερο, φύλο. Ο παρών κανονισμός δεν θίγει τους σχετικούς εθνικούς κανόνες που θέτουν σε ισχύ την εν λόγω καταχώριση.</w:t>
      </w:r>
    </w:p>
    <w:p w:rsidR="00621AFB" w:rsidRPr="003B1220" w:rsidRDefault="00621AFB" w:rsidP="00621AFB">
      <w:pPr>
        <w:spacing w:before="120" w:after="120" w:line="360" w:lineRule="auto"/>
        <w:ind w:left="850" w:hanging="850"/>
        <w:rPr>
          <w:szCs w:val="24"/>
        </w:rPr>
      </w:pPr>
      <w:r w:rsidRPr="003B1220">
        <w:t>(27)</w:t>
      </w:r>
      <w:r w:rsidRPr="003B1220">
        <w:tab/>
        <w:t>Ο κανονισμός (ΕΚ) αριθ. 223/2009 περιλαμβάνει κανόνες σχετικά με τη παροχή στοιχείων από τα κράτη μέλη στην Επιτροπή (Eurostat) και τη χρήση τους από αυτήν, συμπεριλαμβανομένων της διαβίβασης και της προστασίας απόρρητων στοιχείων. Τα μέτρα που λαμβάνονται σύμφωνα με τον παρόντα κανονισμό θα πρέπει να διασφαλίζουν ότι τα απόρρητα στοιχεία διαβιβάζονται και χρησιμοποιούνται αποκλειστικά και μόνο για στατιστικούς σκοπούς, σύμφωνα με τα άρθρα 21 και 22 του εν λόγω κανονισμού.</w:t>
      </w:r>
    </w:p>
    <w:p w:rsidR="00621AFB" w:rsidRPr="003B1220" w:rsidRDefault="00621AFB" w:rsidP="00621AFB">
      <w:pPr>
        <w:spacing w:before="120" w:after="120" w:line="360" w:lineRule="auto"/>
        <w:ind w:left="850" w:hanging="850"/>
        <w:rPr>
          <w:szCs w:val="24"/>
        </w:rPr>
      </w:pPr>
      <w:r w:rsidRPr="003B1220">
        <w:t>(28)</w:t>
      </w:r>
      <w:r w:rsidRPr="003B1220">
        <w:tab/>
        <w:t>Η Επιτροπή (Eurostat) οφείλει να σέβεται το στατιστικό απόρρητο των στοιχείων που παρέχουν τα κράτη μέλη σύμφωνα με τον κανονισμό (ΕΚ) αριθ. 223/2009. Όσον αφορά τις πληθυσμιακές στατιστικές που συλλέγονται δυνάμει του παρόντος κανονισμού, θα πρέπει να αναπτυχθεί μια εναρμονισμένη προσέγγιση προκειμένου να διασφαλίζεται η υψηλή ποιότητα των ευρωπαϊκών συγκεντρωτικών στοιχείων και να αποτρέπεται η δημοσιοποίηση απόρρητων στοιχείων στα στατιστικά αποτελέσματα, ενώ παράλληλα θα αποφεύγεται στο μέτρο του δυνατού η απόκρυψη δεδομένων.</w:t>
      </w:r>
    </w:p>
    <w:p w:rsidR="00621AFB" w:rsidRPr="003B1220" w:rsidRDefault="00621AFB" w:rsidP="00621AFB">
      <w:pPr>
        <w:spacing w:before="120" w:after="120" w:line="360" w:lineRule="auto"/>
        <w:ind w:left="850" w:hanging="850"/>
        <w:rPr>
          <w:szCs w:val="24"/>
        </w:rPr>
      </w:pPr>
      <w:r w:rsidRPr="003B1220">
        <w:t>(29)</w:t>
      </w:r>
      <w:r w:rsidRPr="003B1220">
        <w:tab/>
        <w:t xml:space="preserve">Οι πηγές δεδομένων που είναι διαθέσιμες σε εθνικό επίπεδο δεν είναι πάντα σε θέση να αποτυπώσουν με ακρίβεια φαινόμενα που σχετίζονται με την ελεύθερη κυκλοφορία προσώπων στην Ένωση, την πρόσβαση προσώπων σε διασυνοριακές υπηρεσίες σχετικά με δημογραφικά γεγονότα και την άσκηση των δικαιωμάτων των προσώπων να αγοράζουν και να κατέχουν ακίνητα και να τα χρησιμοποιούν ως κύρια, εξοχική και δευτερεύουσα κατοικία σε ολόκληρη την Ένωση. Υπάρχουν επίσης </w:t>
      </w:r>
      <w:r w:rsidRPr="003B1220">
        <w:rPr>
          <w:b/>
          <w:bCs/>
          <w:i/>
          <w:iCs/>
        </w:rPr>
        <w:t>αποκλίσεις</w:t>
      </w:r>
      <w:r w:rsidRPr="003B1220">
        <w:t xml:space="preserve"> όσον αφορά τις διμερείς μεταναστευτικές και δυσκολίες στη μέτρηση των πληθυσμιακών ομάδων, για παράδειγμα μεταξύ των μεταναστών, των αστέγων ή των ανιθαγενών. Ως εκ τούτου, η ανταλλαγή δεδομένων για τους σκοπούς </w:t>
      </w:r>
      <w:r w:rsidRPr="003B1220">
        <w:lastRenderedPageBreak/>
        <w:t>της κατάρτισης στατιστικών σχετικά με τον πληθυσμό και τη μετανάστευση και της διασφάλισης της ποιότητάς τους θα πρέπει να ενισχυθεί και να εκληφθεί ως πρόσθετη πηγή δεδομένων. Αυτή η ενισχυμένη ανταλλαγή δεδομένων μπορεί να καλύπτει ευρύ φάσμα σχετικών δεδομένων, από δεδομένα που σαφώς δεν επιτρέπουν τον προσδιορισμό στατιστικών μονάδων, είτε άμεσα είτε έμμεσα, έως δεδομένα που ίσως υπόκεινται σε απαιτήσεις στατιστικού απορρήτου. Τα κράτη μέλη θα πρέπει, για το δικό τους συμφέρον και για το συμφέρον των άλλων κρατών μελών, να συμμετέχουν σε δραστηριότητες ανταλλαγής δεδομένων, μεταξύ άλλων σε πιλοτικά έργα αξιολόγησης καινοτόμων ασφαλών λύσεων. Η Επιτροπή (Eurostat) θα πρέπει επίσης να δημιουργήσει ασφαλή υποδομή για τη διευκόλυνση της εν λόγω ανταλλαγής δεδομένων, φροντίζοντας παράλληλα για την εφαρμογή όλων των απαραίτητων διασφαλίσεων γ</w:t>
      </w:r>
      <w:r w:rsidRPr="003B1220">
        <w:rPr>
          <w:b/>
          <w:bCs/>
          <w:i/>
          <w:iCs/>
        </w:rPr>
        <w:t>ια την προστασία των δεδομένων.</w:t>
      </w:r>
    </w:p>
    <w:p w:rsidR="00621AFB" w:rsidRPr="003B1220" w:rsidRDefault="00621AFB" w:rsidP="00621AFB">
      <w:pPr>
        <w:spacing w:before="120" w:after="120" w:line="360" w:lineRule="auto"/>
        <w:ind w:left="850" w:hanging="850"/>
        <w:rPr>
          <w:szCs w:val="24"/>
        </w:rPr>
      </w:pPr>
      <w:r w:rsidRPr="003B1220">
        <w:t>▌</w:t>
      </w:r>
    </w:p>
    <w:p w:rsidR="00621AFB" w:rsidRPr="003B1220" w:rsidRDefault="00621AFB" w:rsidP="00621AFB">
      <w:pPr>
        <w:spacing w:before="120" w:after="120" w:line="360" w:lineRule="auto"/>
        <w:ind w:left="850" w:hanging="850"/>
        <w:rPr>
          <w:szCs w:val="24"/>
        </w:rPr>
      </w:pPr>
      <w:r w:rsidRPr="003B1220">
        <w:t>(31)</w:t>
      </w:r>
      <w:r w:rsidRPr="003B1220">
        <w:tab/>
        <w:t>Η ανταλλαγή απόρρητων στοιχείων θα πρέπει να πραγματοποιείται μόνο βάσει αιτήματος στο οποίο αιτιολογείται η ανάγκη για την ανταλλαγή των εν λόγω δεδομένων σύμφωνα με το κεφάλαιο V του κανονισμού (ΕΚ) αριθ. 223/2009.</w:t>
      </w:r>
    </w:p>
    <w:p w:rsidR="00621AFB" w:rsidRPr="003B1220" w:rsidRDefault="00621AFB" w:rsidP="00621AFB">
      <w:pPr>
        <w:spacing w:before="120" w:after="120" w:line="360" w:lineRule="auto"/>
        <w:ind w:left="850" w:hanging="850"/>
        <w:rPr>
          <w:szCs w:val="24"/>
        </w:rPr>
      </w:pPr>
      <w:r w:rsidRPr="003B1220">
        <w:t>(32)</w:t>
      </w:r>
      <w:r w:rsidRPr="003B1220">
        <w:tab/>
        <w:t xml:space="preserve">Μακροπρόθεσμα, οι συνεργατικές προσπάθειες στο πλαίσιο του ΕΣΣ για τον μετριασμό των διασυνοριακών ζητημάτων ποιότητας των στατιστικών, όπως η διπλή μέτρηση των διαμενόντων στην Ένωση οι οποίοι απολαύουν του δικαιώματος της ελεύθερης κυκλοφορίας, θα πρέπει </w:t>
      </w:r>
      <w:r w:rsidRPr="003B1220">
        <w:rPr>
          <w:b/>
          <w:bCs/>
          <w:i/>
          <w:iCs/>
        </w:rPr>
        <w:t>να αξιοποιήσουν, για παράδειγμα,</w:t>
      </w:r>
      <w:r w:rsidRPr="003B1220">
        <w:t xml:space="preserve"> τα ενιαία ψηφιακά αναγνωριστικά που θεσπίστηκαν σε επίπεδο Ένωσης με τον κανονισμό (ΕΕ) αριθ. 910/2014.</w:t>
      </w:r>
    </w:p>
    <w:p w:rsidR="00621AFB" w:rsidRPr="003B1220" w:rsidRDefault="00621AFB" w:rsidP="00621AFB">
      <w:pPr>
        <w:spacing w:before="120" w:after="120" w:line="360" w:lineRule="auto"/>
        <w:ind w:left="850" w:hanging="850"/>
        <w:rPr>
          <w:szCs w:val="24"/>
        </w:rPr>
      </w:pPr>
      <w:r w:rsidRPr="003B1220">
        <w:t>(33)</w:t>
      </w:r>
      <w:r w:rsidRPr="003B1220">
        <w:tab/>
        <w:t>Ο παρών κανονισμός δεν θίγει τους κανονισμούς (ΕΕ) 2016/679</w:t>
      </w:r>
      <w:r w:rsidRPr="003B1220">
        <w:rPr>
          <w:szCs w:val="24"/>
          <w:vertAlign w:val="superscript"/>
          <w:lang w:eastAsia="en-US"/>
        </w:rPr>
        <w:footnoteReference w:id="21"/>
      </w:r>
      <w:r w:rsidRPr="003B1220">
        <w:t xml:space="preserve"> και (ΕΕ) 2018/1725 και την οδηγία 2002/58/ΕΚ</w:t>
      </w:r>
      <w:r w:rsidRPr="003B1220">
        <w:rPr>
          <w:szCs w:val="24"/>
          <w:vertAlign w:val="superscript"/>
          <w:lang w:eastAsia="en-US"/>
        </w:rPr>
        <w:footnoteReference w:id="22"/>
      </w:r>
      <w:r w:rsidRPr="003B1220">
        <w:t xml:space="preserve"> του Ευρωπαϊκού Κοινοβουλίου και του Συμβουλίου. Στο πλαίσιο του αντίστοιχου πεδίου εφαρμογής τους, οι τελευταίοι </w:t>
      </w:r>
      <w:r w:rsidRPr="003B1220">
        <w:lastRenderedPageBreak/>
        <w:t>αυτοί κανονισμοί εφαρμόζονται στην επεξεργασία δεδομένων προσωπικού χαρακτήρα δυνάμει του παρόντος κανονισμού</w:t>
      </w:r>
      <w:r w:rsidRPr="003B1220">
        <w:rPr>
          <w:b/>
          <w:bCs/>
          <w:i/>
          <w:iCs/>
        </w:rPr>
        <w:t>, λαμβάνοντας επίσης υπόψη ότι τα δεδομένα προσωπικού χαρακτήρα που υποβάλλονται σε επεξεργασία για στατιστικούς σκοπούς προς το δημόσιο συμφέρον αποτελούν απόρρητα στατιστικά στοιχεία, με την επιφύλαξη της αρχής του στατιστικού απορρήτου.</w:t>
      </w:r>
      <w:r w:rsidRPr="003B1220">
        <w:rPr>
          <w:b/>
          <w:i/>
        </w:rPr>
        <w:t xml:space="preserve"> Επομένως, τα δεδομένα αυτά θα πρέπει να χρησιμοποιούνται μόνο για στατιστικούς σκοπούς και όχι για μέτρα ή αποφάσεις που αφορούν συγκεκριμένο φυσικό πρόσωπο. Τα ανωνυμοποιημένα ή ψευδωνυμοποιημένα δεδομένα θα πρέπει κατά προτίμηση να χρησιμοποιούνται για την επεξεργασία, την ανταλλαγή και την αρχειοθέτηση δεδομένων προσωπικού χαρακτήρα για στατιστικούς σκοπούς σύμφωνα με τον παρόντα κανονισμό προκειμένου να διασφαλίζονται οι εγγυήσεις που θεσπίζονται δυνάμει του άρθρου 89 του κανονισμού (ΕΕ) 2016/679 και του άρθρου 13 του κανονισμού (ΕΕ) 2018/1725. Όταν δεδομένα προσωπικού χαρακτήρα υποβάλλονται σε επεξεργασία σύμφωνα με τον κανονισμό (ΕΕ) 2016/679 ή τον κανονισμό (ΕΕ) 2018/1725, θα πρέπει να εφαρμόζονται πλήρως οι αρχές της νομιμότητας, της δικαιοσύνης, της διαφάνειας και της ακρίβειας, του περιορισμού του σκοπού, της ελαχιστοποίησης των δεδομένων, του περιορισμού της περιόδου αποθήκευσης, καθώς και της ακεραιότητας και εμπιστευτικότητας. </w:t>
      </w:r>
      <w:r w:rsidRPr="003B1220">
        <w:rPr>
          <w:b/>
          <w:bCs/>
          <w:i/>
          <w:iCs/>
        </w:rPr>
        <w:t>Ομοίως, θα πρέπει επίσης να εφαρμόζονται οι στατιστικές αρχές που ορίζονται στο άρθρο 2 του κανονισμού (ΕΚ) αριθ. 223/2009 και αναπτύσσονται περαιτέρω στον κώδικα ορθής πρακτικής για τις ευρωπαϊκές στατιστικές.</w:t>
      </w:r>
    </w:p>
    <w:p w:rsidR="00621AFB" w:rsidRPr="003B1220" w:rsidRDefault="00621AFB" w:rsidP="00621AFB">
      <w:pPr>
        <w:spacing w:before="120" w:after="120" w:line="360" w:lineRule="auto"/>
        <w:ind w:left="850" w:hanging="850"/>
        <w:rPr>
          <w:szCs w:val="24"/>
        </w:rPr>
      </w:pPr>
      <w:r w:rsidRPr="003B1220">
        <w:t>(34)</w:t>
      </w:r>
      <w:r w:rsidRPr="003B1220">
        <w:tab/>
        <w:t>Οι ευρωπαϊκές στατιστικές σχετικά με τον πληθυσμό και τη στέγαση θα πρέπει να εξελίσσονται ώστε να λαμβάνουν υπόψη τις αναδυόμενες ανάγκες για δεδομένα που απορρέουν από τις μεταβαλλόμενες προτεραιότητες πολιτικής, καθώς και τις αλλαγές στη δημογραφική, μεταναστευτική, κοινωνική ή οικονομική κατάσταση στην Ένωση. Η Επιτροπή (Eurostat) θα πρέπει να πραγματοποιήσει πιλοτικές μελέτες και μελέτες σκοπιμότητας για την αξιολόγηση της σκοπιμότητας των σχετικών προσαρμογών, κατά περίπτωση, και θα πρέπει να λαμβάνει υπόψη πτυχές όπως το κόστος και η διοικητική επιβάρυνση για τα κράτη μέλη, καθώς και η διαθεσιμότητα κατάλληλων πηγών δεδομένων.</w:t>
      </w:r>
      <w:r w:rsidRPr="003B1220">
        <w:rPr>
          <w:b/>
          <w:i/>
        </w:rPr>
        <w:t xml:space="preserve"> Κατά την εκπόνηση των μελετών αυτών, η Επιτροπή θα πρέπει να διασφαλίζει την αντιπροσωπευτικότητα των μελετών σε επίπεδο Ένωσης αποτυπώνοντας τις εθνικές διαφορές. Η Επιτροπή (Eurostat) θα πρέπει να αξιολογεί τα αποτελέσματα των μελετών σε συνεργασία με </w:t>
      </w:r>
      <w:r w:rsidRPr="003B1220">
        <w:rPr>
          <w:b/>
          <w:i/>
        </w:rPr>
        <w:lastRenderedPageBreak/>
        <w:t>τα κράτη μέλη.</w:t>
      </w:r>
    </w:p>
    <w:p w:rsidR="00621AFB" w:rsidRPr="003B1220" w:rsidRDefault="00621AFB" w:rsidP="00621AFB">
      <w:pPr>
        <w:spacing w:before="120" w:after="120" w:line="360" w:lineRule="auto"/>
        <w:ind w:left="850" w:hanging="850"/>
        <w:rPr>
          <w:szCs w:val="24"/>
        </w:rPr>
      </w:pPr>
      <w:r w:rsidRPr="003B1220">
        <w:t>(35)</w:t>
      </w:r>
      <w:r w:rsidRPr="003B1220">
        <w:tab/>
        <w:t xml:space="preserve">Προκειμένου να λαμβάνονται υπόψη οι δημογραφικές, οικονομικές και κοινωνικές τάσεις, </w:t>
      </w:r>
      <w:r w:rsidRPr="003B1220">
        <w:rPr>
          <w:b/>
          <w:bCs/>
          <w:i/>
          <w:iCs/>
        </w:rPr>
        <w:t>οι τεχνολογικές εξελίξεις, και η ανάγκη να σχεδιαστούν καλά στοχοθετημένες πολιτικές εγκαίρως,</w:t>
      </w:r>
      <w:r w:rsidRPr="003B1220">
        <w:t xml:space="preserve"> θα πρέπει να ανατεθεί στην Επιτροπή η εξουσία έκδοσης πράξεων σύμφωνα με το άρθρο 290 της ΣΛΕΕ προκειμένου να τροποποιεί τον κατάλογο, την περιγραφή, την περιοδικότητα και τους χρόνους αναφοράς των λεπτομερών θεμάτων που καλύπτουν οι ευρωπαϊκές στατιστικές σχετικά με τον πληθυσμό και τη στέγαση· να επικαιροποιεί την περιοδικότητα και τους χρόνους αναφοράς που προβλέπονται στο παράρτημα του παρόντος κανονισμού και να προσδιορίζει τις πληροφορίες που πρέπει να παρέχουν τα κράτη μέλη σε ad hoc βάση.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w:t>
      </w:r>
      <w:r w:rsidRPr="003B1220">
        <w:rPr>
          <w:szCs w:val="24"/>
          <w:vertAlign w:val="superscript"/>
          <w:lang w:eastAsia="en-US"/>
        </w:rPr>
        <w:footnoteReference w:id="23"/>
      </w:r>
      <w:r w:rsidRPr="003B1220">
        <w:t>. Πιο συγκεκριμένα, προκειμένου να διασφαλιστεί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p w:rsidR="00621AFB" w:rsidRPr="003B1220" w:rsidRDefault="00621AFB" w:rsidP="00621AFB">
      <w:pPr>
        <w:spacing w:before="120" w:after="120" w:line="360" w:lineRule="auto"/>
        <w:ind w:left="850" w:hanging="850"/>
        <w:rPr>
          <w:szCs w:val="24"/>
        </w:rPr>
      </w:pPr>
      <w:r w:rsidRPr="003B1220">
        <w:rPr>
          <w:b/>
          <w:i/>
        </w:rPr>
        <w:t>(35a)</w:t>
      </w:r>
      <w:r w:rsidRPr="003B1220">
        <w:tab/>
      </w:r>
      <w:r w:rsidRPr="003B1220">
        <w:rPr>
          <w:b/>
          <w:i/>
        </w:rPr>
        <w:t>Η σημασία των ευρωπαϊκών στατιστικών ως ζωτικού μέρους της λήψης τεκμηριωμένων αποφάσεων αποτυπώνεται στο πλαίσιο προγραμματισμού και χρηματοδότησης που θεσπίστηκε με τον κανονισμό (ΕΕ) 2021/690 του Ευρωπαϊκού Κοινοβουλίου και του Συμβουλίου</w:t>
      </w:r>
      <w:r w:rsidRPr="003B1220">
        <w:rPr>
          <w:b/>
          <w:i/>
          <w:szCs w:val="24"/>
          <w:vertAlign w:val="superscript"/>
          <w:lang w:eastAsia="en-US"/>
        </w:rPr>
        <w:footnoteReference w:id="24"/>
      </w:r>
      <w:r w:rsidRPr="003B1220">
        <w:rPr>
          <w:b/>
          <w:i/>
        </w:rPr>
        <w:t xml:space="preserve"> για την ανάπτυξη, την παραγωγή και τη διάδοση ευρωπαϊκών στατιστικών μέσω του προγράμματος για την ενιαία αγορά. Τα κράτη μέλη θα πρέπει να μπορούν να υποβάλλουν αίτηση για χρηματοδοτική στήριξη από το πρόγραμμα για την ενιαία αγορά, καθώς και από </w:t>
      </w:r>
      <w:r w:rsidRPr="003B1220">
        <w:rPr>
          <w:b/>
          <w:i/>
        </w:rPr>
        <w:lastRenderedPageBreak/>
        <w:t>το Μέσο Τεχνικής Υποστήριξης που θεσπίστηκε με τον κανονισμό (ΕΕ) 2021/240 του Ευρωπαϊκού Κοινοβουλίου και του Συμβουλίου</w:t>
      </w:r>
      <w:r w:rsidRPr="003B1220">
        <w:rPr>
          <w:b/>
          <w:i/>
          <w:szCs w:val="24"/>
          <w:vertAlign w:val="superscript"/>
          <w:lang w:eastAsia="en-US"/>
        </w:rPr>
        <w:footnoteReference w:id="25"/>
      </w:r>
      <w:r w:rsidRPr="003B1220">
        <w:rPr>
          <w:b/>
          <w:i/>
        </w:rPr>
        <w:t>, σύμφωνα με τους στόχους και τους κανόνες των εν λόγω μέσων, για την προσαρμογή των εθνικών στατιστικών συστημάτων τους, τη βελτίωση της μεθοδολογίας και της ποιότητας των δεδομένων των στατιστικών και τον σχεδιασμό και την εφαρμογή ad hoc συλλογών δεδομένων δυνάμει του παρόντος κανονισμού.</w:t>
      </w:r>
    </w:p>
    <w:p w:rsidR="00621AFB" w:rsidRPr="003B1220" w:rsidRDefault="00621AFB" w:rsidP="00621AFB">
      <w:pPr>
        <w:spacing w:before="120" w:after="120" w:line="360" w:lineRule="auto"/>
        <w:ind w:left="850" w:hanging="850"/>
        <w:rPr>
          <w:szCs w:val="24"/>
        </w:rPr>
      </w:pPr>
      <w:r w:rsidRPr="003B1220">
        <w:t>(36)</w:t>
      </w:r>
      <w:r w:rsidRPr="003B1220">
        <w:tab/>
        <w:t>Σύμφωνα με τους κανονισμούς (ΕΕ, Ευρατόμ) 2018/1046</w:t>
      </w:r>
      <w:r w:rsidRPr="003B1220">
        <w:rPr>
          <w:szCs w:val="24"/>
          <w:vertAlign w:val="superscript"/>
          <w:lang w:eastAsia="en-US"/>
        </w:rPr>
        <w:footnoteReference w:id="26"/>
      </w:r>
      <w:r w:rsidRPr="003B1220">
        <w:t xml:space="preserve"> και (ΕΕ, Ευρατόμ) αριθ. 883/2013</w:t>
      </w:r>
      <w:r w:rsidRPr="003B1220">
        <w:rPr>
          <w:szCs w:val="24"/>
          <w:vertAlign w:val="superscript"/>
          <w:lang w:eastAsia="en-US"/>
        </w:rPr>
        <w:footnoteReference w:id="27"/>
      </w:r>
      <w:r w:rsidRPr="003B1220">
        <w:t xml:space="preserve"> του Ευρωπαϊκού Κοινοβουλίου και του Συμβουλίου, και τους κανονισμούς (ΕΚ, Ευρατόμ) αριθ. 2988/95</w:t>
      </w:r>
      <w:r w:rsidRPr="003B1220">
        <w:rPr>
          <w:szCs w:val="24"/>
          <w:vertAlign w:val="superscript"/>
          <w:lang w:eastAsia="en-US"/>
        </w:rPr>
        <w:footnoteReference w:id="28"/>
      </w:r>
      <w:r w:rsidRPr="003B1220">
        <w:t>, (Ευρατόμ, ΕΚ) αριθ. 2185/96</w:t>
      </w:r>
      <w:r w:rsidRPr="003B1220">
        <w:rPr>
          <w:szCs w:val="24"/>
          <w:vertAlign w:val="superscript"/>
          <w:lang w:eastAsia="en-US"/>
        </w:rPr>
        <w:footnoteReference w:id="29"/>
      </w:r>
      <w:r w:rsidRPr="003B1220">
        <w:t xml:space="preserve"> και (ΕΕ) 2017/1939</w:t>
      </w:r>
      <w:r w:rsidRPr="003B1220">
        <w:rPr>
          <w:szCs w:val="24"/>
          <w:vertAlign w:val="superscript"/>
          <w:lang w:eastAsia="en-US"/>
        </w:rPr>
        <w:footnoteReference w:id="30"/>
      </w:r>
      <w:r w:rsidRPr="003B1220">
        <w:t xml:space="preserve"> του Συμβουλίου, τα οικονομικά συμφέροντα της Ένωσης πρέπει να προστατεύονται με αναλογικά μέτρα, συμπεριλαμβανομένων μέτρων που αφορούν την πρόληψη, τον εντοπισμό, τη διόρθωση και τη διερεύνηση παρατυπιών, συμπεριλαμβανομένης της απάτης, την ανάκτηση απολεσθέντων, αχρεωστήτως καταβληθέντων ή μη ορθώς χρησιμοποιηθέντων κονδυλίων και, όπου αρμόζει, την επιβολή διοικητικών κυρώσεων. Ειδικότερα, σύμφωνα με τους κανονισμούς </w:t>
      </w:r>
      <w:r w:rsidRPr="003B1220">
        <w:lastRenderedPageBreak/>
        <w:t>(Ευρατόμ, ΕΚ) αριθ. 2185/96 και (ΕΕ, Ευρατόμ) αριθ. 883/2013, η Ευρωπαϊκή Υπηρεσία Καταπολέμησης της Απάτης (OLAF) έχει την εξουσία να διενεργεί διοικητικές έρευνες, μεταξύ των οποίων και επιτόπιους ελέγχους και εξακριβώσεις, με σκοπό να διαπιστωθεί αν υπήρξε απάτη, διαφθορά ή άλλη παράνομη δραστηριότητα εις βάρος των οικονομικών συμφερόντων της Ένωσης. Η Ευρωπαϊκή Εισαγγελία έχει την εξουσία, σύμφωνα με τον κανονισμό (ΕΕ) 2017/1939, να διερευνά και να ασκεί δίωξη σε υποθέσεις αδικημάτων εις βάρος των οικονομικών συμφερόντων της Ένωσης, όπως προβλέπεται στην οδηγία (ΕΕ) 2017/1371 του Ευρωπαϊκού Κοινοβουλίου και του Συμβουλίου</w:t>
      </w:r>
      <w:r w:rsidRPr="003B1220">
        <w:rPr>
          <w:szCs w:val="24"/>
          <w:vertAlign w:val="superscript"/>
          <w:lang w:eastAsia="en-US"/>
        </w:rPr>
        <w:footnoteReference w:id="31"/>
      </w:r>
      <w:r w:rsidRPr="003B1220">
        <w:t>. Σύμφωνα με τον κανονισμό (ΕΕ, Ευρατόμ) 2018/1046, κάθε πρόσωπο ή οντότητα που είναι αποδέκτης κονδυλίων της Ένωσης οφείλει να συνεργάζεται πλήρως για την προστασία των οικονομικών συμφερόντων της Ένωσης, να παρέχει τα αναγκαία δικαιώματα και πρόσβαση στην Επιτροπή, στην OLAF, στο Ευρωπαϊκό Ελεγκτικό Συνέδριο και, σε σχέση με τα κράτη μέλη που συμμετέχουν στην ενισχυμένη συνεργασία δυνάμει του κανονισμού (ΕΕ) 2017/1939, στην Ευρωπαϊκή Εισαγγελία και να μεριμνά ώστε τυχόν τρίτοι που συμμετέχουν στην εκτέλεση κονδυλίων της Ένωσης να εκχωρούν ισοδύναμα δικαιώματα.</w:t>
      </w:r>
    </w:p>
    <w:p w:rsidR="00621AFB" w:rsidRPr="003B1220" w:rsidRDefault="00621AFB" w:rsidP="00621AFB">
      <w:pPr>
        <w:spacing w:before="120" w:after="120" w:line="360" w:lineRule="auto"/>
        <w:ind w:left="850" w:hanging="850"/>
        <w:rPr>
          <w:szCs w:val="24"/>
        </w:rPr>
      </w:pPr>
      <w:r w:rsidRPr="003B1220">
        <w:t>(37)</w:t>
      </w:r>
      <w:r w:rsidRPr="003B1220">
        <w:tab/>
        <w:t>Προκειμένου να διασφαλιστούν ενιαίοι όροι για την εφαρμογή του παρόντος κανονισμού όσον αφορά τον καθορισμό των απαιτήσεων για τα δεδομένα και τα μεταδεδομένα, τους τεχνικούς μορφότυπους και τις διαδικασίες για την παροχή δεδομένων και μεταδεδομένων, το περιεχόμενο και τη διάρθρωση των εκθέσεων ποιότητας, θα πρέπει να ανατεθούν εκτελεστικές αρμοδιότητες στην Επιτροπή. Οι εν λόγω αρμοδιότητες θα πρέπει να ασκούνται σύμφωνα με τον κανονισμό (ΕΕ) αριθ. 182/2011 του Ευρωπαϊκού Κοινοβουλίου και του Συμβουλίου</w:t>
      </w:r>
      <w:r w:rsidRPr="003B1220">
        <w:rPr>
          <w:szCs w:val="24"/>
          <w:vertAlign w:val="superscript"/>
          <w:lang w:eastAsia="en-US"/>
        </w:rPr>
        <w:footnoteReference w:id="32"/>
      </w:r>
      <w:r w:rsidRPr="003B1220">
        <w:t>.</w:t>
      </w:r>
    </w:p>
    <w:p w:rsidR="00621AFB" w:rsidRPr="003B1220" w:rsidRDefault="00621AFB" w:rsidP="00621AFB">
      <w:pPr>
        <w:spacing w:before="120" w:after="120" w:line="360" w:lineRule="auto"/>
        <w:ind w:left="850" w:hanging="850"/>
        <w:rPr>
          <w:szCs w:val="24"/>
        </w:rPr>
      </w:pPr>
      <w:r w:rsidRPr="003B1220">
        <w:t>(38)</w:t>
      </w:r>
      <w:r w:rsidRPr="003B1220">
        <w:tab/>
        <w:t xml:space="preserve">Αν η εφαρμογή του παρόντος κανονισμού, ή των κατ’ εξουσιοδότηση και εκτελεστικών πράξεων που εκδίδονται δυνάμει αυτού, απαιτήσει σημαντικές προσαρμογές στο εθνικό στατιστικό σύστημα κράτους μέλους για την περιοδική ανά </w:t>
      </w:r>
      <w:r w:rsidRPr="003B1220">
        <w:lastRenderedPageBreak/>
        <w:t>δεκαετία παροχή δεδομένων, η Επιτροπή θα πρέπει να είναι σε θέση, σε δεόντως αιτιολογημένες περιπτώσεις και για περιορισμένη χρονική περίοδο, να χορηγήσει παρεκκλίσεις στα ενδιαφερόμενα κράτη μέλη.</w:t>
      </w:r>
    </w:p>
    <w:p w:rsidR="00621AFB" w:rsidRPr="003B1220" w:rsidRDefault="00621AFB" w:rsidP="00621AFB">
      <w:pPr>
        <w:spacing w:before="120" w:after="120" w:line="360" w:lineRule="auto"/>
        <w:ind w:left="850" w:hanging="850"/>
        <w:rPr>
          <w:szCs w:val="24"/>
        </w:rPr>
      </w:pPr>
      <w:r w:rsidRPr="003B1220">
        <w:t>(39)</w:t>
      </w:r>
      <w:r w:rsidRPr="003B1220">
        <w:tab/>
        <w:t>Δεδομένου ότι ο στόχος του παρόντος κανονισμού, δηλαδή η συστηματική εκπόνηση ευρωπαϊκών στατιστικών σχετικά με τον πληθυσμό και τη στέγαση, δεν μπορεί να επιτευχθεί επαρκώς από τα κράτη μέλη, μπορεί όμως, για λόγους συνεκτικότητας και συγκρισιμότητας, να επιτευχθεί καλύτερα σε ενωσιακό επίπεδο, η Ένωση δύναται να θεσπίσει μέτρα σύμφωνα με την αρχή της επικουρικότητας, όπως ορίζεται στο άρθρο 5 της ΣΕΕ. Σύμφωνα με την αρχή της αναλογικότητας, όπως ορίζεται στο εν λόγω άρθρο, ο παρών κανονισμός δεν υπερβαίνει τα αναγκαία για την επίτευξη του εν λόγω στόχου.</w:t>
      </w:r>
    </w:p>
    <w:p w:rsidR="00621AFB" w:rsidRPr="003B1220" w:rsidRDefault="00621AFB" w:rsidP="00621AFB">
      <w:pPr>
        <w:spacing w:before="120" w:after="120" w:line="360" w:lineRule="auto"/>
        <w:ind w:left="850" w:hanging="850"/>
        <w:rPr>
          <w:szCs w:val="24"/>
        </w:rPr>
      </w:pPr>
      <w:r w:rsidRPr="003B1220">
        <w:t>(40)</w:t>
      </w:r>
      <w:r w:rsidRPr="003B1220">
        <w:tab/>
        <w:t xml:space="preserve">Ζητήθηκε, σύμφωνα με το άρθρο 42 παράγραφος 1 του κανονισμού (ΕΕ) 2018/1725, η γνώμη του Ευρωπαίου Επόπτη Προστασίας Δεδομένων, ο οποίος γνωμοδότησε στις </w:t>
      </w:r>
      <w:r w:rsidRPr="003B1220">
        <w:rPr>
          <w:b/>
          <w:bCs/>
          <w:i/>
          <w:iCs/>
        </w:rPr>
        <w:t>16 Μαρτίου 2023.</w:t>
      </w:r>
    </w:p>
    <w:p w:rsidR="00621AFB" w:rsidRPr="003B1220" w:rsidRDefault="00621AFB" w:rsidP="00621AFB">
      <w:pPr>
        <w:spacing w:before="120" w:after="120" w:line="360" w:lineRule="auto"/>
        <w:ind w:left="850" w:hanging="850"/>
        <w:rPr>
          <w:szCs w:val="24"/>
        </w:rPr>
      </w:pPr>
      <w:r w:rsidRPr="003B1220">
        <w:t>(41)</w:t>
      </w:r>
      <w:r w:rsidRPr="003B1220">
        <w:tab/>
        <w:t>Ζητήθηκε η γνώμη της ΕΕΣΣ,</w:t>
      </w:r>
    </w:p>
    <w:p w:rsidR="00621AFB" w:rsidRPr="003B1220" w:rsidRDefault="00621AFB" w:rsidP="00621AFB">
      <w:pPr>
        <w:keepNext/>
        <w:widowControl/>
        <w:spacing w:before="120" w:after="120" w:line="360" w:lineRule="auto"/>
        <w:rPr>
          <w:szCs w:val="24"/>
        </w:rPr>
      </w:pPr>
      <w:r w:rsidRPr="003B1220">
        <w:t>ΕΞΕΔΩΣΑΝ ΤΟΝ ΠΑΡΟΝΤΑ ΚΑΝΟΝΙΣΜΟ:</w:t>
      </w:r>
    </w:p>
    <w:p w:rsidR="00621AFB" w:rsidRPr="003B1220" w:rsidRDefault="00621AFB" w:rsidP="00621AFB">
      <w:pPr>
        <w:spacing w:before="120" w:after="120" w:line="360" w:lineRule="auto"/>
        <w:jc w:val="center"/>
        <w:rPr>
          <w:szCs w:val="24"/>
        </w:rPr>
      </w:pPr>
      <w:r w:rsidRPr="003B1220">
        <w:br w:type="page"/>
      </w:r>
      <w:r w:rsidRPr="003B1220">
        <w:lastRenderedPageBreak/>
        <w:t>Άρθρο 1</w:t>
      </w:r>
      <w:r w:rsidRPr="003B1220">
        <w:br/>
        <w:t>Αντικείμενο</w:t>
      </w:r>
    </w:p>
    <w:p w:rsidR="00621AFB" w:rsidRPr="003B1220" w:rsidRDefault="00621AFB" w:rsidP="00621AFB">
      <w:pPr>
        <w:spacing w:before="120" w:after="120" w:line="360" w:lineRule="auto"/>
        <w:rPr>
          <w:szCs w:val="24"/>
        </w:rPr>
      </w:pPr>
      <w:r w:rsidRPr="003B1220">
        <w:t>Ο παρών κανονισμός θεσπίζει κοινό νομικό πλαίσιο για την ανάπτυξη, την εκπόνηση και τη διάδοση ευρωπαϊκών στατιστικών σχετικά με τον πληθυσμό και τη στέγαση.</w:t>
      </w:r>
    </w:p>
    <w:p w:rsidR="00621AFB" w:rsidRPr="003B1220" w:rsidRDefault="00621AFB" w:rsidP="00621AFB">
      <w:pPr>
        <w:spacing w:before="120" w:after="120" w:line="360" w:lineRule="auto"/>
        <w:jc w:val="center"/>
        <w:rPr>
          <w:szCs w:val="24"/>
        </w:rPr>
      </w:pPr>
      <w:r w:rsidRPr="003B1220">
        <w:t>Άρθρο 2</w:t>
      </w:r>
      <w:r w:rsidRPr="003B1220">
        <w:br/>
        <w:t>Ορισμοί</w:t>
      </w:r>
    </w:p>
    <w:p w:rsidR="00621AFB" w:rsidRPr="003B1220" w:rsidRDefault="00621AFB" w:rsidP="00621AFB">
      <w:pPr>
        <w:spacing w:before="120" w:after="120" w:line="360" w:lineRule="auto"/>
        <w:rPr>
          <w:szCs w:val="24"/>
        </w:rPr>
      </w:pPr>
      <w:r w:rsidRPr="003B1220">
        <w:t>Για τους σκοπούς του παρόντος κανονισμού, ισχύουν οι εξής ορισμοί:</w:t>
      </w:r>
    </w:p>
    <w:p w:rsidR="00621AFB" w:rsidRPr="003B1220" w:rsidRDefault="00621AFB" w:rsidP="00621AFB">
      <w:pPr>
        <w:spacing w:before="120" w:after="120" w:line="360" w:lineRule="auto"/>
        <w:ind w:left="850" w:hanging="850"/>
        <w:rPr>
          <w:szCs w:val="24"/>
        </w:rPr>
      </w:pPr>
      <w:r w:rsidRPr="003B1220">
        <w:t>1)</w:t>
      </w:r>
      <w:r w:rsidRPr="003B1220">
        <w:tab/>
        <w:t>«υπηκοότητα»: ο ιδιαίτερος νομικός δεσμός μεταξύ ενός φυσικού προσώπου και του κράτους του, ο οποίος έχει αποκτηθεί με γέννηση ή με πολιτογράφηση, είτε με δήλωση, επιλογή, γάμο, υιοθεσία ή άλλα μέσα σύμφωνα με την εθνική νομοθεσία·</w:t>
      </w:r>
    </w:p>
    <w:p w:rsidR="00621AFB" w:rsidRPr="003B1220" w:rsidRDefault="00621AFB" w:rsidP="00621AFB">
      <w:pPr>
        <w:spacing w:before="120" w:after="120" w:line="360" w:lineRule="auto"/>
        <w:ind w:left="850" w:hanging="850"/>
        <w:rPr>
          <w:szCs w:val="24"/>
        </w:rPr>
      </w:pPr>
      <w:r w:rsidRPr="003B1220">
        <w:t>2)</w:t>
      </w:r>
      <w:r w:rsidRPr="003B1220">
        <w:tab/>
        <w:t>«συνήθης διαμονή»: ο τόπος στον οποίο ένα άτομο περνά τις καθημερινές ώρες ανάπαυσης, ανεξάρτητα από την περιστασιακή απουσία του για λόγους αναψυχής, διακοπών, επισκέψεων σε φίλους και συγγενείς, εργασίας, ιατρικής περίθαλψης ή θρησκευτικού προσκυνήματος. Συνήθως διαμένοντες σε μια ειδική γεωγραφική περιοχή θεωρούνται μόνο τα ακόλουθα άτομα:</w:t>
      </w:r>
    </w:p>
    <w:p w:rsidR="00621AFB" w:rsidRPr="003B1220" w:rsidRDefault="00621AFB" w:rsidP="00621AFB">
      <w:pPr>
        <w:spacing w:before="120" w:after="120" w:line="360" w:lineRule="auto"/>
        <w:ind w:left="1416" w:hanging="566"/>
        <w:rPr>
          <w:szCs w:val="24"/>
        </w:rPr>
      </w:pPr>
      <w:r w:rsidRPr="003B1220">
        <w:t>α)</w:t>
      </w:r>
      <w:r w:rsidRPr="003B1220">
        <w:tab/>
        <w:t>όσοι έχουν ζήσει στον τόπο συνήθους διαμονής τους το μεγαλύτερο μέρος της δωδεκάμηνης περιόδου που προηγείται της ημερομηνίας αναφοράς, συμπεριλαμβανομένης της ημερομηνίας αναφοράς· ή</w:t>
      </w:r>
    </w:p>
    <w:p w:rsidR="00621AFB" w:rsidRPr="003B1220" w:rsidRDefault="00621AFB" w:rsidP="00621AFB">
      <w:pPr>
        <w:spacing w:before="120" w:after="120" w:line="360" w:lineRule="auto"/>
        <w:ind w:left="1416" w:hanging="566"/>
        <w:rPr>
          <w:szCs w:val="24"/>
        </w:rPr>
      </w:pPr>
      <w:r w:rsidRPr="003B1220">
        <w:t>β)</w:t>
      </w:r>
      <w:r w:rsidRPr="003B1220">
        <w:tab/>
        <w:t>όσοι έφτασαν στον τόπο συνήθους διαμονής τους κατά τη δωδεκάμηνη περίοδο που προηγείται της ημερομηνίας αναφοράς, συμπεριλαμβανομένης της ημερομηνίας αναφοράς, και για τους οποίους υπάρχει η πρόθεση ή η προσδοκία ότι θα παραμείνουν εκεί για το μεγαλύτερο μέρος τουλάχιστον της δωδεκάμηνης περιόδου που έπεται της άφιξής τους·</w:t>
      </w:r>
    </w:p>
    <w:p w:rsidR="00621AFB" w:rsidRPr="003B1220" w:rsidRDefault="00621AFB" w:rsidP="00621AFB">
      <w:pPr>
        <w:spacing w:before="120" w:after="120" w:line="360" w:lineRule="auto"/>
        <w:ind w:left="850" w:hanging="850"/>
        <w:rPr>
          <w:szCs w:val="24"/>
        </w:rPr>
      </w:pPr>
      <w:r w:rsidRPr="003B1220">
        <w:t>3)</w:t>
      </w:r>
      <w:r w:rsidRPr="003B1220">
        <w:tab/>
        <w:t>«ενδείξεις ζωής»: κάθε πληροφορία ενδεικτική της πραγματικής παρουσίας και συνήθους διαμονής ενός προσώπου στο έδαφος ενδιαφέροντος, συμπεριλαμβανομένων των πληροφοριών που λαμβάνονται από οποιαδήποτε κατάλληλη πηγή ή συνδυασμό αυτών, συμπεριλαμβανομένων των ψηφιακών ιχνών που αφορούν το πρόσωπο·</w:t>
      </w:r>
    </w:p>
    <w:p w:rsidR="00621AFB" w:rsidRPr="003B1220" w:rsidRDefault="00621AFB" w:rsidP="00621AFB">
      <w:pPr>
        <w:spacing w:before="120" w:after="120" w:line="360" w:lineRule="auto"/>
        <w:ind w:left="850" w:hanging="850"/>
        <w:rPr>
          <w:szCs w:val="24"/>
        </w:rPr>
      </w:pPr>
      <w:r w:rsidRPr="003B1220">
        <w:t>4)</w:t>
      </w:r>
      <w:r w:rsidRPr="003B1220">
        <w:tab/>
        <w:t>▌</w:t>
      </w:r>
    </w:p>
    <w:p w:rsidR="00621AFB" w:rsidRPr="003B1220" w:rsidRDefault="00621AFB" w:rsidP="00621AFB">
      <w:pPr>
        <w:spacing w:before="120" w:after="120" w:line="360" w:lineRule="auto"/>
        <w:ind w:left="850" w:hanging="850"/>
        <w:rPr>
          <w:szCs w:val="24"/>
        </w:rPr>
      </w:pPr>
      <w:r w:rsidRPr="003B1220">
        <w:t>5)</w:t>
      </w:r>
      <w:r w:rsidRPr="003B1220">
        <w:tab/>
        <w:t xml:space="preserve">«διεθνής μετανάστευση»: το γεγονός κατά το οποίο ένα πρόσωπο επιλέγει ως συνήθη τόπο διαμονής και εγκαθίσταται στην επικράτεια ενός κράτους μέλους ή </w:t>
      </w:r>
      <w:r w:rsidRPr="003B1220">
        <w:lastRenderedPageBreak/>
        <w:t>τρίτης χώρας, ενώ προηγουμένως ο συνήθης τόπος διαμονής του ήταν σε άλλο κράτος μέλος ή σε τρίτη χώρα·</w:t>
      </w:r>
    </w:p>
    <w:p w:rsidR="00621AFB" w:rsidRPr="003B1220" w:rsidRDefault="00621AFB" w:rsidP="00621AFB">
      <w:pPr>
        <w:spacing w:before="120" w:after="120" w:line="360" w:lineRule="auto"/>
        <w:ind w:left="850" w:hanging="850"/>
        <w:rPr>
          <w:szCs w:val="24"/>
        </w:rPr>
      </w:pPr>
      <w:r w:rsidRPr="003B1220">
        <w:t>6)</w:t>
      </w:r>
      <w:r w:rsidRPr="003B1220">
        <w:tab/>
        <w:t>«εισερχόμενος μετανάστης»: το πρόσωπο που ακολούθησε διαδικασία διεθνούς μετανάστευσης κατά τη διάρκεια της περιόδου αναφοράς προκειμένου να επιλέξει τον νέο τόπο συνήθους διαμονής του και να εγκατασταθεί εντός της αναφέρουσας χώρας·</w:t>
      </w:r>
    </w:p>
    <w:p w:rsidR="00621AFB" w:rsidRPr="003B1220" w:rsidRDefault="00621AFB" w:rsidP="00621AFB">
      <w:pPr>
        <w:spacing w:before="120" w:after="120" w:line="360" w:lineRule="auto"/>
        <w:ind w:left="850" w:hanging="850"/>
        <w:rPr>
          <w:szCs w:val="24"/>
        </w:rPr>
      </w:pPr>
      <w:r w:rsidRPr="003B1220">
        <w:t>7)</w:t>
      </w:r>
      <w:r w:rsidRPr="003B1220">
        <w:tab/>
        <w:t>«εξερχόμενος μετανάστης»: το πρόσωπο που ακολούθησε διαδικασία διεθνούς μετανάστευσης κατά τη διάρκεια της περιόδου αναφοράς προκειμένου να επιλέξει τον νέο τόπο συνήθους διαμονής του και να εγκατασταθεί εκτός της αναφέρουσας χώρας, ενώ προηγουμένως ο συνήθης τόπος διαμονής του ήταν εντός της αναφέρουσας χώρας·</w:t>
      </w:r>
    </w:p>
    <w:p w:rsidR="00621AFB" w:rsidRPr="003B1220" w:rsidRDefault="00621AFB" w:rsidP="00621AFB">
      <w:pPr>
        <w:spacing w:before="120" w:after="120" w:line="360" w:lineRule="auto"/>
        <w:ind w:left="850" w:hanging="850"/>
        <w:rPr>
          <w:szCs w:val="24"/>
        </w:rPr>
      </w:pPr>
      <w:r w:rsidRPr="003B1220">
        <w:t>8)</w:t>
      </w:r>
      <w:r w:rsidRPr="003B1220">
        <w:tab/>
        <w:t>«εσωτερική μετανάστευση»: το γεγονός κατά το οποίο ένα πρόσωπο αλλάζει τον τόπο συνήθους διαμονής του εντός της επικράτειας της αναφέρουσας χώρας·</w:t>
      </w:r>
    </w:p>
    <w:p w:rsidR="00621AFB" w:rsidRPr="003B1220" w:rsidRDefault="00621AFB" w:rsidP="00621AFB">
      <w:pPr>
        <w:spacing w:before="120" w:after="120" w:line="360" w:lineRule="auto"/>
        <w:ind w:left="850" w:hanging="850"/>
        <w:rPr>
          <w:szCs w:val="24"/>
        </w:rPr>
      </w:pPr>
      <w:r w:rsidRPr="003B1220">
        <w:rPr>
          <w:b/>
          <w:i/>
        </w:rPr>
        <w:t>8α)</w:t>
      </w:r>
      <w:r w:rsidRPr="003B1220">
        <w:tab/>
      </w:r>
      <w:r w:rsidRPr="003B1220">
        <w:rPr>
          <w:b/>
          <w:i/>
        </w:rPr>
        <w:t>«δυσπρόσιτες πληθυσμιακές ομάδες»: ομάδες ατόμων για τις οποίες υπάρχει πραγματικός ή εικαζόμενος φραγμός που δυσκολεύει την πλήρη και αντιπροσωπευτική συμπερίληψή ή ταυτοποίηση τους στη συλλογή στατιστικών στοιχείων, είτε λόγω έλλειψης κάλυψης των αντίστοιχων ομάδων είτε λόγω έλλειψης ειδικών χαρακτηριστικών για την ταυτοποίησή τους·</w:t>
      </w:r>
    </w:p>
    <w:p w:rsidR="00621AFB" w:rsidRPr="003B1220" w:rsidRDefault="00621AFB" w:rsidP="00621AFB">
      <w:pPr>
        <w:spacing w:before="120" w:after="120" w:line="360" w:lineRule="auto"/>
        <w:ind w:left="850" w:hanging="850"/>
        <w:rPr>
          <w:szCs w:val="24"/>
        </w:rPr>
      </w:pPr>
      <w:r w:rsidRPr="003B1220">
        <w:t>9)</w:t>
      </w:r>
      <w:r w:rsidRPr="003B1220">
        <w:tab/>
        <w:t>«</w:t>
      </w:r>
      <w:r w:rsidRPr="003B1220">
        <w:rPr>
          <w:b/>
          <w:bCs/>
          <w:i/>
          <w:iCs/>
        </w:rPr>
        <w:t>καταλύματα</w:t>
      </w:r>
      <w:r w:rsidRPr="003B1220">
        <w:t>»: κατασκευή ή χώρος στέγασης ή διαμονής προσωρινού ή μόνιμου χαρακτήρα όπου διαμένουν ένα ή περισσότερα άτομα, ανεξάρτητα από το αν έχει σχεδιαστεί ή προορίζεται για κατοίκηση από ανθρώπους·</w:t>
      </w:r>
    </w:p>
    <w:p w:rsidR="00621AFB" w:rsidRPr="003B1220" w:rsidRDefault="00621AFB" w:rsidP="00621AFB">
      <w:pPr>
        <w:spacing w:before="120" w:after="120" w:line="360" w:lineRule="auto"/>
        <w:ind w:left="850" w:hanging="850"/>
        <w:rPr>
          <w:b/>
          <w:i/>
          <w:szCs w:val="24"/>
        </w:rPr>
      </w:pPr>
      <w:r w:rsidRPr="003B1220">
        <w:t>10)</w:t>
      </w:r>
      <w:r w:rsidRPr="003B1220">
        <w:tab/>
      </w:r>
      <w:r w:rsidRPr="003B1220">
        <w:rPr>
          <w:b/>
          <w:bCs/>
          <w:i/>
          <w:iCs/>
        </w:rPr>
        <w:t xml:space="preserve">«συμβατικές κατοικίες»: δομικά διαχωρισμένες και ανεξάρτητες εγκαταστάσεις σε </w:t>
      </w:r>
      <w:r w:rsidRPr="003B1220">
        <w:t xml:space="preserve">σταθερές </w:t>
      </w:r>
      <w:r w:rsidRPr="003B1220">
        <w:rPr>
          <w:b/>
          <w:bCs/>
          <w:i/>
          <w:iCs/>
        </w:rPr>
        <w:t xml:space="preserve">τοποθεσίες που είναι </w:t>
      </w:r>
      <w:r w:rsidRPr="003B1220">
        <w:t>σχεδιασμένες για μόνιμη κατοίκηση από ανθρώπους</w:t>
      </w:r>
      <w:r w:rsidRPr="003B1220">
        <w:rPr>
          <w:b/>
          <w:bCs/>
          <w:i/>
          <w:iCs/>
        </w:rPr>
        <w:t xml:space="preserve"> και οι οποίες κατά την ημερομηνία αναφοράς:</w:t>
      </w:r>
      <w:r w:rsidRPr="003B1220">
        <w:rPr>
          <w:b/>
          <w:i/>
        </w:rPr>
        <w:t xml:space="preserve"> </w:t>
      </w:r>
    </w:p>
    <w:p w:rsidR="00621AFB" w:rsidRPr="003B1220" w:rsidRDefault="00621AFB" w:rsidP="00621AFB">
      <w:pPr>
        <w:spacing w:before="120" w:after="120" w:line="360" w:lineRule="auto"/>
        <w:ind w:left="850"/>
        <w:rPr>
          <w:b/>
          <w:i/>
          <w:szCs w:val="24"/>
        </w:rPr>
      </w:pPr>
      <w:r w:rsidRPr="003B1220">
        <w:rPr>
          <w:b/>
          <w:i/>
        </w:rPr>
        <w:t xml:space="preserve">α) χρησιμοποιούνται ως συνήθης κατοικία· </w:t>
      </w:r>
    </w:p>
    <w:p w:rsidR="00621AFB" w:rsidRPr="003B1220" w:rsidRDefault="00621AFB" w:rsidP="00621AFB">
      <w:pPr>
        <w:spacing w:before="120" w:after="120" w:line="360" w:lineRule="auto"/>
        <w:ind w:left="850"/>
        <w:rPr>
          <w:b/>
          <w:i/>
          <w:szCs w:val="24"/>
        </w:rPr>
      </w:pPr>
      <w:r w:rsidRPr="003B1220">
        <w:rPr>
          <w:b/>
          <w:i/>
        </w:rPr>
        <w:t xml:space="preserve">β) είναι ακατοίκητες· ή </w:t>
      </w:r>
    </w:p>
    <w:p w:rsidR="00621AFB" w:rsidRPr="003B1220" w:rsidRDefault="00621AFB" w:rsidP="00621AFB">
      <w:pPr>
        <w:spacing w:before="120" w:after="120" w:line="360" w:lineRule="auto"/>
        <w:ind w:left="850"/>
        <w:rPr>
          <w:b/>
          <w:i/>
          <w:szCs w:val="24"/>
        </w:rPr>
      </w:pPr>
      <w:r w:rsidRPr="003B1220">
        <w:rPr>
          <w:b/>
          <w:i/>
        </w:rPr>
        <w:t xml:space="preserve">γ) χρησιμοποιούνται ως δευτερεύουσα ή εποχική κατοικία. </w:t>
      </w:r>
    </w:p>
    <w:p w:rsidR="00621AFB" w:rsidRPr="003B1220" w:rsidRDefault="00621AFB" w:rsidP="00621AFB">
      <w:pPr>
        <w:spacing w:before="120" w:after="120" w:line="360" w:lineRule="auto"/>
        <w:ind w:left="851" w:hanging="851"/>
        <w:rPr>
          <w:b/>
          <w:i/>
          <w:szCs w:val="24"/>
        </w:rPr>
      </w:pPr>
      <w:r w:rsidRPr="003B1220">
        <w:rPr>
          <w:b/>
          <w:i/>
        </w:rPr>
        <w:t>x)</w:t>
      </w:r>
      <w:r w:rsidRPr="003B1220">
        <w:rPr>
          <w:b/>
          <w:i/>
        </w:rPr>
        <w:tab/>
        <w:t>«χωριστοί χώροι»: χώροι που περιβάλλονται από τοίχους και καλύπτονται από στέγη ή οροφή κατά τρόπο ώστε ένα ή περισσότερα άτομα να μπορούν να διαμένουν εκεί ανεξάρτητα από άλλα·</w:t>
      </w:r>
    </w:p>
    <w:p w:rsidR="00621AFB" w:rsidRPr="003B1220" w:rsidRDefault="00621AFB" w:rsidP="00621AFB">
      <w:pPr>
        <w:spacing w:before="120" w:after="120" w:line="360" w:lineRule="auto"/>
        <w:ind w:left="851" w:hanging="851"/>
        <w:rPr>
          <w:szCs w:val="24"/>
        </w:rPr>
      </w:pPr>
      <w:proofErr w:type="spellStart"/>
      <w:r w:rsidRPr="003B1220">
        <w:rPr>
          <w:b/>
          <w:i/>
        </w:rPr>
        <w:lastRenderedPageBreak/>
        <w:t>xx</w:t>
      </w:r>
      <w:proofErr w:type="spellEnd"/>
      <w:r w:rsidRPr="003B1220">
        <w:rPr>
          <w:b/>
          <w:i/>
        </w:rPr>
        <w:t>)</w:t>
      </w:r>
      <w:r w:rsidRPr="003B1220">
        <w:rPr>
          <w:b/>
          <w:i/>
        </w:rPr>
        <w:tab/>
      </w:r>
      <w:r w:rsidRPr="003B1220">
        <w:rPr>
          <w:b/>
          <w:bCs/>
          <w:i/>
          <w:iCs/>
        </w:rPr>
        <w:t>«ανεξάρτητες εγκαταστάσεις»: άμεσα προσβάσιμες εγκαταστάσεις από δρόμο ή σκάλα, δίοδο, διάδρομο ή οικόπεδο·</w:t>
      </w:r>
    </w:p>
    <w:p w:rsidR="00621AFB" w:rsidRPr="003B1220" w:rsidRDefault="00621AFB" w:rsidP="00621AFB">
      <w:pPr>
        <w:spacing w:before="120" w:after="120" w:line="360" w:lineRule="auto"/>
        <w:ind w:left="850" w:hanging="850"/>
        <w:rPr>
          <w:szCs w:val="24"/>
        </w:rPr>
      </w:pPr>
      <w:r w:rsidRPr="003B1220">
        <w:t>11)</w:t>
      </w:r>
      <w:r w:rsidRPr="003B1220">
        <w:tab/>
        <w:t>«κτίριο προοριζόμενο για κατοίκηση»: μόνιμη κατασκευή που αποτελείται από μία ή περισσότερες συμβατικές κατοικίες ή προορίζεται για ιδρυματική ή ομαδική στέγαση·</w:t>
      </w:r>
    </w:p>
    <w:p w:rsidR="00621AFB" w:rsidRPr="003B1220" w:rsidRDefault="00621AFB" w:rsidP="00621AFB">
      <w:pPr>
        <w:spacing w:before="120" w:after="120" w:line="360" w:lineRule="auto"/>
        <w:ind w:left="850" w:hanging="850"/>
        <w:rPr>
          <w:szCs w:val="24"/>
        </w:rPr>
      </w:pPr>
      <w:r w:rsidRPr="003B1220">
        <w:t>12)</w:t>
      </w:r>
      <w:r w:rsidRPr="003B1220">
        <w:tab/>
        <w:t>«νοικοκυριό»: ομάδα δύο ή περισσότερων ατόμων που διαμένουν από κοινού ▌ σε καταλύματα ή ένα πρόσωπο που δεν ανήκει σε άλλο νοικοκυριό·</w:t>
      </w:r>
    </w:p>
    <w:p w:rsidR="00621AFB" w:rsidRPr="003B1220" w:rsidRDefault="00621AFB" w:rsidP="00621AFB">
      <w:pPr>
        <w:spacing w:before="120" w:after="120" w:line="360" w:lineRule="auto"/>
        <w:ind w:left="850" w:hanging="850"/>
        <w:rPr>
          <w:szCs w:val="24"/>
        </w:rPr>
      </w:pPr>
      <w:r w:rsidRPr="003B1220">
        <w:rPr>
          <w:b/>
          <w:i/>
        </w:rPr>
        <w:t>12a)</w:t>
      </w:r>
      <w:r w:rsidRPr="003B1220">
        <w:tab/>
      </w:r>
      <w:r w:rsidRPr="003B1220">
        <w:rPr>
          <w:b/>
          <w:i/>
        </w:rPr>
        <w:t>«ίδρυμα»: συλλογικό κατάλυμα με σκοπό την προσφορά μακροχρόνιας κατοικίας και την παροχή υπηρεσιών που απαιτούνται για την καθημερινή ζωή σε μια ομάδα ανθρώπων·</w:t>
      </w:r>
    </w:p>
    <w:p w:rsidR="00621AFB" w:rsidRPr="003B1220" w:rsidRDefault="00621AFB" w:rsidP="00621AFB">
      <w:pPr>
        <w:spacing w:before="120" w:after="120" w:line="360" w:lineRule="auto"/>
        <w:ind w:left="850" w:hanging="850"/>
        <w:rPr>
          <w:szCs w:val="24"/>
        </w:rPr>
      </w:pPr>
      <w:r w:rsidRPr="003B1220">
        <w:t>13)</w:t>
      </w:r>
      <w:r w:rsidRPr="003B1220">
        <w:tab/>
        <w:t xml:space="preserve">«οικογένεια»: μια ομάδα δύο ή περισσότερων προσώπων που ζουν </w:t>
      </w:r>
      <w:r w:rsidRPr="003B1220">
        <w:rPr>
          <w:b/>
          <w:bCs/>
          <w:i/>
          <w:iCs/>
        </w:rPr>
        <w:t>το μεγαλύτερο χρονικό διάστημα</w:t>
      </w:r>
      <w:r w:rsidRPr="003B1220">
        <w:t xml:space="preserve"> στο ίδιο νοικοκυριό και τα οποία συνδέονται μέσω της σχέσης γονέα-παιδιού ή βάσει γάμου, συμφώνου συμβίωσης ή συναινετικής συμβίωσης·</w:t>
      </w:r>
    </w:p>
    <w:p w:rsidR="00621AFB" w:rsidRPr="003B1220" w:rsidRDefault="00621AFB" w:rsidP="00621AFB">
      <w:pPr>
        <w:spacing w:before="120" w:after="120" w:line="360" w:lineRule="auto"/>
        <w:ind w:left="850" w:hanging="850"/>
        <w:rPr>
          <w:szCs w:val="24"/>
        </w:rPr>
      </w:pPr>
      <w:r w:rsidRPr="003B1220">
        <w:t>14)</w:t>
      </w:r>
      <w:r w:rsidRPr="003B1220">
        <w:tab/>
        <w:t>«διοικητικά αρχεία»: δεδομένα που παράγονται από μη στατιστική πηγή, συνήθως από μητρώο που τηρεί δημόσιος οργανισμός, κύριος σκοπός των οποίων δεν είναι η παροχή στατιστικών·</w:t>
      </w:r>
    </w:p>
    <w:p w:rsidR="00621AFB" w:rsidRPr="003B1220" w:rsidRDefault="00621AFB" w:rsidP="00621AFB">
      <w:pPr>
        <w:spacing w:before="120" w:after="120" w:line="360" w:lineRule="auto"/>
        <w:ind w:left="850" w:hanging="850"/>
        <w:rPr>
          <w:szCs w:val="24"/>
        </w:rPr>
      </w:pPr>
      <w:r w:rsidRPr="003B1220">
        <w:t>15)</w:t>
      </w:r>
      <w:r w:rsidRPr="003B1220">
        <w:tab/>
        <w:t>«τομέας»: ένα ή περισσότερα σύνολα δεδομένων που καλύπτουν συγκεκριμένα θέματα·</w:t>
      </w:r>
    </w:p>
    <w:p w:rsidR="00621AFB" w:rsidRPr="003B1220" w:rsidRDefault="00621AFB" w:rsidP="00621AFB">
      <w:pPr>
        <w:spacing w:before="120" w:after="120" w:line="360" w:lineRule="auto"/>
        <w:ind w:left="850" w:hanging="850"/>
        <w:rPr>
          <w:szCs w:val="24"/>
        </w:rPr>
      </w:pPr>
      <w:r w:rsidRPr="003B1220">
        <w:t>16)</w:t>
      </w:r>
      <w:r w:rsidRPr="003B1220">
        <w:tab/>
        <w:t>«θέμα»: το περιεχόμενο των πληροφοριών που πρέπει να συλλέγονται σχετικά με τις στατιστικές μονάδες, όπου κάθε θέμα καλύπτει αρκετά λεπτομερή θέματα·</w:t>
      </w:r>
    </w:p>
    <w:p w:rsidR="00621AFB" w:rsidRPr="003B1220" w:rsidRDefault="00621AFB" w:rsidP="00621AFB">
      <w:pPr>
        <w:spacing w:before="120" w:after="120" w:line="360" w:lineRule="auto"/>
        <w:ind w:left="850" w:hanging="850"/>
        <w:rPr>
          <w:szCs w:val="24"/>
        </w:rPr>
      </w:pPr>
      <w:r w:rsidRPr="003B1220">
        <w:t>17)</w:t>
      </w:r>
      <w:r w:rsidRPr="003B1220">
        <w:tab/>
        <w:t>«λεπτομερές θέμα»: το λεπτομερές περιεχόμενο των πληροφοριών που πρέπει να συλλέγονται σχετικά με τις στατιστικές μονάδες που αφορούν συγκεκριμένο θέμα, όπου κάθε λεπτομερές θέμα καλύπτει μία ή περισσότερες μεταβλητές·</w:t>
      </w:r>
    </w:p>
    <w:p w:rsidR="00621AFB" w:rsidRPr="003B1220" w:rsidRDefault="00621AFB" w:rsidP="00621AFB">
      <w:pPr>
        <w:spacing w:before="120" w:after="120" w:line="360" w:lineRule="auto"/>
        <w:ind w:left="850" w:hanging="850"/>
        <w:rPr>
          <w:szCs w:val="24"/>
        </w:rPr>
      </w:pPr>
      <w:r w:rsidRPr="003B1220">
        <w:t>18)</w:t>
      </w:r>
      <w:r w:rsidRPr="003B1220">
        <w:tab/>
        <w:t>«σύνολο στοιχείων»: μία ή περισσότερες ▌ μεταβλητές οργανωμένες σε δομημένη μορφή·</w:t>
      </w:r>
    </w:p>
    <w:p w:rsidR="00621AFB" w:rsidRPr="003B1220" w:rsidRDefault="00621AFB" w:rsidP="00621AFB">
      <w:pPr>
        <w:spacing w:before="120" w:after="120" w:line="360" w:lineRule="auto"/>
        <w:ind w:left="850" w:hanging="850"/>
        <w:rPr>
          <w:szCs w:val="24"/>
        </w:rPr>
      </w:pPr>
      <w:r w:rsidRPr="003B1220">
        <w:t>19)</w:t>
      </w:r>
      <w:r w:rsidRPr="003B1220">
        <w:tab/>
        <w:t>«απογραφή πληθυσμού και στέγασης»: τα λεπτομερή δεκαετή σύνολα δεδομένων και μεταδεδομένων που πρέπει να παρέχονται δυνάμει του παρόντος κανονισμού·</w:t>
      </w:r>
    </w:p>
    <w:p w:rsidR="00621AFB" w:rsidRPr="003B1220" w:rsidRDefault="00621AFB" w:rsidP="00621AFB">
      <w:pPr>
        <w:spacing w:before="120" w:after="120" w:line="360" w:lineRule="auto"/>
        <w:ind w:left="850" w:hanging="850"/>
        <w:rPr>
          <w:szCs w:val="24"/>
        </w:rPr>
      </w:pPr>
      <w:r w:rsidRPr="003B1220">
        <w:t>20)</w:t>
      </w:r>
      <w:r w:rsidRPr="003B1220">
        <w:tab/>
        <w:t>«στατιστική μονάδα»: ένα μέλος ενός συνόλου οντοτήτων, δηλαδή προσώπων, αντικειμένων ή γεγονότων για τα οποία συλλέγονται δεδομένα και καταρτίζονται ▌ στατιστικές·</w:t>
      </w:r>
    </w:p>
    <w:p w:rsidR="00621AFB" w:rsidRPr="003B1220" w:rsidRDefault="00621AFB" w:rsidP="00621AFB">
      <w:pPr>
        <w:spacing w:before="120" w:after="120" w:line="360" w:lineRule="auto"/>
        <w:ind w:left="850" w:hanging="850"/>
        <w:rPr>
          <w:szCs w:val="24"/>
        </w:rPr>
      </w:pPr>
      <w:r w:rsidRPr="003B1220">
        <w:lastRenderedPageBreak/>
        <w:t>21)</w:t>
      </w:r>
      <w:r w:rsidRPr="003B1220">
        <w:tab/>
        <w:t>«μεταβλητή»: το χαρακτηριστικό μιας στατιστικής μονάδας που μπορεί να λάβει περισσότερες από μία τιμές·</w:t>
      </w:r>
    </w:p>
    <w:p w:rsidR="00621AFB" w:rsidRPr="003B1220" w:rsidRDefault="00621AFB" w:rsidP="00621AFB">
      <w:pPr>
        <w:spacing w:before="120" w:after="120" w:line="360" w:lineRule="auto"/>
        <w:ind w:left="850" w:hanging="850"/>
        <w:rPr>
          <w:szCs w:val="24"/>
        </w:rPr>
      </w:pPr>
      <w:r w:rsidRPr="003B1220">
        <w:t>22)</w:t>
      </w:r>
      <w:r w:rsidRPr="003B1220">
        <w:tab/>
        <w:t xml:space="preserve">«κατανομή»: προκαθορισμένο διακριτό, εξαντλητικό και </w:t>
      </w:r>
      <w:proofErr w:type="spellStart"/>
      <w:r w:rsidRPr="003B1220">
        <w:t>αλληλοαποκλειόμενο</w:t>
      </w:r>
      <w:proofErr w:type="spellEnd"/>
      <w:r w:rsidRPr="003B1220">
        <w:t xml:space="preserve"> σύνολο τιμών που μπορεί να αποδοθεί σε μεταβλητές οι οποίες χαρακτηρίζουν στατιστικές μονάδες·</w:t>
      </w:r>
    </w:p>
    <w:p w:rsidR="00621AFB" w:rsidRPr="003B1220" w:rsidRDefault="00621AFB" w:rsidP="00621AFB">
      <w:pPr>
        <w:spacing w:before="120" w:after="120" w:line="360" w:lineRule="auto"/>
        <w:ind w:left="850" w:hanging="850"/>
        <w:rPr>
          <w:szCs w:val="24"/>
        </w:rPr>
      </w:pPr>
      <w:r w:rsidRPr="003B1220">
        <w:t>23)</w:t>
      </w:r>
      <w:r w:rsidRPr="003B1220">
        <w:tab/>
        <w:t>«εθνικό επίπεδο»: η επικράτεια ενός κράτους μέλους·</w:t>
      </w:r>
    </w:p>
    <w:p w:rsidR="00621AFB" w:rsidRPr="003B1220" w:rsidRDefault="00621AFB" w:rsidP="00621AFB">
      <w:pPr>
        <w:spacing w:before="120" w:after="120" w:line="360" w:lineRule="auto"/>
        <w:ind w:left="850" w:hanging="850"/>
        <w:rPr>
          <w:szCs w:val="24"/>
        </w:rPr>
      </w:pPr>
      <w:r w:rsidRPr="003B1220">
        <w:t>24)</w:t>
      </w:r>
      <w:r w:rsidRPr="003B1220">
        <w:tab/>
        <w:t>«περιφερειακό επίπεδο»: το επίπεδο NUTS3, όπως ορίζεται στον κανονισμό (ΕΚ) αριθ. 1059/2003·</w:t>
      </w:r>
    </w:p>
    <w:p w:rsidR="00621AFB" w:rsidRPr="003B1220" w:rsidRDefault="00621AFB" w:rsidP="00621AFB">
      <w:pPr>
        <w:spacing w:before="120" w:after="120" w:line="360" w:lineRule="auto"/>
        <w:ind w:left="850" w:hanging="850"/>
        <w:rPr>
          <w:szCs w:val="24"/>
        </w:rPr>
      </w:pPr>
      <w:r w:rsidRPr="003B1220">
        <w:t>25)</w:t>
      </w:r>
      <w:r w:rsidRPr="003B1220">
        <w:tab/>
        <w:t>«τοπικό επίπεδο»: το επίπεδο τοπικής διοικητικής μονάδας ▌ όπως ορίζεται στον κανονισμό (ΕΚ) αριθ. 1059/2003·</w:t>
      </w:r>
    </w:p>
    <w:p w:rsidR="00621AFB" w:rsidRPr="003B1220" w:rsidRDefault="00621AFB" w:rsidP="00621AFB">
      <w:pPr>
        <w:spacing w:before="120" w:after="120" w:line="360" w:lineRule="auto"/>
        <w:ind w:left="850" w:hanging="850"/>
        <w:rPr>
          <w:szCs w:val="24"/>
        </w:rPr>
      </w:pPr>
      <w:r w:rsidRPr="003B1220">
        <w:t>26)</w:t>
      </w:r>
      <w:r w:rsidRPr="003B1220">
        <w:tab/>
        <w:t xml:space="preserve">«επίπεδο </w:t>
      </w:r>
      <w:proofErr w:type="spellStart"/>
      <w:r w:rsidRPr="003B1220">
        <w:t>καννάβου</w:t>
      </w:r>
      <w:proofErr w:type="spellEnd"/>
      <w:r w:rsidRPr="003B1220">
        <w:t xml:space="preserve">»: στατιστικός </w:t>
      </w:r>
      <w:proofErr w:type="spellStart"/>
      <w:r w:rsidRPr="003B1220">
        <w:t>κάνναβος</w:t>
      </w:r>
      <w:proofErr w:type="spellEnd"/>
      <w:r w:rsidRPr="003B1220">
        <w:t>, όπως ορίζεται στον κανονισμό (ΕΚ) αριθ. 1059/2003·</w:t>
      </w:r>
    </w:p>
    <w:p w:rsidR="00621AFB" w:rsidRPr="003B1220" w:rsidRDefault="00621AFB" w:rsidP="00621AFB">
      <w:pPr>
        <w:spacing w:before="120" w:after="120" w:line="360" w:lineRule="auto"/>
        <w:ind w:left="850" w:hanging="850"/>
        <w:rPr>
          <w:szCs w:val="24"/>
        </w:rPr>
      </w:pPr>
      <w:r w:rsidRPr="003B1220">
        <w:t>27)</w:t>
      </w:r>
      <w:r w:rsidRPr="003B1220">
        <w:tab/>
        <w:t>«πλαίσια»: κατάλογος, υλικό ή διάταξη που οριοθετεί και προσδιορίζει τα στοιχεία του πληθυσμού-στόχου και, ανάλογα με τη χρήση του, μπορεί να επιτρέπει την πρόσβαση στα στοιχεία αυτά ή να παρέχει πρόσθετα χαρακτηριστικά·</w:t>
      </w:r>
    </w:p>
    <w:p w:rsidR="00621AFB" w:rsidRPr="003B1220" w:rsidRDefault="00621AFB" w:rsidP="00621AFB">
      <w:pPr>
        <w:spacing w:before="120" w:after="120" w:line="360" w:lineRule="auto"/>
        <w:ind w:left="850" w:hanging="850"/>
        <w:rPr>
          <w:szCs w:val="24"/>
        </w:rPr>
      </w:pPr>
      <w:r w:rsidRPr="003B1220">
        <w:t>28)</w:t>
      </w:r>
      <w:r w:rsidRPr="003B1220">
        <w:tab/>
        <w:t>«ημερομηνία αναφοράς»: η χρονική στιγμή στην οποία αναφέρονται οι στατιστικές·</w:t>
      </w:r>
    </w:p>
    <w:p w:rsidR="00621AFB" w:rsidRPr="003B1220" w:rsidRDefault="00621AFB" w:rsidP="00621AFB">
      <w:pPr>
        <w:spacing w:before="120" w:after="120" w:line="360" w:lineRule="auto"/>
        <w:ind w:left="850" w:hanging="850"/>
        <w:rPr>
          <w:szCs w:val="24"/>
        </w:rPr>
      </w:pPr>
      <w:r w:rsidRPr="003B1220">
        <w:t>29)</w:t>
      </w:r>
      <w:r w:rsidRPr="003B1220">
        <w:tab/>
        <w:t>«περίοδος αναφοράς»: το χρονικό διάστημα στο οποίο αναφέρονται οι στατιστικές σχετικά με τα γεγονότα·</w:t>
      </w:r>
    </w:p>
    <w:p w:rsidR="00621AFB" w:rsidRPr="003B1220" w:rsidRDefault="00621AFB" w:rsidP="00621AFB">
      <w:pPr>
        <w:spacing w:before="120" w:after="120" w:line="360" w:lineRule="auto"/>
        <w:ind w:left="850" w:hanging="850"/>
        <w:rPr>
          <w:szCs w:val="24"/>
        </w:rPr>
      </w:pPr>
      <w:r w:rsidRPr="003B1220">
        <w:t>30)</w:t>
      </w:r>
      <w:r w:rsidRPr="003B1220">
        <w:tab/>
        <w:t>«χρόνος αναφοράς»: είτε η ημερομηνία αναφοράς είτε η περίοδος αναφοράς, ανάλογα με το αν οι στατιστικές αφορούν γεγονότα ή άλλες στατιστικές μονάδες·</w:t>
      </w:r>
    </w:p>
    <w:p w:rsidR="00621AFB" w:rsidRPr="003B1220" w:rsidRDefault="00621AFB" w:rsidP="00621AFB">
      <w:pPr>
        <w:spacing w:before="120" w:after="120" w:line="360" w:lineRule="auto"/>
        <w:ind w:left="850" w:hanging="850"/>
        <w:rPr>
          <w:szCs w:val="24"/>
        </w:rPr>
      </w:pPr>
      <w:r w:rsidRPr="003B1220">
        <w:t>31)</w:t>
      </w:r>
      <w:r w:rsidRPr="003B1220">
        <w:tab/>
        <w:t>«μεταδεδομένα»: οι πληροφορίες οι οποίες είναι αναγκαίες για τη χρήση και την ερμηνεία των στατιστικών και περιγράφουν σύνολα δεδομένων με δομημένο τρόπο·</w:t>
      </w:r>
    </w:p>
    <w:p w:rsidR="00621AFB" w:rsidRPr="003B1220" w:rsidRDefault="00621AFB" w:rsidP="00621AFB">
      <w:pPr>
        <w:spacing w:before="120" w:after="120" w:line="360" w:lineRule="auto"/>
        <w:ind w:left="850" w:hanging="850"/>
        <w:rPr>
          <w:szCs w:val="24"/>
        </w:rPr>
      </w:pPr>
      <w:r w:rsidRPr="003B1220">
        <w:t>32)</w:t>
      </w:r>
      <w:r w:rsidRPr="003B1220">
        <w:tab/>
        <w:t>«προελεγμένα σύνολα δεδομένων»: τα δεδομένα που επαληθεύονται από τα κράτη μέλη βάσει συμφωνημένων κοινών κανόνων επικύρωσης·</w:t>
      </w:r>
    </w:p>
    <w:p w:rsidR="00621AFB" w:rsidRPr="003B1220" w:rsidRDefault="00621AFB" w:rsidP="00621AFB">
      <w:pPr>
        <w:spacing w:before="120" w:after="120" w:line="360" w:lineRule="auto"/>
        <w:ind w:left="850" w:hanging="850"/>
        <w:rPr>
          <w:szCs w:val="24"/>
        </w:rPr>
      </w:pPr>
      <w:r w:rsidRPr="003B1220">
        <w:t>33)</w:t>
      </w:r>
      <w:r w:rsidRPr="003B1220">
        <w:tab/>
        <w:t>«έκθεση ποιότητας»: η έκθεση που περιλαμβάνει πληροφορίες σχετικά με την ποιότητα των στατιστικών προϊόντων ή διαδικασιών.</w:t>
      </w:r>
    </w:p>
    <w:p w:rsidR="00621AFB" w:rsidRPr="003B1220" w:rsidRDefault="00621AFB" w:rsidP="00621AFB">
      <w:pPr>
        <w:spacing w:before="120" w:after="120" w:line="360" w:lineRule="auto"/>
        <w:jc w:val="center"/>
        <w:rPr>
          <w:szCs w:val="24"/>
        </w:rPr>
      </w:pPr>
      <w:r w:rsidRPr="003B1220">
        <w:t>Άρθρο 3</w:t>
      </w:r>
      <w:r w:rsidRPr="003B1220">
        <w:br/>
        <w:t xml:space="preserve">Πληθυσμιακή βάση </w:t>
      </w:r>
    </w:p>
    <w:p w:rsidR="00621AFB" w:rsidRPr="003B1220" w:rsidRDefault="00621AFB" w:rsidP="00621AFB">
      <w:pPr>
        <w:spacing w:before="120" w:after="120" w:line="360" w:lineRule="auto"/>
        <w:ind w:left="850" w:hanging="850"/>
        <w:rPr>
          <w:szCs w:val="24"/>
        </w:rPr>
      </w:pPr>
      <w:r w:rsidRPr="003B1220">
        <w:t>1.</w:t>
      </w:r>
      <w:r w:rsidRPr="003B1220">
        <w:tab/>
        <w:t xml:space="preserve">Για τους σκοπούς του παρόντος κανονισμού, η πληθυσμιακή βάση αποτελείται από όλα τα πρόσωπα που έχουν τη συνήθη διαμονή τους εντός της Ένωσης σε </w:t>
      </w:r>
      <w:r w:rsidRPr="003B1220">
        <w:lastRenderedPageBreak/>
        <w:t xml:space="preserve">συγκεκριμένη εδαφική μονάδα κράτους μέλους σε εθνικό, περιφερειακό ή τοπικό επίπεδο ή σε επίπεδο </w:t>
      </w:r>
      <w:proofErr w:type="spellStart"/>
      <w:r w:rsidRPr="003B1220">
        <w:t>καννάβου</w:t>
      </w:r>
      <w:proofErr w:type="spellEnd"/>
      <w:r w:rsidRPr="003B1220">
        <w:t>, κατά την ημερομηνία αναφοράς.</w:t>
      </w:r>
    </w:p>
    <w:p w:rsidR="00621AFB" w:rsidRPr="003B1220" w:rsidRDefault="00621AFB" w:rsidP="00621AFB">
      <w:pPr>
        <w:spacing w:before="120" w:after="120" w:line="360" w:lineRule="auto"/>
        <w:ind w:left="850" w:hanging="850"/>
        <w:rPr>
          <w:szCs w:val="24"/>
        </w:rPr>
      </w:pPr>
      <w:r w:rsidRPr="003B1220">
        <w:t>2.</w:t>
      </w:r>
      <w:r w:rsidRPr="003B1220">
        <w:tab/>
        <w:t xml:space="preserve">Η πληθυσμιακή βάση περιλαμβάνει όλα τα πρόσωπα με συνήθη διαμονή, ανεξάρτητα από την υπηκοότητα ή το αν το πρόσωπο είναι ή ήταν προηγουμένως </w:t>
      </w:r>
      <w:proofErr w:type="spellStart"/>
      <w:r w:rsidRPr="003B1220">
        <w:t>ανιθαγενές</w:t>
      </w:r>
      <w:proofErr w:type="spellEnd"/>
      <w:r w:rsidRPr="003B1220">
        <w:t xml:space="preserve"> ▌.</w:t>
      </w:r>
    </w:p>
    <w:p w:rsidR="00621AFB" w:rsidRPr="003B1220" w:rsidRDefault="00621AFB" w:rsidP="00621AFB">
      <w:pPr>
        <w:spacing w:before="120" w:after="120" w:line="360" w:lineRule="auto"/>
        <w:ind w:left="850" w:hanging="850"/>
        <w:rPr>
          <w:szCs w:val="24"/>
        </w:rPr>
      </w:pPr>
      <w:r w:rsidRPr="003B1220">
        <w:t>3.</w:t>
      </w:r>
      <w:r w:rsidRPr="003B1220">
        <w:tab/>
        <w:t>Η πληθυσμιακή βάση δεν περιλαμβάνει τα πρόσωπα που έχουν τη συνήθη διαμονή τους εκτός της επικράτειας του κράτους μέλους, ανεξάρτητα από τον τόπο γέννησης ή την υπηκοότητα, και ανεξάρτητα από τυχόν οικογενειακούς, κοινωνικούς, οικονομικούς ή περιουσιακούς δεσμούς που μπορεί να έχει το πρόσωπο με το κράτος μέλος.</w:t>
      </w:r>
    </w:p>
    <w:p w:rsidR="00621AFB" w:rsidRPr="003B1220" w:rsidRDefault="00621AFB" w:rsidP="00621AFB">
      <w:pPr>
        <w:spacing w:before="120" w:after="120" w:line="360" w:lineRule="auto"/>
        <w:ind w:left="850" w:hanging="850"/>
        <w:rPr>
          <w:szCs w:val="24"/>
        </w:rPr>
      </w:pPr>
      <w:r w:rsidRPr="003B1220">
        <w:t>4.</w:t>
      </w:r>
      <w:r w:rsidRPr="003B1220">
        <w:tab/>
        <w:t>Για τα πρόσωπα χωρίς συνήθη διαμονή ορίζεται ως τόπος συνήθους διαμονής ο τόπος στον οποίο βρίσκονται κατά την ημερομηνία αναφοράς.</w:t>
      </w:r>
    </w:p>
    <w:p w:rsidR="00621AFB" w:rsidRPr="003B1220" w:rsidRDefault="00621AFB" w:rsidP="00621AFB">
      <w:pPr>
        <w:spacing w:before="120" w:after="120" w:line="360" w:lineRule="auto"/>
        <w:ind w:left="850" w:hanging="850"/>
        <w:rPr>
          <w:szCs w:val="24"/>
        </w:rPr>
      </w:pPr>
      <w:r w:rsidRPr="003B1220">
        <w:t>5.</w:t>
      </w:r>
      <w:r w:rsidRPr="003B1220">
        <w:tab/>
        <w:t xml:space="preserve">Τα κράτη μέλη εφαρμόζουν τον ορισμό της συνήθους διαμονής που προβλέπεται στον παρόντα κανονισμό σε όλα τα σύνολα δεδομένων που παρέχονται στην Επιτροπή (Eurostat) δυνάμει του παρόντος κανονισμού για το εθνικό, περιφερειακό και τοπικό επίπεδο και για το επίπεδο </w:t>
      </w:r>
      <w:proofErr w:type="spellStart"/>
      <w:r w:rsidRPr="003B1220">
        <w:t>καννάβου</w:t>
      </w:r>
      <w:proofErr w:type="spellEnd"/>
      <w:r w:rsidRPr="003B1220">
        <w:t>.</w:t>
      </w:r>
    </w:p>
    <w:p w:rsidR="00621AFB" w:rsidRPr="003B1220" w:rsidRDefault="00621AFB" w:rsidP="00621AFB">
      <w:pPr>
        <w:spacing w:before="120" w:after="120" w:line="360" w:lineRule="auto"/>
        <w:ind w:left="850" w:hanging="850"/>
        <w:rPr>
          <w:szCs w:val="24"/>
        </w:rPr>
      </w:pPr>
      <w:r w:rsidRPr="003B1220">
        <w:t>6.</w:t>
      </w:r>
      <w:r w:rsidRPr="003B1220">
        <w:tab/>
        <w:t>Κατά την εφαρμογή του ορισμού της συνήθους διαμονής, τα κράτη μέλη χρησιμοποιούν:</w:t>
      </w:r>
    </w:p>
    <w:p w:rsidR="00621AFB" w:rsidRPr="003B1220" w:rsidRDefault="00621AFB" w:rsidP="00621AFB">
      <w:pPr>
        <w:spacing w:before="120" w:after="120" w:line="360" w:lineRule="auto"/>
        <w:ind w:left="1416" w:hanging="566"/>
        <w:rPr>
          <w:szCs w:val="24"/>
        </w:rPr>
      </w:pPr>
      <w:r w:rsidRPr="003B1220">
        <w:t>α)</w:t>
      </w:r>
      <w:r w:rsidRPr="003B1220">
        <w:tab/>
        <w:t>μία από τις πηγές δεδομένων που απαριθμούνται στο άρθρο 9 παράγραφος 1 ή συνδυασμό αυτών·</w:t>
      </w:r>
    </w:p>
    <w:p w:rsidR="00621AFB" w:rsidRPr="003B1220" w:rsidRDefault="00621AFB" w:rsidP="00621AFB">
      <w:pPr>
        <w:spacing w:before="120" w:after="120" w:line="360" w:lineRule="auto"/>
        <w:ind w:left="1416" w:hanging="566"/>
        <w:rPr>
          <w:szCs w:val="24"/>
        </w:rPr>
      </w:pPr>
      <w:r w:rsidRPr="003B1220">
        <w:t>β)</w:t>
      </w:r>
      <w:r w:rsidRPr="003B1220">
        <w:tab/>
        <w:t xml:space="preserve">μεθόδους εκτίμησης, όπως «ενδείξεις ζωής», </w:t>
      </w:r>
      <w:r w:rsidRPr="003B1220">
        <w:rPr>
          <w:b/>
          <w:bCs/>
          <w:i/>
          <w:iCs/>
        </w:rPr>
        <w:t>καθώς και άλλες επιστημονικά θεμελιωμένες, επαρκώς τεκμηριωμένες και δημοσίως διαθέσιμες μεθόδους στατιστικής εκτίμησης</w:t>
      </w:r>
      <w:r w:rsidRPr="003B1220">
        <w:t xml:space="preserve"> για τη διόρθωση της πραγματικής παρουσίας στον εικαζόμενο τόπο συνήθους διαμονής κατά το μεγαλύτερο μέρος της δωδεκάμηνης περιόδου που λήγει κατά την ημερομηνία αναφοράς και ▌ για την εκτίμηση του αριθμού των προσώπων που προτίθενται ή αναμένεται να παραμείνουν κατά το μεγαλύτερο μέρος της δωδεκάμηνης περιόδου μετά την άφιξή τους.</w:t>
      </w:r>
    </w:p>
    <w:p w:rsidR="00621AFB" w:rsidRPr="003B1220" w:rsidRDefault="00621AFB" w:rsidP="00621AFB">
      <w:pPr>
        <w:spacing w:before="120" w:after="120" w:line="360" w:lineRule="auto"/>
        <w:ind w:left="850" w:hanging="850"/>
        <w:rPr>
          <w:szCs w:val="24"/>
        </w:rPr>
      </w:pPr>
      <w:r w:rsidRPr="003B1220">
        <w:rPr>
          <w:b/>
          <w:i/>
        </w:rPr>
        <w:t>6a.</w:t>
      </w:r>
      <w:r w:rsidRPr="003B1220">
        <w:tab/>
      </w:r>
      <w:r w:rsidRPr="003B1220">
        <w:rPr>
          <w:b/>
          <w:i/>
        </w:rPr>
        <w:t xml:space="preserve">Για τους σκοπούς της ψηφοφορίας με ειδική πλειοψηφία στο Συμβούλιο, η Επιτροπή ενημερώνει το Συμβούλιο για τον συνολικό πληθυσμό των κρατών μελών στο τέλος κάθε έτους αναφοράς, σύμφωνα με τα δεδομένα που έχει στη </w:t>
      </w:r>
      <w:r w:rsidRPr="003B1220">
        <w:rPr>
          <w:b/>
          <w:i/>
        </w:rPr>
        <w:lastRenderedPageBreak/>
        <w:t>διάθεσή της η Eurostat στις 31 Αυγούστου του ημερολογιακού έτους που έπεται του έτους αναφοράς.</w:t>
      </w:r>
    </w:p>
    <w:p w:rsidR="00621AFB" w:rsidRPr="003B1220" w:rsidRDefault="00621AFB" w:rsidP="00621AFB">
      <w:pPr>
        <w:spacing w:before="120" w:after="120" w:line="360" w:lineRule="auto"/>
        <w:jc w:val="center"/>
        <w:rPr>
          <w:szCs w:val="24"/>
        </w:rPr>
      </w:pPr>
      <w:r w:rsidRPr="003B1220">
        <w:t>Άρθρο 4</w:t>
      </w:r>
      <w:r w:rsidRPr="003B1220">
        <w:br/>
        <w:t>Στατιστικές μονάδες</w:t>
      </w:r>
    </w:p>
    <w:p w:rsidR="00621AFB" w:rsidRPr="003B1220" w:rsidRDefault="00621AFB" w:rsidP="00621AFB">
      <w:pPr>
        <w:spacing w:before="120" w:after="120" w:line="360" w:lineRule="auto"/>
        <w:rPr>
          <w:szCs w:val="24"/>
        </w:rPr>
      </w:pPr>
      <w:r w:rsidRPr="003B1220">
        <w:t>Οι στατιστικές δυνάμει του παρόντος κανονισμού καταρτίζονται για τις ακόλουθες στατιστικές μονάδες:</w:t>
      </w:r>
    </w:p>
    <w:p w:rsidR="00621AFB" w:rsidRPr="003B1220" w:rsidRDefault="00621AFB" w:rsidP="00621AFB">
      <w:pPr>
        <w:spacing w:before="120" w:after="120" w:line="360" w:lineRule="auto"/>
        <w:ind w:left="850" w:hanging="850"/>
        <w:rPr>
          <w:szCs w:val="24"/>
        </w:rPr>
      </w:pPr>
      <w:r w:rsidRPr="003B1220">
        <w:t>α)</w:t>
      </w:r>
      <w:r w:rsidRPr="003B1220">
        <w:tab/>
        <w:t>πρόσωπα·</w:t>
      </w:r>
    </w:p>
    <w:p w:rsidR="00621AFB" w:rsidRPr="003B1220" w:rsidRDefault="00621AFB" w:rsidP="00621AFB">
      <w:pPr>
        <w:spacing w:before="120" w:after="120" w:line="360" w:lineRule="auto"/>
        <w:ind w:left="850" w:hanging="850"/>
        <w:rPr>
          <w:szCs w:val="24"/>
        </w:rPr>
      </w:pPr>
      <w:r w:rsidRPr="003B1220">
        <w:t>β)</w:t>
      </w:r>
      <w:r w:rsidRPr="003B1220">
        <w:tab/>
        <w:t>δημογραφικά γεγονότα·</w:t>
      </w:r>
    </w:p>
    <w:p w:rsidR="00621AFB" w:rsidRPr="003B1220" w:rsidRDefault="00621AFB" w:rsidP="00621AFB">
      <w:pPr>
        <w:spacing w:before="120" w:after="120" w:line="360" w:lineRule="auto"/>
        <w:ind w:left="850" w:hanging="850"/>
        <w:rPr>
          <w:szCs w:val="24"/>
        </w:rPr>
      </w:pPr>
      <w:r w:rsidRPr="003B1220">
        <w:t>γ)</w:t>
      </w:r>
      <w:r w:rsidRPr="003B1220">
        <w:tab/>
        <w:t>οικογένειες·</w:t>
      </w:r>
    </w:p>
    <w:p w:rsidR="00621AFB" w:rsidRPr="003B1220" w:rsidRDefault="00621AFB" w:rsidP="00621AFB">
      <w:pPr>
        <w:spacing w:before="120" w:after="120" w:line="360" w:lineRule="auto"/>
        <w:ind w:left="850" w:hanging="850"/>
        <w:rPr>
          <w:szCs w:val="24"/>
        </w:rPr>
      </w:pPr>
      <w:r w:rsidRPr="003B1220">
        <w:t>δ)</w:t>
      </w:r>
      <w:r w:rsidRPr="003B1220">
        <w:tab/>
        <w:t>νοικοκυριά·</w:t>
      </w:r>
    </w:p>
    <w:p w:rsidR="00621AFB" w:rsidRPr="003B1220" w:rsidRDefault="00621AFB" w:rsidP="00621AFB">
      <w:pPr>
        <w:spacing w:before="120" w:after="120" w:line="360" w:lineRule="auto"/>
        <w:ind w:left="850" w:hanging="850"/>
        <w:rPr>
          <w:szCs w:val="24"/>
        </w:rPr>
      </w:pPr>
      <w:r w:rsidRPr="003B1220">
        <w:t>ε)</w:t>
      </w:r>
      <w:r w:rsidRPr="003B1220">
        <w:tab/>
        <w:t>κτίρια που προορίζονται για κατοικίες, καταλύματα</w:t>
      </w:r>
      <w:r w:rsidRPr="003B1220">
        <w:rPr>
          <w:b/>
          <w:bCs/>
          <w:i/>
          <w:iCs/>
        </w:rPr>
        <w:t>, συμπεριλαμβανομένων ιδρυμάτων,</w:t>
      </w:r>
      <w:r w:rsidRPr="003B1220">
        <w:t xml:space="preserve"> και συμβατικές κατοικίες.</w:t>
      </w:r>
    </w:p>
    <w:p w:rsidR="00621AFB" w:rsidRPr="003B1220" w:rsidRDefault="00621AFB" w:rsidP="00621AFB">
      <w:pPr>
        <w:spacing w:before="120" w:after="120" w:line="360" w:lineRule="auto"/>
        <w:jc w:val="center"/>
        <w:rPr>
          <w:szCs w:val="24"/>
        </w:rPr>
      </w:pPr>
      <w:r w:rsidRPr="003B1220">
        <w:t>Άρθρο 5</w:t>
      </w:r>
      <w:r w:rsidRPr="003B1220">
        <w:br/>
        <w:t>Στατιστικές απαιτήσεις</w:t>
      </w:r>
    </w:p>
    <w:p w:rsidR="00621AFB" w:rsidRPr="003B1220" w:rsidRDefault="00621AFB" w:rsidP="00621AFB">
      <w:pPr>
        <w:spacing w:before="120" w:after="120" w:line="360" w:lineRule="auto"/>
        <w:ind w:left="850" w:hanging="850"/>
        <w:rPr>
          <w:szCs w:val="24"/>
        </w:rPr>
      </w:pPr>
      <w:r w:rsidRPr="003B1220">
        <w:t>1.</w:t>
      </w:r>
      <w:r w:rsidRPr="003B1220">
        <w:tab/>
        <w:t>Οι ευρωπαϊκές στατιστικές σχετικά με τον πληθυσμό και τη στέγαση καλύπτουν τους ακόλουθους τομείς:</w:t>
      </w:r>
    </w:p>
    <w:p w:rsidR="00621AFB" w:rsidRPr="003B1220" w:rsidRDefault="00621AFB" w:rsidP="00621AFB">
      <w:pPr>
        <w:spacing w:before="120" w:after="120" w:line="360" w:lineRule="auto"/>
        <w:ind w:left="1416" w:hanging="566"/>
        <w:rPr>
          <w:szCs w:val="24"/>
        </w:rPr>
      </w:pPr>
      <w:r w:rsidRPr="003B1220">
        <w:t>α)</w:t>
      </w:r>
      <w:r w:rsidRPr="003B1220">
        <w:tab/>
        <w:t>δημογραφία·</w:t>
      </w:r>
    </w:p>
    <w:p w:rsidR="00621AFB" w:rsidRPr="003B1220" w:rsidRDefault="00621AFB" w:rsidP="00621AFB">
      <w:pPr>
        <w:spacing w:before="120" w:after="120" w:line="360" w:lineRule="auto"/>
        <w:ind w:left="1416" w:hanging="566"/>
        <w:rPr>
          <w:szCs w:val="24"/>
        </w:rPr>
      </w:pPr>
      <w:r w:rsidRPr="003B1220">
        <w:t>β)</w:t>
      </w:r>
      <w:r w:rsidRPr="003B1220">
        <w:tab/>
        <w:t>στέγαση·</w:t>
      </w:r>
    </w:p>
    <w:p w:rsidR="00621AFB" w:rsidRPr="003B1220" w:rsidRDefault="00621AFB" w:rsidP="00621AFB">
      <w:pPr>
        <w:spacing w:before="120" w:after="120" w:line="360" w:lineRule="auto"/>
        <w:ind w:left="1416" w:hanging="566"/>
        <w:rPr>
          <w:szCs w:val="24"/>
        </w:rPr>
      </w:pPr>
      <w:r w:rsidRPr="003B1220">
        <w:t>γ)</w:t>
      </w:r>
      <w:r w:rsidRPr="003B1220">
        <w:tab/>
        <w:t>οικογένειες και νοικοκυριά.</w:t>
      </w:r>
    </w:p>
    <w:p w:rsidR="00621AFB" w:rsidRPr="003B1220" w:rsidRDefault="00621AFB" w:rsidP="00621AFB">
      <w:pPr>
        <w:spacing w:before="120" w:after="120" w:line="360" w:lineRule="auto"/>
        <w:ind w:left="850" w:hanging="850"/>
        <w:rPr>
          <w:szCs w:val="24"/>
        </w:rPr>
      </w:pPr>
      <w:r w:rsidRPr="003B1220">
        <w:t>2.</w:t>
      </w:r>
      <w:r w:rsidRPr="003B1220">
        <w:tab/>
        <w:t>Οι στατιστικές στους τομείς που απαριθμούνται στην παράγραφο 1 του παρόντος άρθρου οργανώνονται σε σύνολα δεδομένων σύμφωνα με τα θέματα και τα λεπτομερή θέματα που ορίζονται στο παράρτημα.</w:t>
      </w:r>
      <w:r w:rsidRPr="003B1220">
        <w:rPr>
          <w:b/>
          <w:i/>
        </w:rPr>
        <w:t xml:space="preserve"> Όταν η στατιστική μονάδα είναι πρόσωπο, τα σύνολα δεδομένων αναλύονται κατά φύλο και ηλικία και, κατά περίπτωση, κατά άλλα χαρακτηριστικά.</w:t>
      </w:r>
    </w:p>
    <w:p w:rsidR="00621AFB" w:rsidRPr="003B1220" w:rsidRDefault="00621AFB" w:rsidP="00621AFB">
      <w:pPr>
        <w:spacing w:before="120" w:after="120" w:line="360" w:lineRule="auto"/>
        <w:ind w:left="850" w:hanging="850"/>
        <w:rPr>
          <w:szCs w:val="24"/>
        </w:rPr>
      </w:pPr>
      <w:r w:rsidRPr="003B1220">
        <w:t>3.</w:t>
      </w:r>
      <w:r w:rsidRPr="003B1220">
        <w:tab/>
        <w:t>Ανατίθεται στην Επιτροπή η εξουσία να εκδίδει κατ’ εξουσιοδότηση πράξεις σύμφωνα με το άρθρο 17 για την τροποποίηση του καταλόγου των λεπτομερών θεμάτων του παραρτήματος. Τέτοιου είδους κατ’ εξουσιοδότηση πράξεις εκδίδονται τουλάχιστον 12 μήνες πριν από την έναρξη της σχετικής περιόδου αναφοράς.</w:t>
      </w:r>
    </w:p>
    <w:p w:rsidR="00621AFB" w:rsidRPr="003B1220" w:rsidRDefault="00621AFB" w:rsidP="00621AFB">
      <w:pPr>
        <w:spacing w:before="120" w:after="120" w:line="360" w:lineRule="auto"/>
        <w:ind w:left="850" w:hanging="850"/>
        <w:rPr>
          <w:szCs w:val="24"/>
        </w:rPr>
      </w:pPr>
      <w:r w:rsidRPr="003B1220">
        <w:t>4.</w:t>
      </w:r>
      <w:r w:rsidRPr="003B1220">
        <w:tab/>
        <w:t xml:space="preserve">Κατά την άσκηση της εξουσίας έκδοσης κατ’ εξουσιοδότηση πράξεων σύμφωνα με </w:t>
      </w:r>
      <w:r w:rsidRPr="003B1220">
        <w:lastRenderedPageBreak/>
        <w:t>την παράγραφο 3 του παρόντος άρθρου, η Επιτροπή διασφαλίζει ότι οι εν λόγω πράξεις δεν επιβάλλουν σημαντική και δυσανάλογη επιβάρυνση στα κράτη μέλη και στους συμμετέχοντες στην έρευνα. Κάθε νέο λεπτομερές θέμα αξιολογείται ως προς τη σκοπιμότητά του μέσω πιλοτικών μελετών που διενεργούνται από την Επιτροπή (Eurostat) και τα κράτη μέλη σύμφωνα με το άρθρο 14.</w:t>
      </w:r>
    </w:p>
    <w:p w:rsidR="00621AFB" w:rsidRPr="003B1220" w:rsidRDefault="00621AFB" w:rsidP="00621AFB">
      <w:pPr>
        <w:spacing w:before="120" w:after="120" w:line="360" w:lineRule="auto"/>
        <w:ind w:left="850" w:hanging="850"/>
        <w:rPr>
          <w:szCs w:val="24"/>
        </w:rPr>
      </w:pPr>
      <w:r w:rsidRPr="003B1220">
        <w:t>5.</w:t>
      </w:r>
      <w:r w:rsidRPr="003B1220">
        <w:tab/>
        <w:t>Η Επιτροπή εκδίδει εκτελεστικές πράξεις για τον προσδιορισμό των τεχνικών ιδιοτήτων των συνόλων δεδομένων και των μεταδεδομένων που πρέπει να παρέχονται στην Επιτροπή (Eurostat). Οι εν λόγω εκτελεστικές πράξεις προσδιορίζουν τα ακόλουθα τεχνικά στοιχεία, κατά περίπτωση:</w:t>
      </w:r>
    </w:p>
    <w:p w:rsidR="00621AFB" w:rsidRPr="003B1220" w:rsidRDefault="00621AFB" w:rsidP="00621AFB">
      <w:pPr>
        <w:spacing w:before="120" w:after="120" w:line="360" w:lineRule="auto"/>
        <w:ind w:left="1416" w:hanging="566"/>
        <w:rPr>
          <w:szCs w:val="24"/>
        </w:rPr>
      </w:pPr>
      <w:r w:rsidRPr="003B1220">
        <w:t>α)</w:t>
      </w:r>
      <w:r w:rsidRPr="003B1220">
        <w:tab/>
        <w:t>τίτλους μεταβλητών, τεχνικές προδιαγραφές και κατανομές τους·</w:t>
      </w:r>
    </w:p>
    <w:p w:rsidR="00621AFB" w:rsidRPr="003B1220" w:rsidRDefault="00621AFB" w:rsidP="00621AFB">
      <w:pPr>
        <w:spacing w:before="120" w:after="120" w:line="360" w:lineRule="auto"/>
        <w:ind w:left="1416" w:hanging="566"/>
        <w:rPr>
          <w:szCs w:val="24"/>
        </w:rPr>
      </w:pPr>
      <w:r w:rsidRPr="003B1220">
        <w:t>β)</w:t>
      </w:r>
      <w:r w:rsidRPr="003B1220">
        <w:tab/>
        <w:t>λεπτομερείς προδιαγραφές των στατιστικών μονάδων και μεταδεδομένα·</w:t>
      </w:r>
    </w:p>
    <w:p w:rsidR="00621AFB" w:rsidRPr="003B1220" w:rsidRDefault="00621AFB" w:rsidP="00621AFB">
      <w:pPr>
        <w:spacing w:before="120" w:after="120" w:line="360" w:lineRule="auto"/>
        <w:ind w:left="1416" w:hanging="566"/>
        <w:rPr>
          <w:szCs w:val="24"/>
        </w:rPr>
      </w:pPr>
      <w:r w:rsidRPr="003B1220">
        <w:t>γ)</w:t>
      </w:r>
      <w:r w:rsidRPr="003B1220">
        <w:tab/>
        <w:t>στατιστικές ταξινομήσεις που πρέπει να χρησιμοποιούνται·</w:t>
      </w:r>
    </w:p>
    <w:p w:rsidR="00621AFB" w:rsidRPr="003B1220" w:rsidRDefault="00621AFB" w:rsidP="00621AFB">
      <w:pPr>
        <w:spacing w:before="120" w:after="120" w:line="360" w:lineRule="auto"/>
        <w:ind w:left="1416" w:hanging="566"/>
        <w:rPr>
          <w:szCs w:val="24"/>
        </w:rPr>
      </w:pPr>
      <w:r w:rsidRPr="003B1220">
        <w:t>δ)</w:t>
      </w:r>
      <w:r w:rsidRPr="003B1220">
        <w:tab/>
        <w:t>προθεσμίες παροχής·</w:t>
      </w:r>
    </w:p>
    <w:p w:rsidR="00621AFB" w:rsidRPr="003B1220" w:rsidRDefault="00621AFB" w:rsidP="00621AFB">
      <w:pPr>
        <w:spacing w:before="120" w:after="120" w:line="360" w:lineRule="auto"/>
        <w:ind w:left="1416" w:hanging="566"/>
        <w:rPr>
          <w:szCs w:val="24"/>
        </w:rPr>
      </w:pPr>
      <w:r w:rsidRPr="003B1220">
        <w:t>ε)</w:t>
      </w:r>
      <w:r w:rsidRPr="003B1220">
        <w:tab/>
        <w:t>τεχνικούς μορφότυπους συνόλων δεδομένων και παροχή μεταδεδομένων·</w:t>
      </w:r>
    </w:p>
    <w:p w:rsidR="00621AFB" w:rsidRPr="003B1220" w:rsidRDefault="00621AFB" w:rsidP="00621AFB">
      <w:pPr>
        <w:spacing w:before="120" w:after="120" w:line="360" w:lineRule="auto"/>
        <w:ind w:left="1416" w:hanging="566"/>
        <w:rPr>
          <w:szCs w:val="24"/>
        </w:rPr>
      </w:pPr>
      <w:proofErr w:type="spellStart"/>
      <w:r w:rsidRPr="003B1220">
        <w:t>στ</w:t>
      </w:r>
      <w:proofErr w:type="spellEnd"/>
      <w:r w:rsidRPr="003B1220">
        <w:t>)</w:t>
      </w:r>
      <w:r w:rsidRPr="003B1220">
        <w:tab/>
        <w:t>το περιεχόμενο, τη δομή, την περιοδικότητα, τις λεπτομέρειες εφαρμογής και τις προθεσμίες παροχής των εκθέσεων ποιότητας, καθώς και περαιτέρω προδιαγραφές όπου αυτό είναι αναγκαίο και αιτιολογημένο.</w:t>
      </w:r>
    </w:p>
    <w:p w:rsidR="00621AFB" w:rsidRPr="003B1220" w:rsidRDefault="00621AFB" w:rsidP="00621AFB">
      <w:pPr>
        <w:spacing w:before="120" w:after="120" w:line="360" w:lineRule="auto"/>
        <w:ind w:left="850"/>
        <w:rPr>
          <w:szCs w:val="24"/>
        </w:rPr>
      </w:pPr>
      <w:r w:rsidRPr="003B1220">
        <w:t>Οι εν λόγω εκτελεστικές πράξεις εκδίδονται σύμφωνα με τη διαδικασία εξέτασης που προβλέπεται στο άρθρο 18 παράγραφος 2 τουλάχιστον 12 μήνες πριν από την έναρξη του σχετικού χρόνου αναφοράς, εκτός από την απογραφή πληθυσμού και στέγασης για την οποία εκδίδονται οι εκτελεστικές πράξεις τουλάχιστον 24 μήνες πριν από την έναρξη του έτους στο οποίο αντιστοιχεί η ημερομηνία αναφοράς.</w:t>
      </w:r>
    </w:p>
    <w:p w:rsidR="00621AFB" w:rsidRPr="003B1220" w:rsidRDefault="00621AFB" w:rsidP="00621AFB">
      <w:pPr>
        <w:spacing w:before="120" w:after="120" w:line="360" w:lineRule="auto"/>
        <w:jc w:val="center"/>
        <w:rPr>
          <w:szCs w:val="24"/>
        </w:rPr>
      </w:pPr>
      <w:r w:rsidRPr="003B1220">
        <w:t>Άρθρο 6</w:t>
      </w:r>
      <w:r w:rsidRPr="003B1220">
        <w:br/>
        <w:t>Περιοδικότητα και χρόνοι αναφοράς</w:t>
      </w:r>
    </w:p>
    <w:p w:rsidR="00621AFB" w:rsidRPr="003B1220" w:rsidRDefault="00621AFB" w:rsidP="00621AFB">
      <w:pPr>
        <w:spacing w:before="120" w:after="120" w:line="360" w:lineRule="auto"/>
        <w:ind w:left="850" w:hanging="850"/>
        <w:rPr>
          <w:szCs w:val="24"/>
        </w:rPr>
      </w:pPr>
      <w:r w:rsidRPr="003B1220">
        <w:t>1.</w:t>
      </w:r>
      <w:r w:rsidRPr="003B1220">
        <w:tab/>
        <w:t>Τα κράτη μέλη εκπονούν ευρωπαϊκές στατιστικές σχετικά με τον πληθυσμό και τη στέγαση σε τριμηνιαία, εξαμηνιαία, ετήσια και πολυετή βάση, καθώς και στο πλαίσιο της δεκαετούς απογραφής πληθυσμού και στέγασης.</w:t>
      </w:r>
    </w:p>
    <w:p w:rsidR="00621AFB" w:rsidRPr="003B1220" w:rsidRDefault="00621AFB" w:rsidP="00621AFB">
      <w:pPr>
        <w:spacing w:before="120" w:after="120" w:line="360" w:lineRule="auto"/>
        <w:ind w:left="850" w:hanging="850"/>
        <w:rPr>
          <w:szCs w:val="24"/>
        </w:rPr>
      </w:pPr>
      <w:r w:rsidRPr="003B1220">
        <w:t>2.</w:t>
      </w:r>
      <w:r w:rsidRPr="003B1220">
        <w:tab/>
        <w:t>Τα έτη που λήγουν σε «1» είναι τα έτη αναφοράς για τη δεκαετή απογραφή πληθυσμού και στέγασης.</w:t>
      </w:r>
    </w:p>
    <w:p w:rsidR="00621AFB" w:rsidRPr="003B1220" w:rsidRDefault="00621AFB" w:rsidP="00621AFB">
      <w:pPr>
        <w:spacing w:before="120" w:after="120" w:line="360" w:lineRule="auto"/>
        <w:ind w:left="850" w:hanging="850"/>
        <w:rPr>
          <w:szCs w:val="24"/>
        </w:rPr>
      </w:pPr>
      <w:r w:rsidRPr="003B1220">
        <w:t>3.</w:t>
      </w:r>
      <w:r w:rsidRPr="003B1220">
        <w:tab/>
        <w:t xml:space="preserve">Τα έτη που λήγουν σε «1», «5» και «8» είναι τα έτη αναφοράς για τις πολυετείς </w:t>
      </w:r>
      <w:r w:rsidRPr="003B1220">
        <w:lastRenderedPageBreak/>
        <w:t>στατιστικές.</w:t>
      </w:r>
    </w:p>
    <w:p w:rsidR="00621AFB" w:rsidRPr="003B1220" w:rsidRDefault="00621AFB" w:rsidP="00621AFB">
      <w:pPr>
        <w:spacing w:before="120" w:after="120" w:line="360" w:lineRule="auto"/>
        <w:ind w:left="850" w:hanging="850"/>
        <w:rPr>
          <w:szCs w:val="24"/>
        </w:rPr>
      </w:pPr>
      <w:r w:rsidRPr="003B1220">
        <w:t>4.</w:t>
      </w:r>
      <w:r w:rsidRPr="003B1220">
        <w:tab/>
        <w:t>Η περιοδικότητα και ο χρόνος αναφοράς ▌για κάθε λεπτομερές θέμα είναι αυτά που καθορίζονται στο παράρτημα.</w:t>
      </w:r>
    </w:p>
    <w:p w:rsidR="00621AFB" w:rsidRPr="003B1220" w:rsidRDefault="00621AFB" w:rsidP="00621AFB">
      <w:pPr>
        <w:spacing w:before="120" w:after="120" w:line="360" w:lineRule="auto"/>
        <w:ind w:left="850" w:hanging="850"/>
        <w:rPr>
          <w:szCs w:val="24"/>
        </w:rPr>
      </w:pPr>
      <w:r w:rsidRPr="003B1220">
        <w:t>5.</w:t>
      </w:r>
      <w:r w:rsidRPr="003B1220">
        <w:tab/>
        <w:t>Η πρώτη ημερομηνία αναφοράς για την οποία πρέπει να παρέχονται ετήσιες στατιστικές για το θέμα «πληθυσμιακά σύνολα» είναι η 31η Δεκεμβρίου 2025. Ο πρώτος χρόνος αναφοράς για τον οποίο πρέπει να παρέχονται οποιεσδήποτε άλλες στατιστικές δυνάμει του παρόντος κανονισμού είναι το 2026.</w:t>
      </w:r>
    </w:p>
    <w:p w:rsidR="00621AFB" w:rsidRPr="003B1220" w:rsidRDefault="00621AFB" w:rsidP="00621AFB">
      <w:pPr>
        <w:spacing w:before="120" w:after="120" w:line="360" w:lineRule="auto"/>
        <w:ind w:left="850" w:hanging="850"/>
        <w:rPr>
          <w:szCs w:val="24"/>
        </w:rPr>
      </w:pPr>
      <w:r w:rsidRPr="003B1220">
        <w:t>6.</w:t>
      </w:r>
      <w:r w:rsidRPr="003B1220">
        <w:tab/>
        <w:t>Ανατίθεται στην Επιτροπή η εξουσία να εκδίδει κατ’ εξουσιοδότηση πράξεις σύμφωνα με το άρθρο 17 για την τροποποίηση του παραρτήματος που καθορίζει τις περιοδικότητες και τους χρόνους αναφοράς.</w:t>
      </w:r>
    </w:p>
    <w:p w:rsidR="00621AFB" w:rsidRPr="003B1220" w:rsidRDefault="00621AFB" w:rsidP="00621AFB">
      <w:pPr>
        <w:spacing w:before="120" w:after="120" w:line="360" w:lineRule="auto"/>
        <w:jc w:val="center"/>
        <w:rPr>
          <w:szCs w:val="24"/>
        </w:rPr>
      </w:pPr>
      <w:r w:rsidRPr="003B1220">
        <w:t>Άρθρο 7</w:t>
      </w:r>
      <w:r w:rsidRPr="003B1220">
        <w:br/>
        <w:t>Απαιτήσεις σχετικά με τις ad hoc στατιστικές</w:t>
      </w:r>
    </w:p>
    <w:p w:rsidR="00621AFB" w:rsidRPr="003B1220" w:rsidRDefault="00621AFB" w:rsidP="00621AFB">
      <w:pPr>
        <w:spacing w:before="120" w:after="120" w:line="360" w:lineRule="auto"/>
        <w:ind w:left="850" w:hanging="850"/>
        <w:rPr>
          <w:szCs w:val="24"/>
        </w:rPr>
      </w:pPr>
      <w:r w:rsidRPr="003B1220">
        <w:t>1.</w:t>
      </w:r>
      <w:r w:rsidRPr="003B1220">
        <w:tab/>
        <w:t>Τα κράτη μέλη παρέχουν στην Επιτροπή (Eurostat) ad hoc σύνολα δεδομένων και μεταδεδομένα.</w:t>
      </w:r>
    </w:p>
    <w:p w:rsidR="00621AFB" w:rsidRPr="003B1220" w:rsidRDefault="00621AFB" w:rsidP="00621AFB">
      <w:pPr>
        <w:spacing w:before="120" w:after="120" w:line="360" w:lineRule="auto"/>
        <w:ind w:left="850" w:hanging="850"/>
        <w:rPr>
          <w:szCs w:val="24"/>
        </w:rPr>
      </w:pPr>
      <w:r w:rsidRPr="003B1220">
        <w:t>2.</w:t>
      </w:r>
      <w:r w:rsidRPr="003B1220">
        <w:tab/>
        <w:t>Ανατίθεται στην Επιτροπή η εξουσία να εκδίδει κατ’ εξουσιοδότηση πράξεις για τη συμπλήρωση του παρόντος κανονισμού σύμφωνα με το άρθρο 17, προσδιορίζοντας τα σύνολα δεδομένων και τα μεταδεδομένα που πρέπει να παρέχουν τα κράτη μέλη σε ad hoc βάση, όταν η συλλογή πρόσθετων στατιστικών κρίνεται αναγκαία για την αντιμετώπιση πρόσθετων στατιστικών αναγκών δυνάμει του παρόντος κανονισμού</w:t>
      </w:r>
      <w:r w:rsidRPr="003B1220">
        <w:rPr>
          <w:b/>
          <w:bCs/>
          <w:i/>
          <w:iCs/>
        </w:rPr>
        <w:t>, με προτεραιότητα στις πηγές και τα αρχεία διοικητικών δεδομένων που χρησιμοποιούνται για τη συλλογή των ζητούμενων δεδομένων.</w:t>
      </w:r>
    </w:p>
    <w:p w:rsidR="00621AFB" w:rsidRPr="003B1220" w:rsidRDefault="00621AFB" w:rsidP="00621AFB">
      <w:pPr>
        <w:spacing w:before="120" w:after="120" w:line="360" w:lineRule="auto"/>
        <w:ind w:left="850" w:hanging="850"/>
        <w:rPr>
          <w:szCs w:val="24"/>
        </w:rPr>
      </w:pPr>
      <w:r w:rsidRPr="003B1220">
        <w:t>3.</w:t>
      </w:r>
      <w:r w:rsidRPr="003B1220">
        <w:tab/>
        <w:t>Οι κατ’ εξουσιοδότηση πράξεις για τις οποίες γίνεται λόγος στην παράγραφο 2 διευκρινίζουν:</w:t>
      </w:r>
    </w:p>
    <w:p w:rsidR="00621AFB" w:rsidRPr="003B1220" w:rsidRDefault="00621AFB" w:rsidP="00621AFB">
      <w:pPr>
        <w:spacing w:before="120" w:after="120" w:line="360" w:lineRule="auto"/>
        <w:ind w:left="1416" w:hanging="566"/>
        <w:rPr>
          <w:szCs w:val="24"/>
        </w:rPr>
      </w:pPr>
      <w:r w:rsidRPr="003B1220">
        <w:t>α)</w:t>
      </w:r>
      <w:r w:rsidRPr="003B1220">
        <w:tab/>
        <w:t>τα λεπτομερή θέματα που πρέπει να παρέχονται στα ad hoc σύνολα δεδομένων και τους λόγους για τις εν λόγω πρόσθετες στατιστικές ανάγκες·</w:t>
      </w:r>
    </w:p>
    <w:p w:rsidR="00621AFB" w:rsidRPr="003B1220" w:rsidRDefault="00621AFB" w:rsidP="00621AFB">
      <w:pPr>
        <w:spacing w:before="120" w:after="120" w:line="360" w:lineRule="auto"/>
        <w:ind w:left="1416" w:hanging="566"/>
        <w:rPr>
          <w:szCs w:val="24"/>
        </w:rPr>
      </w:pPr>
      <w:r w:rsidRPr="003B1220">
        <w:t>β)</w:t>
      </w:r>
      <w:r w:rsidRPr="003B1220">
        <w:tab/>
        <w:t>τους χρόνους αναφοράς.</w:t>
      </w:r>
    </w:p>
    <w:p w:rsidR="00621AFB" w:rsidRPr="003B1220" w:rsidRDefault="00621AFB" w:rsidP="00621AFB">
      <w:pPr>
        <w:spacing w:before="120" w:after="120" w:line="360" w:lineRule="auto"/>
        <w:ind w:left="850" w:hanging="850"/>
        <w:rPr>
          <w:szCs w:val="24"/>
        </w:rPr>
      </w:pPr>
      <w:r w:rsidRPr="003B1220">
        <w:t>4.</w:t>
      </w:r>
      <w:r w:rsidRPr="003B1220">
        <w:tab/>
        <w:t>Ανατίθεται στην Επιτροπή η εξουσία να εκδίδει κατ’ εξουσιοδότηση πράξεις που αναφέρονται στην παράγραφο 2, αρχής γενομένης από το έτος αναφοράς 2027 και τουλάχιστον δύο έτη μεταξύ κάθε ad hoc συλλογής.</w:t>
      </w:r>
    </w:p>
    <w:p w:rsidR="00621AFB" w:rsidRPr="003B1220" w:rsidRDefault="00621AFB" w:rsidP="00621AFB">
      <w:pPr>
        <w:spacing w:before="120" w:after="120" w:line="360" w:lineRule="auto"/>
        <w:ind w:left="850" w:hanging="850"/>
        <w:rPr>
          <w:szCs w:val="24"/>
        </w:rPr>
      </w:pPr>
      <w:r w:rsidRPr="003B1220">
        <w:t>5.</w:t>
      </w:r>
      <w:r w:rsidRPr="003B1220">
        <w:tab/>
        <w:t xml:space="preserve">Η Επιτροπή εκδίδει εκτελεστικές πράξεις για τον προσδιορισμό των τεχνικών </w:t>
      </w:r>
      <w:r w:rsidRPr="003B1220">
        <w:lastRenderedPageBreak/>
        <w:t>ιδιοτήτων των ad hoc συνόλων δεδομένων και των μεταδεδομένων που αναφέρονται στην παράγραφο 2. Οι εν λόγω εκτελεστικές πράξεις προσδιορίζουν τα ακόλουθα τεχνικά στοιχεία, κατά περίπτωση:</w:t>
      </w:r>
    </w:p>
    <w:p w:rsidR="00621AFB" w:rsidRPr="003B1220" w:rsidRDefault="00621AFB" w:rsidP="00621AFB">
      <w:pPr>
        <w:spacing w:before="120" w:after="120" w:line="360" w:lineRule="auto"/>
        <w:ind w:left="1416" w:hanging="566"/>
        <w:rPr>
          <w:szCs w:val="24"/>
        </w:rPr>
      </w:pPr>
      <w:r w:rsidRPr="003B1220">
        <w:t>α)</w:t>
      </w:r>
      <w:r w:rsidRPr="003B1220">
        <w:tab/>
        <w:t>τίτλους μεταβλητών, τεχνικές προδιαγραφές και κατανομές τους·</w:t>
      </w:r>
    </w:p>
    <w:p w:rsidR="00621AFB" w:rsidRPr="003B1220" w:rsidRDefault="00621AFB" w:rsidP="00621AFB">
      <w:pPr>
        <w:spacing w:before="120" w:after="120" w:line="360" w:lineRule="auto"/>
        <w:ind w:left="1416" w:hanging="566"/>
        <w:rPr>
          <w:szCs w:val="24"/>
        </w:rPr>
      </w:pPr>
      <w:r w:rsidRPr="003B1220">
        <w:t>β)</w:t>
      </w:r>
      <w:r w:rsidRPr="003B1220">
        <w:tab/>
        <w:t>λεπτομερείς προδιαγραφές των στατιστικών μονάδων και μεταδεδομένα·</w:t>
      </w:r>
    </w:p>
    <w:p w:rsidR="00621AFB" w:rsidRPr="003B1220" w:rsidRDefault="00621AFB" w:rsidP="00621AFB">
      <w:pPr>
        <w:spacing w:before="120" w:after="120" w:line="360" w:lineRule="auto"/>
        <w:ind w:left="1416" w:hanging="566"/>
        <w:rPr>
          <w:szCs w:val="24"/>
        </w:rPr>
      </w:pPr>
      <w:r w:rsidRPr="003B1220">
        <w:t>γ)</w:t>
      </w:r>
      <w:r w:rsidRPr="003B1220">
        <w:tab/>
        <w:t>στατιστικές ταξινομήσεις που πρέπει να χρησιμοποιούνται·</w:t>
      </w:r>
    </w:p>
    <w:p w:rsidR="00621AFB" w:rsidRPr="003B1220" w:rsidRDefault="00621AFB" w:rsidP="00621AFB">
      <w:pPr>
        <w:spacing w:before="120" w:after="120" w:line="360" w:lineRule="auto"/>
        <w:ind w:left="1416" w:hanging="566"/>
        <w:rPr>
          <w:szCs w:val="24"/>
        </w:rPr>
      </w:pPr>
      <w:r w:rsidRPr="003B1220">
        <w:t>δ)</w:t>
      </w:r>
      <w:r w:rsidRPr="003B1220">
        <w:tab/>
        <w:t>προθεσμίες παροχής.</w:t>
      </w:r>
    </w:p>
    <w:p w:rsidR="00621AFB" w:rsidRPr="003B1220" w:rsidRDefault="00621AFB" w:rsidP="00621AFB">
      <w:pPr>
        <w:spacing w:before="120" w:after="120" w:line="360" w:lineRule="auto"/>
        <w:ind w:left="850"/>
        <w:rPr>
          <w:szCs w:val="24"/>
        </w:rPr>
      </w:pPr>
      <w:r w:rsidRPr="003B1220">
        <w:t>Οι εν λόγω εκτελεστικές πράξεις εκδίδονται σύμφωνα με τη διαδικασία εξέτασης που αναφέρεται στο άρθρο 18 παράγραφος 2 το αργότερο 12 μήνες πριν από την αρχή του χρόνου αναφοράς.</w:t>
      </w:r>
    </w:p>
    <w:p w:rsidR="00621AFB" w:rsidRPr="003B1220" w:rsidRDefault="00621AFB" w:rsidP="00621AFB">
      <w:pPr>
        <w:spacing w:before="120" w:after="120" w:line="360" w:lineRule="auto"/>
        <w:jc w:val="center"/>
        <w:rPr>
          <w:szCs w:val="24"/>
        </w:rPr>
      </w:pPr>
      <w:r w:rsidRPr="003B1220">
        <w:t>Άρθρο 8</w:t>
      </w:r>
      <w:r w:rsidRPr="003B1220">
        <w:br/>
        <w:t xml:space="preserve">Σύνολα δεδομένων και μεταδεδομένα που πρέπει </w:t>
      </w:r>
      <w:r w:rsidRPr="003B1220">
        <w:rPr>
          <w:b/>
          <w:bCs/>
          <w:i/>
          <w:iCs/>
        </w:rPr>
        <w:t>να διαβιβάζονται</w:t>
      </w:r>
      <w:r w:rsidRPr="003B1220">
        <w:t xml:space="preserve"> στην Επιτροπή</w:t>
      </w:r>
    </w:p>
    <w:p w:rsidR="00621AFB" w:rsidRPr="003B1220" w:rsidRDefault="00621AFB" w:rsidP="00621AFB">
      <w:pPr>
        <w:spacing w:before="120" w:after="120" w:line="360" w:lineRule="auto"/>
        <w:ind w:left="850" w:hanging="850"/>
        <w:rPr>
          <w:szCs w:val="24"/>
        </w:rPr>
      </w:pPr>
      <w:r w:rsidRPr="003B1220">
        <w:t>1.</w:t>
      </w:r>
      <w:r w:rsidRPr="003B1220">
        <w:tab/>
        <w:t xml:space="preserve">Τα κράτη μέλη </w:t>
      </w:r>
      <w:r w:rsidRPr="003B1220">
        <w:rPr>
          <w:b/>
          <w:bCs/>
          <w:i/>
          <w:iCs/>
        </w:rPr>
        <w:t>διαβιβάζουν στην Επιτροπή (Eurostat)</w:t>
      </w:r>
      <w:r w:rsidRPr="003B1220">
        <w:t xml:space="preserve"> προελεγμένα σύνολα δεδομένων και μεταδεδομένα,</w:t>
      </w:r>
      <w:r w:rsidRPr="003B1220">
        <w:rPr>
          <w:b/>
          <w:bCs/>
          <w:i/>
          <w:iCs/>
        </w:rPr>
        <w:t xml:space="preserve"> σύμφωνα με το παράρτημα,</w:t>
      </w:r>
      <w:r w:rsidRPr="003B1220">
        <w:t xml:space="preserve"> με τη χρήση τεχνικού μορφότυπου που καθορίζεται από την Επιτροπή (Eurostat). Για </w:t>
      </w:r>
      <w:r w:rsidRPr="003B1220">
        <w:rPr>
          <w:b/>
          <w:bCs/>
          <w:i/>
          <w:iCs/>
        </w:rPr>
        <w:t>τη διαβίβαση</w:t>
      </w:r>
      <w:r w:rsidRPr="003B1220">
        <w:t xml:space="preserve"> των συνόλων δεδομένων και των μεταδεδομένων στην Επιτροπή (Eurostat) χρησιμοποιούνται οι υπηρεσίες ενιαίου σημείου εισόδου.</w:t>
      </w:r>
    </w:p>
    <w:p w:rsidR="00621AFB" w:rsidRPr="003B1220" w:rsidRDefault="00621AFB" w:rsidP="00621AFB">
      <w:pPr>
        <w:spacing w:before="120" w:after="120" w:line="360" w:lineRule="auto"/>
        <w:ind w:left="850" w:hanging="850"/>
        <w:rPr>
          <w:szCs w:val="24"/>
        </w:rPr>
      </w:pPr>
      <w:r w:rsidRPr="003B1220">
        <w:t>2.</w:t>
      </w:r>
      <w:r w:rsidRPr="003B1220">
        <w:tab/>
        <w:t>Όταν τα κράτη μέλη δημοσιεύουν</w:t>
      </w:r>
      <w:r w:rsidRPr="003B1220">
        <w:rPr>
          <w:b/>
          <w:bCs/>
          <w:i/>
          <w:iCs/>
        </w:rPr>
        <w:t xml:space="preserve"> τα δεδομένα</w:t>
      </w:r>
      <w:r w:rsidRPr="003B1220">
        <w:t xml:space="preserve"> που απαιτούνται από τον παρόντα κανονισμό σε εθνικό επίπεδο πριν από τις προθεσμίες </w:t>
      </w:r>
      <w:r w:rsidRPr="003B1220">
        <w:rPr>
          <w:b/>
          <w:bCs/>
          <w:i/>
          <w:iCs/>
        </w:rPr>
        <w:t>διαβίβασης</w:t>
      </w:r>
      <w:r w:rsidRPr="003B1220">
        <w:t xml:space="preserve"> που καθορίζονται σύμφωνα με το άρθρο 5 παράγραφος 5 στοιχείο δ) και το άρθρο 7 παράγραφος 5 στοιχείο δ), τα διαβιβάζουν στην Επιτροπή (Eurostat) </w:t>
      </w:r>
      <w:r w:rsidRPr="003B1220">
        <w:rPr>
          <w:b/>
          <w:bCs/>
          <w:i/>
          <w:iCs/>
        </w:rPr>
        <w:t>χωρίς αδικαιολόγητη καθυστέρηση, το αργότερο εντός 21 ημερολογιακών ημερών από την εθνική δημοσίευση.</w:t>
      </w:r>
    </w:p>
    <w:p w:rsidR="00621AFB" w:rsidRPr="003B1220" w:rsidRDefault="00621AFB" w:rsidP="00621AFB">
      <w:pPr>
        <w:spacing w:before="120" w:after="120" w:line="360" w:lineRule="auto"/>
        <w:ind w:left="850" w:hanging="850"/>
        <w:rPr>
          <w:szCs w:val="24"/>
        </w:rPr>
      </w:pPr>
      <w:r w:rsidRPr="003B1220">
        <w:t>3.</w:t>
      </w:r>
      <w:r w:rsidRPr="003B1220">
        <w:tab/>
        <w:t xml:space="preserve">Τα κράτη μέλη </w:t>
      </w:r>
      <w:r w:rsidRPr="003B1220">
        <w:rPr>
          <w:b/>
          <w:bCs/>
          <w:i/>
          <w:iCs/>
        </w:rPr>
        <w:t>διαβιβάζουν</w:t>
      </w:r>
      <w:r w:rsidRPr="003B1220">
        <w:t xml:space="preserve"> στην Επιτροπή (Eurostat):</w:t>
      </w:r>
    </w:p>
    <w:p w:rsidR="00621AFB" w:rsidRPr="003B1220" w:rsidRDefault="00621AFB" w:rsidP="00621AFB">
      <w:pPr>
        <w:spacing w:before="120" w:after="120" w:line="360" w:lineRule="auto"/>
        <w:ind w:left="1416" w:hanging="566"/>
        <w:rPr>
          <w:szCs w:val="24"/>
        </w:rPr>
      </w:pPr>
      <w:r w:rsidRPr="003B1220">
        <w:t>α)</w:t>
      </w:r>
      <w:r w:rsidRPr="003B1220">
        <w:tab/>
        <w:t>αναθεωρημένα σύνολα δεδομένων και μεταδεδομένα, αν πραγματοποιηθεί αναθεώρηση μετά την αρχική υποβολή των συνόλων δεδομένων που απαιτούνται δυνάμει του παρόντος κανονισμού·</w:t>
      </w:r>
    </w:p>
    <w:p w:rsidR="00621AFB" w:rsidRPr="003B1220" w:rsidRDefault="00621AFB" w:rsidP="00621AFB">
      <w:pPr>
        <w:spacing w:before="120" w:after="120" w:line="360" w:lineRule="auto"/>
        <w:ind w:left="1416" w:hanging="566"/>
        <w:rPr>
          <w:szCs w:val="24"/>
        </w:rPr>
      </w:pPr>
      <w:r w:rsidRPr="003B1220">
        <w:t>β)</w:t>
      </w:r>
      <w:r w:rsidRPr="003B1220">
        <w:tab/>
        <w:t xml:space="preserve">αναθεωρημένα σύνολα δεδομένων και μεταδεδομένα για τις σχετικές χρονολογικές σειρές, αν πραγματοποιηθεί αναθεώρηση συνόλων δεδομένων που είχαν παρασχεθεί στην Επιτροπή (Eurostat) πριν από την εφαρμογή του </w:t>
      </w:r>
      <w:r w:rsidRPr="003B1220">
        <w:lastRenderedPageBreak/>
        <w:t xml:space="preserve">παρόντος κανονισμού. </w:t>
      </w:r>
    </w:p>
    <w:p w:rsidR="00621AFB" w:rsidRPr="003B1220" w:rsidRDefault="00621AFB" w:rsidP="00621AFB">
      <w:pPr>
        <w:spacing w:before="120" w:after="120" w:line="360" w:lineRule="auto"/>
        <w:ind w:left="850"/>
        <w:rPr>
          <w:szCs w:val="24"/>
        </w:rPr>
      </w:pPr>
      <w:r w:rsidRPr="003B1220">
        <w:t xml:space="preserve">Τα αναθεωρημένα σύνολα δεδομένων και τα μεταδεδομένα </w:t>
      </w:r>
      <w:r w:rsidRPr="003B1220">
        <w:rPr>
          <w:b/>
          <w:bCs/>
          <w:i/>
          <w:iCs/>
        </w:rPr>
        <w:t>διαβιβάζονται εντός 14 ημερολογιακών ημερών από την ημερομηνία της αναθεώρησης</w:t>
      </w:r>
      <w:r w:rsidRPr="003B1220">
        <w:t xml:space="preserve"> και συμπληρώνονται με εκθέσεις ποιότητας σύμφωνα με το άρθρο 12.</w:t>
      </w:r>
    </w:p>
    <w:p w:rsidR="00621AFB" w:rsidRPr="003B1220" w:rsidRDefault="00621AFB" w:rsidP="00621AFB">
      <w:pPr>
        <w:spacing w:before="120" w:after="120" w:line="360" w:lineRule="auto"/>
        <w:ind w:left="850"/>
        <w:rPr>
          <w:szCs w:val="24"/>
        </w:rPr>
      </w:pPr>
      <w:r w:rsidRPr="003B1220">
        <w:rPr>
          <w:b/>
          <w:i/>
        </w:rPr>
        <w:t xml:space="preserve">Τα κράτη μέλη </w:t>
      </w:r>
      <w:r w:rsidRPr="003B1220">
        <w:rPr>
          <w:b/>
          <w:bCs/>
          <w:i/>
          <w:iCs/>
        </w:rPr>
        <w:t>ενημερώνουν</w:t>
      </w:r>
      <w:r w:rsidRPr="003B1220">
        <w:rPr>
          <w:b/>
          <w:i/>
        </w:rPr>
        <w:t xml:space="preserve"> χωρίς καθυστέρηση την Επιτροπή για κάθε απόφαση αναθεώρησης συνόλων δεδομένων και μεταδεδομένων.</w:t>
      </w:r>
    </w:p>
    <w:p w:rsidR="00621AFB" w:rsidRPr="003B1220" w:rsidRDefault="00621AFB" w:rsidP="00621AFB">
      <w:pPr>
        <w:spacing w:before="120" w:after="120" w:line="360" w:lineRule="auto"/>
        <w:jc w:val="center"/>
        <w:rPr>
          <w:szCs w:val="24"/>
        </w:rPr>
      </w:pPr>
      <w:r w:rsidRPr="003B1220">
        <w:t>Άρθρο 9</w:t>
      </w:r>
      <w:r w:rsidRPr="003B1220">
        <w:br/>
        <w:t>Πηγές δεδομένων και μέθοδοι</w:t>
      </w:r>
    </w:p>
    <w:p w:rsidR="00621AFB" w:rsidRPr="003B1220" w:rsidRDefault="00621AFB" w:rsidP="00621AFB">
      <w:pPr>
        <w:spacing w:before="120" w:after="120" w:line="360" w:lineRule="auto"/>
        <w:ind w:left="850" w:hanging="850"/>
        <w:rPr>
          <w:szCs w:val="24"/>
        </w:rPr>
      </w:pPr>
      <w:r w:rsidRPr="003B1220">
        <w:t>1.</w:t>
      </w:r>
      <w:r w:rsidRPr="003B1220">
        <w:tab/>
        <w:t>Τα κράτη μέλη και η Επιτροπή (Eurostat) χρησιμοποιούν μία από τις ακόλουθες πηγές δεδομένων ή συνδυασμό αυτών, υπό την προϋπόθεση ότι καθιστούν δυνατή την εκπόνηση στατιστικών που πληρούν τις απαιτήσεις ποιότητας οι οποίες ορίζονται στο άρθρο 12:</w:t>
      </w:r>
    </w:p>
    <w:p w:rsidR="00621AFB" w:rsidRPr="003B1220" w:rsidRDefault="00621AFB" w:rsidP="00621AFB">
      <w:pPr>
        <w:spacing w:before="120" w:after="120" w:line="360" w:lineRule="auto"/>
        <w:ind w:left="1416" w:hanging="566"/>
        <w:rPr>
          <w:szCs w:val="24"/>
        </w:rPr>
      </w:pPr>
      <w:r w:rsidRPr="003B1220">
        <w:t>α)</w:t>
      </w:r>
      <w:r w:rsidRPr="003B1220">
        <w:tab/>
        <w:t>πηγές διοικητικών δεδομένων·</w:t>
      </w:r>
    </w:p>
    <w:p w:rsidR="00621AFB" w:rsidRPr="003B1220" w:rsidRDefault="00621AFB" w:rsidP="00621AFB">
      <w:pPr>
        <w:spacing w:before="120" w:after="120" w:line="360" w:lineRule="auto"/>
        <w:ind w:left="1416" w:hanging="566"/>
        <w:rPr>
          <w:szCs w:val="24"/>
        </w:rPr>
      </w:pPr>
      <w:r w:rsidRPr="003B1220">
        <w:t>β)</w:t>
      </w:r>
      <w:r w:rsidRPr="003B1220">
        <w:tab/>
        <w:t>στατιστικές έρευνες ή άλλες συλλογές στατιστικών στοιχείων·</w:t>
      </w:r>
    </w:p>
    <w:p w:rsidR="00621AFB" w:rsidRPr="003B1220" w:rsidRDefault="00621AFB" w:rsidP="00621AFB">
      <w:pPr>
        <w:spacing w:before="120" w:after="120" w:line="360" w:lineRule="auto"/>
        <w:ind w:left="1416" w:hanging="566"/>
        <w:rPr>
          <w:szCs w:val="24"/>
        </w:rPr>
      </w:pPr>
      <w:r w:rsidRPr="003B1220">
        <w:t>γ)</w:t>
      </w:r>
      <w:r w:rsidRPr="003B1220">
        <w:tab/>
        <w:t>άλλες πηγές, συμπεριλαμβανομένων δεδομένων που βρίσκονται στην κατοχή ιδιωτών·</w:t>
      </w:r>
    </w:p>
    <w:p w:rsidR="00621AFB" w:rsidRPr="003B1220" w:rsidRDefault="00621AFB" w:rsidP="00621AFB">
      <w:pPr>
        <w:spacing w:before="120" w:after="120" w:line="360" w:lineRule="auto"/>
        <w:ind w:left="1416" w:hanging="566"/>
        <w:rPr>
          <w:szCs w:val="24"/>
        </w:rPr>
      </w:pPr>
      <w:r w:rsidRPr="003B1220">
        <w:t>δ)</w:t>
      </w:r>
      <w:r w:rsidRPr="003B1220">
        <w:tab/>
        <w:t>επαναχρησιμοποίηση δεδομένων που προέρχονται από την ανταλλαγή δεδομένων μεταξύ των εθνικών στατιστικών αρχών και της Επιτροπής (Eurostat) στο πλαίσιο του ΕΕΣ.</w:t>
      </w:r>
    </w:p>
    <w:p w:rsidR="00621AFB" w:rsidRPr="003B1220" w:rsidRDefault="00621AFB" w:rsidP="00621AFB">
      <w:pPr>
        <w:spacing w:before="120" w:after="120" w:line="360" w:lineRule="auto"/>
        <w:ind w:left="850" w:hanging="850"/>
        <w:rPr>
          <w:szCs w:val="24"/>
        </w:rPr>
      </w:pPr>
      <w:r w:rsidRPr="003B1220">
        <w:t>2.</w:t>
      </w:r>
      <w:r w:rsidRPr="003B1220">
        <w:tab/>
        <w:t>Τα κράτη μέλη αξιολογούν και παρακολουθούν την ποιότητα των πηγών δεδομένων τους, συμπεριλαμβανομένων των πηγών διοικητικών αρχείων και άλλων κατάλληλων πηγών που χρησιμοποιούνται.</w:t>
      </w:r>
    </w:p>
    <w:p w:rsidR="00621AFB" w:rsidRPr="003B1220" w:rsidRDefault="00621AFB" w:rsidP="00621AFB">
      <w:pPr>
        <w:spacing w:before="120" w:after="120" w:line="360" w:lineRule="auto"/>
        <w:ind w:left="850" w:hanging="850"/>
        <w:rPr>
          <w:szCs w:val="24"/>
        </w:rPr>
      </w:pPr>
      <w:r w:rsidRPr="003B1220">
        <w:t>3.</w:t>
      </w:r>
      <w:r w:rsidRPr="003B1220">
        <w:tab/>
      </w:r>
      <w:r w:rsidRPr="003B1220">
        <w:rPr>
          <w:b/>
          <w:i/>
        </w:rPr>
        <w:t>Τα κράτη μέλη επιδιώκουν να αναπτύσσουν συνεχώς καινοτόμες πηγές και μεθόδους και τις χρησιμοποιούν για τη βελτίωση των στατιστικών που καταρτίζονται δυνάμει του παρόντος κανονισμού, υπό την προϋπόθεση ότι καθιστούν δυνατή την εκπόνηση στατιστικών που πληρούν τις απαιτήσεις ποιότητας που ορίζονται στο άρθρο 12.</w:t>
      </w:r>
    </w:p>
    <w:p w:rsidR="00621AFB" w:rsidRPr="003B1220" w:rsidRDefault="00621AFB" w:rsidP="00621AFB">
      <w:pPr>
        <w:spacing w:before="120" w:after="120" w:line="360" w:lineRule="auto"/>
        <w:ind w:left="850" w:hanging="850"/>
        <w:rPr>
          <w:szCs w:val="24"/>
        </w:rPr>
      </w:pPr>
      <w:r w:rsidRPr="003B1220">
        <w:t>4.</w:t>
      </w:r>
      <w:r w:rsidRPr="003B1220">
        <w:tab/>
        <w:t xml:space="preserve">Οι στατιστικές που καταρτίζονται δυνάμει του παρόντος κανονισμού βασίζονται σε στατιστικά ορθές και καλά τεκμηριωμένες μεθόδους που λαμβάνουν υπόψη διεθνείς συστάσεις και βέλτιστες πρακτικές, όπως «ενδείξεις ζωής», ▌ και άλλες </w:t>
      </w:r>
      <w:r w:rsidRPr="003B1220">
        <w:lastRenderedPageBreak/>
        <w:t>επιστημονικά τεκμηριωμένες μεθόδους στατιστικής εκτίμησης οι οποίες χρησιμοποιούνται για τον προσδιορισμό του συνήθως διαμένοντος πληθυσμού στα κράτη μέλη.</w:t>
      </w:r>
    </w:p>
    <w:p w:rsidR="00621AFB" w:rsidRPr="003B1220" w:rsidRDefault="00621AFB" w:rsidP="00621AFB">
      <w:pPr>
        <w:spacing w:before="120" w:after="120" w:line="360" w:lineRule="auto"/>
        <w:ind w:left="850" w:hanging="850"/>
        <w:rPr>
          <w:szCs w:val="24"/>
        </w:rPr>
      </w:pPr>
      <w:r w:rsidRPr="003B1220">
        <w:t>5.</w:t>
      </w:r>
      <w:r w:rsidRPr="003B1220">
        <w:tab/>
        <w:t>Κατόπιν</w:t>
      </w:r>
      <w:r w:rsidRPr="003B1220">
        <w:rPr>
          <w:b/>
          <w:bCs/>
          <w:i/>
          <w:iCs/>
        </w:rPr>
        <w:t xml:space="preserve"> δεόντως αιτιολογημένου αιτήματος της Επιτροπής (Eurostat),</w:t>
      </w:r>
      <w:r w:rsidRPr="003B1220">
        <w:t xml:space="preserve"> τα κράτη μέλη παρέχουν στην Επιτροπή (Eurostat) τα αποτελέσματα της αξιολόγησης των πηγών δεδομένων, την τεκμηρίωση των μεθόδων και αναγκαίες διευκρινίσεις.</w:t>
      </w:r>
    </w:p>
    <w:p w:rsidR="00621AFB" w:rsidRPr="003B1220" w:rsidRDefault="00621AFB" w:rsidP="00621AFB">
      <w:pPr>
        <w:spacing w:before="120" w:after="120" w:line="360" w:lineRule="auto"/>
        <w:jc w:val="center"/>
        <w:rPr>
          <w:szCs w:val="24"/>
        </w:rPr>
      </w:pPr>
      <w:r w:rsidRPr="003B1220">
        <w:t>Άρθρο 10</w:t>
      </w:r>
      <w:r w:rsidRPr="003B1220">
        <w:br/>
        <w:t>Έγκαιρη πρόσβαση και επαναχρησιμοποίηση διοικητικών δεδομένων</w:t>
      </w:r>
    </w:p>
    <w:p w:rsidR="00621AFB" w:rsidRPr="003B1220" w:rsidRDefault="00621AFB" w:rsidP="00621AFB">
      <w:pPr>
        <w:spacing w:before="120" w:after="120" w:line="360" w:lineRule="auto"/>
        <w:ind w:left="850" w:hanging="850"/>
        <w:rPr>
          <w:szCs w:val="24"/>
        </w:rPr>
      </w:pPr>
      <w:r w:rsidRPr="003B1220">
        <w:t>1.</w:t>
      </w:r>
      <w:r w:rsidRPr="003B1220">
        <w:tab/>
      </w:r>
      <w:r w:rsidRPr="003B1220">
        <w:rPr>
          <w:b/>
          <w:bCs/>
          <w:i/>
          <w:iCs/>
        </w:rPr>
        <w:t>Σύμφωνα με το άρθρο 17α του κανονισμού (ΕΕ) αριθ. 223/2009,</w:t>
      </w:r>
      <w:r w:rsidRPr="003B1220">
        <w:rPr>
          <w:b/>
          <w:bCs/>
        </w:rPr>
        <w:t xml:space="preserve"> </w:t>
      </w:r>
      <w:r w:rsidRPr="003B1220">
        <w:t xml:space="preserve">οι εθνικές αρχές που είναι αρμόδιες για τις πηγές διοικητικών δεδομένων που σχετίζονται με τους σκοπούς του παρόντος κανονισμού επιτρέπουν την επαναχρησιμοποίηση των δεδομένων αυτών εγκαίρως και με συχνότητα επαρκή για την εκπόνηση και την υποβολή στατιστικών εντός των προθεσμιών και σύμφωνα με τις ειδικές απαιτήσεις ποιότητας δυνάμει του παρόντος κανονισμού. </w:t>
      </w:r>
      <w:r w:rsidRPr="003B1220">
        <w:rPr>
          <w:b/>
          <w:bCs/>
          <w:i/>
          <w:iCs/>
        </w:rPr>
        <w:t>Οι εθνικές στατιστικές αρχές και οι εθνικές αρχές που είναι αρμόδιες για τα διοικητικά αρχεία θεσπίζουν τους απαραίτητους μηχανισμούς συνεργασίας για την έγκαιρη και δωρεάν πρόσβαση στα εν λόγω αρχεία.</w:t>
      </w:r>
    </w:p>
    <w:p w:rsidR="00621AFB" w:rsidRPr="003B1220" w:rsidRDefault="00621AFB" w:rsidP="00621AFB">
      <w:pPr>
        <w:spacing w:before="120" w:after="120" w:line="360" w:lineRule="auto"/>
        <w:ind w:left="850" w:hanging="850"/>
        <w:rPr>
          <w:szCs w:val="24"/>
        </w:rPr>
      </w:pPr>
      <w:r w:rsidRPr="003B1220">
        <w:rPr>
          <w:b/>
          <w:i/>
        </w:rPr>
        <w:t>1α.</w:t>
      </w:r>
      <w:r w:rsidRPr="003B1220">
        <w:tab/>
      </w:r>
      <w:r w:rsidRPr="003B1220">
        <w:rPr>
          <w:b/>
          <w:i/>
        </w:rPr>
        <w:t xml:space="preserve">Για τους σκοπούς της παραγωγής στατιστικών σχετικά με το λεπτομερές θέμα των ενεργειακών χαρακτηριστικών των κτιρίων, οι εθνικές στατιστικές αρχές έχουν έγκαιρη και τακτική πρόσβαση στις εθνικές βάσεις δεδομένων για την ενεργειακή απόδοση των κτιρίων σύμφωνα με την οδηγία (ΕΕ) </w:t>
      </w:r>
      <w:r w:rsidR="00151BEE">
        <w:rPr>
          <w:b/>
          <w:i/>
        </w:rPr>
        <w:t xml:space="preserve">2024/1275 </w:t>
      </w:r>
      <w:r w:rsidRPr="003B1220">
        <w:rPr>
          <w:b/>
          <w:i/>
        </w:rPr>
        <w:t>και επιτρέπεται να επαναχρησιμοποιούν διοικητικά δεδομένα από τις εν λόγω βάσεις δεδομένων.</w:t>
      </w:r>
    </w:p>
    <w:p w:rsidR="00621AFB" w:rsidRPr="003B1220" w:rsidRDefault="00621AFB" w:rsidP="00621AFB">
      <w:pPr>
        <w:spacing w:before="120" w:after="120" w:line="360" w:lineRule="auto"/>
        <w:ind w:left="850" w:hanging="850"/>
        <w:rPr>
          <w:szCs w:val="24"/>
        </w:rPr>
      </w:pPr>
      <w:r w:rsidRPr="003B1220">
        <w:rPr>
          <w:b/>
          <w:i/>
        </w:rPr>
        <w:t>1β.</w:t>
      </w:r>
      <w:r w:rsidRPr="003B1220">
        <w:tab/>
      </w:r>
      <w:r w:rsidRPr="003B1220">
        <w:rPr>
          <w:b/>
          <w:i/>
        </w:rPr>
        <w:t>Για τους σκοπούς της παραγωγής πληθυσμιακών αναλύσεων ανά φύλο, οι εθνικές στατιστικές υπηρεσίες χρησιμοποιούν τις πληροφορίες που είναι διαθέσιμες σε εθνικές πηγές διοικητικών στοιχείων.</w:t>
      </w:r>
    </w:p>
    <w:p w:rsidR="00621AFB" w:rsidRPr="003B1220" w:rsidRDefault="00621AFB" w:rsidP="00621AFB">
      <w:pPr>
        <w:spacing w:before="120" w:after="120" w:line="360" w:lineRule="auto"/>
        <w:ind w:left="850" w:hanging="850"/>
        <w:rPr>
          <w:szCs w:val="24"/>
        </w:rPr>
      </w:pPr>
      <w:r w:rsidRPr="003B1220">
        <w:t>2.</w:t>
      </w:r>
      <w:r w:rsidRPr="003B1220">
        <w:tab/>
        <w:t xml:space="preserve">Για τους σκοπούς του παρόντος κανονισμού, επιτρέπεται στην Επιτροπή (Eurostat), κατόπιν αιτήματος, να έχει πρόσβαση και να επαναχρησιμοποιεί εγκαίρως σχετικά δεδομένα και μεταδεδομένα από βάσεις δεδομένων και συστήματα διαλειτουργικότητας που τηρούν τα όργανα και οι οργανισμοί της Ένωσης, μεταξύ άλλων δυνάμει των κανονισμών (ΕΕ) αριθ. 910/2014 και (ΕΕ) 2018/1724, και στατιστικά στοιχεία που αποθηκεύονται στο κεντρικό αποθετήριο για την υποβολή </w:t>
      </w:r>
      <w:r w:rsidRPr="003B1220">
        <w:lastRenderedPageBreak/>
        <w:t>εκθέσεων και την κατάρτιση στατιστικών (CRRS).</w:t>
      </w:r>
      <w:r w:rsidRPr="003B1220">
        <w:rPr>
          <w:b/>
          <w:i/>
        </w:rPr>
        <w:t xml:space="preserve"> </w:t>
      </w:r>
      <w:r w:rsidRPr="003B1220">
        <w:rPr>
          <w:b/>
          <w:bCs/>
          <w:i/>
          <w:iCs/>
        </w:rPr>
        <w:t>Ειδικότερα, η Επιτροπή (Eurostat) έχει πρόσβαση στα δεδομένα από τα διαλειτουργικά συστήματα ΤΠ μεγάλης κλίμακας (LSIT) στον χώρο ελευθερίας, ασφάλειας και δικαιοσύνης από το CRRS,</w:t>
      </w:r>
      <w:r w:rsidRPr="003B1220">
        <w:t xml:space="preserve"> σύμφωνα με τους κανονισμούς (ΕΕ) 2019/817 και (ΕΕ) 2019/818 και τους κανονισμούς για τη θέσπιση των συστημάτων των οποίων τα στατιστικά δεδομένα είναι αποθηκευμένα στο CRRS. Για τον σκοπό αυτό, η Επιτροπή (Eurostat) συνεργάζεται περαιτέρω με τα αρμόδια όργανα και τους οργανισμούς της Ένωσης με σκοπό τον προσδιορισμό των εξατομικευμένων στατιστικών στοιχείων και μεταδεδομένων που απαιτούνται, όπου αυτό είναι δυνατόν βάσει του δικαίου της Ένωσης, για τις ευρωπαϊκές στατιστικές σχετικά με τον πληθυσμό και τη στέγαση, των επιχειρησιακών λεπτομερειών εφαρμογής για την παροχή τους και των απαραίτητων συνοδευτικών φυσικών και λογικών διασφαλίσεων.</w:t>
      </w:r>
    </w:p>
    <w:p w:rsidR="00621AFB" w:rsidRPr="003B1220" w:rsidRDefault="00621AFB" w:rsidP="00621AFB">
      <w:pPr>
        <w:spacing w:before="120" w:after="120" w:line="360" w:lineRule="auto"/>
        <w:jc w:val="center"/>
        <w:rPr>
          <w:szCs w:val="24"/>
        </w:rPr>
      </w:pPr>
      <w:r w:rsidRPr="003B1220">
        <w:t>Άρθρο 11</w:t>
      </w:r>
      <w:r w:rsidRPr="003B1220">
        <w:br/>
        <w:t>Κατάλογοι χωρών και εδαφών</w:t>
      </w:r>
    </w:p>
    <w:p w:rsidR="00621AFB" w:rsidRPr="003B1220" w:rsidRDefault="00621AFB" w:rsidP="00621AFB">
      <w:pPr>
        <w:spacing w:before="120" w:after="120" w:line="360" w:lineRule="auto"/>
        <w:ind w:left="850" w:hanging="850"/>
        <w:rPr>
          <w:szCs w:val="24"/>
        </w:rPr>
      </w:pPr>
      <w:r w:rsidRPr="003B1220">
        <w:t>1.</w:t>
      </w:r>
      <w:r w:rsidRPr="003B1220">
        <w:tab/>
        <w:t>Όταν τα σύνολα δεδομένων περιλαμβάνουν πληροφορίες ανά χώρα ή έδαφος, τα κράτη μέλη χρησιμοποιούν ειδικές κατανομές για τους σκοπούς του παρόντος κανονισμού και του κανονισμού (ΕΚ) αριθ. 862/2007.</w:t>
      </w:r>
    </w:p>
    <w:p w:rsidR="00621AFB" w:rsidRPr="003B1220" w:rsidRDefault="00621AFB" w:rsidP="00621AFB">
      <w:pPr>
        <w:spacing w:before="120" w:after="120" w:line="360" w:lineRule="auto"/>
        <w:ind w:left="850" w:hanging="850"/>
        <w:rPr>
          <w:szCs w:val="24"/>
        </w:rPr>
      </w:pPr>
      <w:r w:rsidRPr="003B1220">
        <w:t>2.</w:t>
      </w:r>
      <w:r w:rsidRPr="003B1220">
        <w:tab/>
        <w:t>Η Επιτροπή εκδίδει εκτελεστικές πράξεις που καθορίζουν ή επικαιροποιούν τους καταλόγους χωρών και εδαφών οι οποίοι εφαρμόζονται στις κατανομές των στατιστικών που καταρτίζονται δυνάμει του παρόντος κανονισμού. Οι εν λόγω εκτελεστικές πράξεις εκδίδονται σύμφωνα με τη διαδικασία εξέτασης που αναφέρεται στο άρθρο 18 παράγραφος 2 του παρόντος κανονισμού. ▌</w:t>
      </w:r>
    </w:p>
    <w:p w:rsidR="00621AFB" w:rsidRPr="003B1220" w:rsidRDefault="00621AFB" w:rsidP="00621AFB">
      <w:pPr>
        <w:spacing w:before="120" w:after="120" w:line="360" w:lineRule="auto"/>
        <w:ind w:left="850" w:hanging="850"/>
        <w:rPr>
          <w:szCs w:val="24"/>
        </w:rPr>
      </w:pPr>
      <w:r w:rsidRPr="003B1220">
        <w:t>3.</w:t>
      </w:r>
      <w:r w:rsidRPr="003B1220">
        <w:tab/>
        <w:t>Οι εκτελεστικές πράξεις που τροποποιούν πάνω από το ένα τρίτο των κατηγοριών κατανομής των χωρών ή εδαφών εφαρμόζονται το νωρίτερο 12 μήνες μετά την έναρξη ισχύος τους.</w:t>
      </w:r>
    </w:p>
    <w:p w:rsidR="00621AFB" w:rsidRPr="003B1220" w:rsidRDefault="00621AFB" w:rsidP="00621AFB">
      <w:pPr>
        <w:spacing w:before="120" w:after="120" w:line="360" w:lineRule="auto"/>
        <w:jc w:val="center"/>
        <w:rPr>
          <w:szCs w:val="24"/>
        </w:rPr>
      </w:pPr>
      <w:r w:rsidRPr="003B1220">
        <w:t>Άρθρο 12</w:t>
      </w:r>
      <w:r w:rsidRPr="003B1220">
        <w:br/>
        <w:t>Απαιτήσεις ποιότητας και υποβολή εκθέσεων ποιότητας</w:t>
      </w:r>
    </w:p>
    <w:p w:rsidR="00621AFB" w:rsidRPr="003B1220" w:rsidRDefault="00621AFB" w:rsidP="00621AFB">
      <w:pPr>
        <w:spacing w:before="120" w:after="120" w:line="360" w:lineRule="auto"/>
        <w:ind w:left="850" w:hanging="850"/>
        <w:rPr>
          <w:szCs w:val="24"/>
        </w:rPr>
      </w:pPr>
      <w:r w:rsidRPr="003B1220">
        <w:t>1.</w:t>
      </w:r>
      <w:r w:rsidRPr="003B1220">
        <w:tab/>
        <w:t xml:space="preserve">Τα κράτη μέλη λαμβάνουν τα αναγκαία μέτρα για την εξασφάλιση της ποιότητας των συνόλων δεδομένων και μεταδεδομένων </w:t>
      </w:r>
      <w:r w:rsidRPr="003B1220">
        <w:rPr>
          <w:b/>
          <w:bCs/>
          <w:i/>
          <w:iCs/>
        </w:rPr>
        <w:t>που διαβιβάζονται</w:t>
      </w:r>
      <w:r w:rsidRPr="003B1220">
        <w:t>.</w:t>
      </w:r>
    </w:p>
    <w:p w:rsidR="00621AFB" w:rsidRPr="003B1220" w:rsidRDefault="00621AFB" w:rsidP="00621AFB">
      <w:pPr>
        <w:spacing w:before="120" w:after="120" w:line="360" w:lineRule="auto"/>
        <w:ind w:left="850" w:hanging="850"/>
        <w:rPr>
          <w:szCs w:val="24"/>
        </w:rPr>
      </w:pPr>
      <w:r w:rsidRPr="003B1220">
        <w:t>2.</w:t>
      </w:r>
      <w:r w:rsidRPr="003B1220">
        <w:tab/>
        <w:t>Τα κράτη μέλη λαμβάνουν κατάλληλα και αποτελεσματικά μέτρα για:</w:t>
      </w:r>
    </w:p>
    <w:p w:rsidR="00621AFB" w:rsidRPr="003B1220" w:rsidRDefault="00621AFB" w:rsidP="00621AFB">
      <w:pPr>
        <w:spacing w:before="120" w:after="120" w:line="360" w:lineRule="auto"/>
        <w:ind w:left="1416" w:hanging="566"/>
        <w:rPr>
          <w:szCs w:val="24"/>
        </w:rPr>
      </w:pPr>
      <w:r w:rsidRPr="003B1220">
        <w:t>α)</w:t>
      </w:r>
      <w:r w:rsidRPr="003B1220">
        <w:tab/>
        <w:t xml:space="preserve">την εφαρμογή των κανόνων σχετικά με την πληθυσμιακή βάση, όπως </w:t>
      </w:r>
      <w:r w:rsidRPr="003B1220">
        <w:lastRenderedPageBreak/>
        <w:t>προβλέπονται στο άρθρο 3, ομοιόμορφα και ανεξάρτητα από τις χρησιμοποιούμενες πηγές δεδομένων·</w:t>
      </w:r>
    </w:p>
    <w:p w:rsidR="00621AFB" w:rsidRPr="003B1220" w:rsidRDefault="00621AFB" w:rsidP="00621AFB">
      <w:pPr>
        <w:spacing w:before="120" w:after="120" w:line="360" w:lineRule="auto"/>
        <w:ind w:left="1416" w:hanging="566"/>
        <w:rPr>
          <w:szCs w:val="24"/>
        </w:rPr>
      </w:pPr>
      <w:r w:rsidRPr="003B1220">
        <w:t>β)</w:t>
      </w:r>
      <w:r w:rsidRPr="003B1220">
        <w:tab/>
        <w:t>την αποτύπωση ή την εκτίμηση δυσπρόσιτων πληθυσμιακών ομάδων·</w:t>
      </w:r>
    </w:p>
    <w:p w:rsidR="00621AFB" w:rsidRPr="003B1220" w:rsidRDefault="00621AFB" w:rsidP="00621AFB">
      <w:pPr>
        <w:spacing w:before="120" w:after="120" w:line="360" w:lineRule="auto"/>
        <w:ind w:left="1416" w:hanging="566"/>
        <w:rPr>
          <w:szCs w:val="24"/>
        </w:rPr>
      </w:pPr>
      <w:r w:rsidRPr="003B1220">
        <w:t>γ)</w:t>
      </w:r>
      <w:r w:rsidRPr="003B1220">
        <w:tab/>
        <w:t>τον έλεγχο της πληρότητας και της ακρίβειας του καλυπτόμενου πληθυσμού σύμφωνα με το άρθρο 3·</w:t>
      </w:r>
    </w:p>
    <w:p w:rsidR="00621AFB" w:rsidRPr="003B1220" w:rsidRDefault="00621AFB" w:rsidP="00621AFB">
      <w:pPr>
        <w:spacing w:before="120" w:after="120" w:line="360" w:lineRule="auto"/>
        <w:ind w:left="1416" w:hanging="566"/>
        <w:rPr>
          <w:szCs w:val="24"/>
        </w:rPr>
      </w:pPr>
      <w:r w:rsidRPr="003B1220">
        <w:t>δ)</w:t>
      </w:r>
      <w:r w:rsidRPr="003B1220">
        <w:tab/>
        <w:t>την κατάρτιση πλαισίων κατάλληλων για τους σκοπούς του παρόντος κανονισμού και του άρθρου 12 του κανονισμού (ΕΕ) 2019/1700·</w:t>
      </w:r>
    </w:p>
    <w:p w:rsidR="00621AFB" w:rsidRPr="003B1220" w:rsidRDefault="00621AFB" w:rsidP="00621AFB">
      <w:pPr>
        <w:spacing w:before="120" w:after="120" w:line="360" w:lineRule="auto"/>
        <w:ind w:left="1416" w:hanging="566"/>
        <w:rPr>
          <w:szCs w:val="24"/>
        </w:rPr>
      </w:pPr>
      <w:r w:rsidRPr="003B1220">
        <w:t>ε)</w:t>
      </w:r>
      <w:r w:rsidRPr="003B1220">
        <w:tab/>
        <w:t xml:space="preserve">την αποφυγή πιθανών κινδύνων ελλιπούς ή διπλής μέτρησης που σχετίζονται με την ελεύθερη κυκλοφορία των προσώπων στην Ένωση, την πρόσβαση των προσώπων σε διασυνοριακές υπηρεσίες οι οποίες συνδέονται με δημογραφικά γεγονότα και τα δικαιώματα των προσώπων να αγοράζουν σε διασυνοριακή βάση, να κατέχουν και να χρησιμοποιούν κατοικίες σε ολόκληρη την Ένωση, </w:t>
      </w:r>
      <w:r w:rsidRPr="003B1220">
        <w:rPr>
          <w:b/>
          <w:bCs/>
          <w:i/>
          <w:iCs/>
        </w:rPr>
        <w:t>για παράδειγμα με την εισαγωγή ενιαίων ψηφιακών αναγνωριστικών</w:t>
      </w:r>
      <w:r w:rsidRPr="003B1220">
        <w:t>·</w:t>
      </w:r>
    </w:p>
    <w:p w:rsidR="00621AFB" w:rsidRPr="003B1220" w:rsidRDefault="00621AFB" w:rsidP="00621AFB">
      <w:pPr>
        <w:spacing w:before="120" w:after="120" w:line="360" w:lineRule="auto"/>
        <w:ind w:left="1416" w:hanging="566"/>
        <w:rPr>
          <w:szCs w:val="24"/>
        </w:rPr>
      </w:pPr>
      <w:proofErr w:type="spellStart"/>
      <w:r w:rsidRPr="003B1220">
        <w:t>στ</w:t>
      </w:r>
      <w:proofErr w:type="spellEnd"/>
      <w:r w:rsidRPr="003B1220">
        <w:t>)</w:t>
      </w:r>
      <w:r w:rsidRPr="003B1220">
        <w:tab/>
      </w:r>
      <w:r w:rsidRPr="003B1220">
        <w:rPr>
          <w:b/>
          <w:bCs/>
          <w:i/>
          <w:iCs/>
        </w:rPr>
        <w:t>την αποφυγή πιθανών κινδύνων ελλιπούς ή διπλής καταμέτρησης και την εξασφάλιση καλύτερης συγκρισιμότητας</w:t>
      </w:r>
      <w:r w:rsidRPr="003B1220">
        <w:t xml:space="preserve"> των μεταναστευτικών ροών·</w:t>
      </w:r>
    </w:p>
    <w:p w:rsidR="00621AFB" w:rsidRPr="003B1220" w:rsidRDefault="00621AFB" w:rsidP="00621AFB">
      <w:pPr>
        <w:spacing w:before="120" w:after="120" w:line="360" w:lineRule="auto"/>
        <w:ind w:left="1416" w:hanging="566"/>
        <w:rPr>
          <w:szCs w:val="24"/>
        </w:rPr>
      </w:pPr>
      <w:r w:rsidRPr="003B1220">
        <w:t>ζ)</w:t>
      </w:r>
      <w:r w:rsidRPr="003B1220">
        <w:tab/>
        <w:t>την παροχή στην Επιτροπή (Eurostat) όλων των δεδομένων που απαιτούνται για να διασφαλιστεί η πληρότητα των δημοσιευμένων ευρωπαϊκών στατιστικών.</w:t>
      </w:r>
    </w:p>
    <w:p w:rsidR="00621AFB" w:rsidRPr="003B1220" w:rsidRDefault="00621AFB" w:rsidP="00621AFB">
      <w:pPr>
        <w:spacing w:before="120" w:after="120" w:line="360" w:lineRule="auto"/>
        <w:ind w:left="851" w:hanging="851"/>
        <w:rPr>
          <w:szCs w:val="24"/>
        </w:rPr>
      </w:pPr>
      <w:r w:rsidRPr="003B1220">
        <w:rPr>
          <w:b/>
          <w:i/>
        </w:rPr>
        <w:t>2α.</w:t>
      </w:r>
      <w:r w:rsidRPr="003B1220">
        <w:tab/>
      </w:r>
      <w:r w:rsidRPr="003B1220">
        <w:rPr>
          <w:b/>
          <w:i/>
        </w:rPr>
        <w:t>Η Επιτροπή (Eurostat) αξιολογεί την ποιότητα των μεταδεδομένων που αφορούν τις προδιαγραφές και των στοιχείων με σκοπό, μεταξύ άλλων, τη δημοσίευσή τους στον ιστότοπό της σε εύχρηστη για τον χρήστη μορφή.</w:t>
      </w:r>
    </w:p>
    <w:p w:rsidR="00621AFB" w:rsidRPr="003B1220" w:rsidRDefault="00621AFB" w:rsidP="00621AFB">
      <w:pPr>
        <w:spacing w:before="120" w:after="120" w:line="360" w:lineRule="auto"/>
        <w:ind w:left="850" w:hanging="850"/>
        <w:rPr>
          <w:szCs w:val="24"/>
        </w:rPr>
      </w:pPr>
      <w:r w:rsidRPr="003B1220">
        <w:t>3.</w:t>
      </w:r>
      <w:r w:rsidRPr="003B1220">
        <w:tab/>
        <w:t>Τα κράτη μέλη διαβιβάζουν στην Επιτροπή (Eurostat), για πρώτη φορά έως τις 31 Μαρτίου 2027 και στη συνέχεια κάθε έτος που λήγει σε «0», «3» ή «7», έκθεση ποιότητας στην οποία περιγράφονται η ποιότητα των παρεχόμενων στατιστικών στοιχείων και οι στατιστικές διαδικασίες για τα σύνολα δεδομένων που παρασχέθηκαν κατά τη διάρκεια της περιόδου</w:t>
      </w:r>
      <w:r w:rsidRPr="003B1220">
        <w:rPr>
          <w:b/>
          <w:bCs/>
          <w:i/>
          <w:iCs/>
        </w:rPr>
        <w:t>.</w:t>
      </w:r>
      <w:r w:rsidRPr="003B1220">
        <w:rPr>
          <w:b/>
          <w:i/>
        </w:rPr>
        <w:t xml:space="preserve"> </w:t>
      </w:r>
      <w:r w:rsidRPr="003B1220">
        <w:rPr>
          <w:b/>
          <w:bCs/>
          <w:i/>
          <w:iCs/>
        </w:rPr>
        <w:t>Οι εν λόγω εκθέσεις ποιότητας περιλαμβάνουν πληροφορίες σχετικά με</w:t>
      </w:r>
      <w:r w:rsidRPr="003B1220">
        <w:t xml:space="preserve"> τις πηγές και τις μεθόδους δεδομένων που χρησιμοποιήθηκαν, την εφαρμογή των εννοιών και των ορισμών και τις σχετικές πιθανές επιπτώσεις στην ποιότητα των επιλεγμένων πηγών δεδομένων, τις αναθεωρήσεις των δεδομένων, τους λόγους και τις επιπτώσεις των εν λόγω αναθεωρήσεων, καθώς και τις μεθόδους ελέγχου της δημοσιοποίησης στατιστικών</w:t>
      </w:r>
      <w:r w:rsidRPr="003B1220">
        <w:rPr>
          <w:b/>
          <w:bCs/>
          <w:i/>
          <w:iCs/>
        </w:rPr>
        <w:t>.</w:t>
      </w:r>
      <w:r w:rsidRPr="003B1220">
        <w:rPr>
          <w:b/>
          <w:i/>
        </w:rPr>
        <w:t xml:space="preserve"> </w:t>
      </w:r>
      <w:r w:rsidRPr="003B1220">
        <w:rPr>
          <w:b/>
          <w:bCs/>
          <w:i/>
          <w:iCs/>
        </w:rPr>
        <w:lastRenderedPageBreak/>
        <w:t>Περιγράφουν επίσης λεπτομερώς τον τρόπο με τον οποίο τα κράτη μέλη έχουν εφαρμόσει τα μέτρα</w:t>
      </w:r>
      <w:r w:rsidRPr="003B1220">
        <w:t xml:space="preserve"> που αναφέρονται στην παράγραφο</w:t>
      </w:r>
      <w:r w:rsidRPr="003B1220">
        <w:rPr>
          <w:b/>
          <w:bCs/>
          <w:i/>
          <w:iCs/>
        </w:rPr>
        <w:t xml:space="preserve"> 1 και τον τρόπο με τον οποίο πληρούνται τα κριτήρια ποιότητας που αναφέρονται στην παράγραφο 2.</w:t>
      </w:r>
    </w:p>
    <w:p w:rsidR="00621AFB" w:rsidRPr="003B1220" w:rsidRDefault="00621AFB" w:rsidP="00621AFB">
      <w:pPr>
        <w:spacing w:before="120" w:after="120" w:line="360" w:lineRule="auto"/>
        <w:ind w:left="850" w:hanging="850"/>
        <w:rPr>
          <w:szCs w:val="24"/>
        </w:rPr>
      </w:pPr>
      <w:r w:rsidRPr="003B1220">
        <w:t>4.</w:t>
      </w:r>
      <w:r w:rsidRPr="003B1220">
        <w:tab/>
        <w:t xml:space="preserve">Η Επιτροπή εκδίδει εκτελεστικές πράξεις στις οποίες καθορίζονται οι πρακτικές ρυθμίσεις για τις εκθέσεις ποιότητας και το περιεχόμενό τους. </w:t>
      </w:r>
    </w:p>
    <w:p w:rsidR="00621AFB" w:rsidRPr="003B1220" w:rsidRDefault="00621AFB" w:rsidP="00621AFB">
      <w:pPr>
        <w:spacing w:before="120" w:after="120" w:line="360" w:lineRule="auto"/>
        <w:ind w:left="850" w:hanging="130"/>
        <w:rPr>
          <w:szCs w:val="24"/>
        </w:rPr>
      </w:pPr>
      <w:r w:rsidRPr="003B1220">
        <w:t>Οι εν λόγω εκτελεστικές πράξεις</w:t>
      </w:r>
      <w:r w:rsidRPr="003B1220">
        <w:rPr>
          <w:b/>
          <w:bCs/>
          <w:i/>
          <w:iCs/>
        </w:rPr>
        <w:t xml:space="preserve"> δεν επιβάλλουν σημαντική πρόσθετη επιβάρυνση και κόστος στα κράτη μέλη.</w:t>
      </w:r>
      <w:r w:rsidRPr="003B1220">
        <w:t xml:space="preserve"> </w:t>
      </w:r>
    </w:p>
    <w:p w:rsidR="00621AFB" w:rsidRPr="003B1220" w:rsidRDefault="00621AFB" w:rsidP="00621AFB">
      <w:pPr>
        <w:spacing w:before="120" w:after="120" w:line="360" w:lineRule="auto"/>
        <w:ind w:left="850" w:hanging="130"/>
        <w:rPr>
          <w:szCs w:val="24"/>
        </w:rPr>
      </w:pPr>
      <w:r w:rsidRPr="003B1220">
        <w:t>Θεσπίζονται σύμφωνα με τη διαδικασία εξέτασης που αναφέρεται στο άρθρο 18 παράγραφος 2.</w:t>
      </w:r>
    </w:p>
    <w:p w:rsidR="00621AFB" w:rsidRPr="003B1220" w:rsidRDefault="00621AFB" w:rsidP="00621AFB">
      <w:pPr>
        <w:spacing w:before="120" w:after="120" w:line="360" w:lineRule="auto"/>
        <w:ind w:left="850" w:hanging="850"/>
        <w:rPr>
          <w:szCs w:val="24"/>
        </w:rPr>
      </w:pPr>
      <w:r w:rsidRPr="003B1220">
        <w:rPr>
          <w:b/>
          <w:i/>
        </w:rPr>
        <w:t>4α.</w:t>
      </w:r>
      <w:r w:rsidRPr="003B1220">
        <w:tab/>
      </w:r>
      <w:r w:rsidRPr="003B1220">
        <w:rPr>
          <w:b/>
          <w:i/>
        </w:rPr>
        <w:t>Κάθε σημαντική προσαρμογή που προβλέπεται από τις εν λόγω εκτελεστικές πράξεις μπορεί να αποτελέσει αντικείμενο χρηματοδοτικής και τεχνικής υποστήριξης σύμφωνα με το άρθρο 15 ή παρέκκλισης σύμφωνα με το άρθρο 19 παράγραφος 1α.</w:t>
      </w:r>
    </w:p>
    <w:p w:rsidR="00621AFB" w:rsidRPr="003B1220" w:rsidRDefault="00621AFB" w:rsidP="00621AFB">
      <w:pPr>
        <w:spacing w:before="120" w:after="120" w:line="360" w:lineRule="auto"/>
        <w:ind w:left="850" w:hanging="850"/>
        <w:rPr>
          <w:szCs w:val="24"/>
        </w:rPr>
      </w:pPr>
      <w:r w:rsidRPr="003B1220">
        <w:t>5.</w:t>
      </w:r>
      <w:r w:rsidRPr="003B1220">
        <w:tab/>
        <w:t>Τα κράτη μέλη ενημερώνουν την Επιτροπή (Eurostat), το συντομότερο δυνατόν, σχετικά με οποιεσδήποτε σχετικές πληροφορίες ή αλλαγές όσον αφορά την εφαρμογή του παρόντος κανονισμού που θα μπορούσαν να επηρεάσουν την ποιότητα των παρεχόμενων στατιστικών</w:t>
      </w:r>
      <w:r w:rsidRPr="003B1220">
        <w:rPr>
          <w:b/>
          <w:bCs/>
          <w:i/>
          <w:iCs/>
        </w:rPr>
        <w:t xml:space="preserve"> και λαμβάνουν μέτρα για την επίλυση του ζητήματος χωρίς αδικαιολόγητη καθυστέρηση.</w:t>
      </w:r>
    </w:p>
    <w:p w:rsidR="00621AFB" w:rsidRPr="003B1220" w:rsidRDefault="00621AFB" w:rsidP="00621AFB">
      <w:pPr>
        <w:spacing w:before="120" w:after="120" w:line="360" w:lineRule="auto"/>
        <w:ind w:left="850" w:hanging="850"/>
        <w:rPr>
          <w:szCs w:val="24"/>
        </w:rPr>
      </w:pPr>
      <w:r w:rsidRPr="003B1220">
        <w:t>6.</w:t>
      </w:r>
      <w:r w:rsidRPr="003B1220">
        <w:tab/>
        <w:t>Έπειτα από</w:t>
      </w:r>
      <w:r w:rsidRPr="003B1220">
        <w:rPr>
          <w:b/>
          <w:bCs/>
          <w:i/>
          <w:iCs/>
        </w:rPr>
        <w:t xml:space="preserve"> δεόντως αιτιολογημένο</w:t>
      </w:r>
      <w:r w:rsidRPr="003B1220">
        <w:t xml:space="preserve"> αίτημα της Επιτροπής (Eurostat), τα κράτη μέλη παρέχουν, χωρίς αδικαιολόγητη καθυστέρηση, τις αναγκαίες πρόσθετες διευκρινίσεις για την αξιολόγηση της ποιότητας </w:t>
      </w:r>
      <w:r w:rsidRPr="003B1220">
        <w:rPr>
          <w:b/>
          <w:bCs/>
          <w:i/>
          <w:iCs/>
        </w:rPr>
        <w:t>των στατιστικών πληροφοριών, όπως τα αποτελέσματα της αξιολόγησης των πηγών δεδομένων και η τεκμηρίωση των μεθόδων.</w:t>
      </w:r>
    </w:p>
    <w:p w:rsidR="00621AFB" w:rsidRPr="003B1220" w:rsidRDefault="00621AFB" w:rsidP="00621AFB">
      <w:pPr>
        <w:spacing w:before="120" w:after="120" w:line="360" w:lineRule="auto"/>
        <w:jc w:val="center"/>
        <w:rPr>
          <w:szCs w:val="24"/>
        </w:rPr>
      </w:pPr>
      <w:r w:rsidRPr="003B1220">
        <w:t>Άρθρο 13</w:t>
      </w:r>
      <w:r w:rsidRPr="003B1220">
        <w:br/>
        <w:t>Ανταλλαγή δεδομένων</w:t>
      </w:r>
    </w:p>
    <w:p w:rsidR="00621AFB" w:rsidRPr="003B1220" w:rsidRDefault="00621AFB" w:rsidP="00621AFB">
      <w:pPr>
        <w:spacing w:before="120" w:after="120" w:line="360" w:lineRule="auto"/>
        <w:ind w:left="850" w:hanging="850"/>
        <w:rPr>
          <w:szCs w:val="24"/>
        </w:rPr>
      </w:pPr>
      <w:r w:rsidRPr="003B1220">
        <w:t>1.</w:t>
      </w:r>
      <w:r w:rsidRPr="003B1220">
        <w:tab/>
      </w:r>
      <w:r w:rsidRPr="003B1220">
        <w:rPr>
          <w:b/>
          <w:bCs/>
          <w:i/>
          <w:iCs/>
        </w:rPr>
        <w:t>Σκοπός της ανταλλαγής δεδομένων μεταξύ των εθνικών στατιστικών υπηρεσιών και άλλων εθνικών αρχών που περιλαμβάνονται στον κατάλογο που αναφέρεται στο άρθρο 5 παράγραφος 2 του κανονισμού (ΕΚ) αριθ. 223/2009 (εθνικές στατιστικές αρχές)</w:t>
      </w:r>
      <w:r w:rsidRPr="003B1220">
        <w:rPr>
          <w:b/>
          <w:bCs/>
        </w:rPr>
        <w:t xml:space="preserve"> </w:t>
      </w:r>
      <w:r w:rsidRPr="003B1220">
        <w:t xml:space="preserve">και μεταξύ των εν λόγω </w:t>
      </w:r>
      <w:r w:rsidRPr="003B1220">
        <w:rPr>
          <w:b/>
          <w:bCs/>
          <w:i/>
          <w:iCs/>
        </w:rPr>
        <w:t>εθνικών στατιστικών αρχών</w:t>
      </w:r>
      <w:r w:rsidRPr="003B1220">
        <w:t xml:space="preserve"> και της Επιτροπής (Eurostat) είναι </w:t>
      </w:r>
      <w:r w:rsidRPr="003B1220">
        <w:rPr>
          <w:b/>
          <w:bCs/>
          <w:i/>
          <w:iCs/>
        </w:rPr>
        <w:t>αποκλειστικά</w:t>
      </w:r>
      <w:r w:rsidRPr="003B1220">
        <w:t xml:space="preserve"> η ανάπτυξη και παραγωγή ευρωπαϊκών στατιστικών που εμπίπτουν στο πεδίο εφαρμογής του παρόντος κανονισμού και η </w:t>
      </w:r>
      <w:r w:rsidRPr="003B1220">
        <w:lastRenderedPageBreak/>
        <w:t>βελτίωση της ποιότητάς τους.</w:t>
      </w:r>
    </w:p>
    <w:p w:rsidR="00621AFB" w:rsidRPr="003B1220" w:rsidRDefault="00621AFB" w:rsidP="00621AFB">
      <w:pPr>
        <w:spacing w:before="120" w:after="120" w:line="360" w:lineRule="auto"/>
        <w:ind w:left="850" w:hanging="850"/>
        <w:rPr>
          <w:szCs w:val="24"/>
        </w:rPr>
      </w:pPr>
      <w:r w:rsidRPr="003B1220">
        <w:t>2.</w:t>
      </w:r>
      <w:r w:rsidRPr="003B1220">
        <w:tab/>
        <w:t xml:space="preserve">Προκειμένου να διασφαλίζεται η ασφάλεια της ανταλλαγής δεδομένων στο πλαίσιο του ΕΣΣ, λαμβάνονται όλες οι αναγκαίες εγγυήσεις, </w:t>
      </w:r>
      <w:r w:rsidRPr="003B1220">
        <w:rPr>
          <w:b/>
          <w:bCs/>
          <w:i/>
          <w:iCs/>
        </w:rPr>
        <w:t>συμπεριλαμβανομένης μιας ασφαλούς υποδομής ανταλλαγής δεδομένων,</w:t>
      </w:r>
      <w:r w:rsidRPr="003B1220">
        <w:t xml:space="preserve"> όσον αφορά τη φυσική, τεχνική και λογική προστασία των δεδομένων. Η Επιτροπή (Eurostat) δημιουργεί ασφαλή υποδομή για τη διευκόλυνση της ανταλλαγής δεδομένων που αναφέρεται στην παράγραφο 1. ▌Οι εθνικές</w:t>
      </w:r>
      <w:r w:rsidRPr="003B1220">
        <w:rPr>
          <w:b/>
          <w:bCs/>
          <w:i/>
          <w:iCs/>
        </w:rPr>
        <w:t xml:space="preserve"> στατιστικές</w:t>
      </w:r>
      <w:r w:rsidRPr="003B1220">
        <w:t xml:space="preserve"> υπηρεσίες</w:t>
      </w:r>
      <w:r w:rsidRPr="003B1220">
        <w:rPr>
          <w:b/>
          <w:bCs/>
          <w:i/>
          <w:iCs/>
        </w:rPr>
        <w:t xml:space="preserve"> δύνανται να χρησιμοποιούν αυτήν την ασφαλή υποδομή ανταλλαγής δεδομένων για τον σκοπό που προσδιορίζεται στην παράγραφο 1.</w:t>
      </w:r>
      <w:r w:rsidRPr="003B1220">
        <w:rPr>
          <w:b/>
          <w:i/>
        </w:rPr>
        <w:t xml:space="preserve"> </w:t>
      </w:r>
      <w:r w:rsidRPr="003B1220">
        <w:rPr>
          <w:b/>
          <w:bCs/>
          <w:i/>
          <w:iCs/>
        </w:rPr>
        <w:t>Η Επιτροπή (Eurostat) και οι εθνικές στατιστικές υπηρεσίες που</w:t>
      </w:r>
      <w:r w:rsidRPr="003B1220">
        <w:rPr>
          <w:b/>
          <w:bCs/>
        </w:rPr>
        <w:t xml:space="preserve"> </w:t>
      </w:r>
      <w:r w:rsidRPr="003B1220">
        <w:t xml:space="preserve">χρησιμοποιούν αυτή την ασφαλή υποδομή ανταλλαγής δεδομένων </w:t>
      </w:r>
      <w:r w:rsidRPr="003B1220">
        <w:rPr>
          <w:b/>
          <w:bCs/>
          <w:i/>
          <w:iCs/>
        </w:rPr>
        <w:t>για την επεξεργασία δεδομένων προσωπικού χαρακτήρα σύμφωνα με την παράγραφο 3 θεωρούνται από κοινού υπεύθυνοι για την εν λόγω επεξεργασία.</w:t>
      </w:r>
      <w:r w:rsidRPr="003B1220">
        <w:rPr>
          <w:b/>
          <w:i/>
        </w:rPr>
        <w:t xml:space="preserve"> </w:t>
      </w:r>
      <w:r w:rsidRPr="003B1220">
        <w:rPr>
          <w:b/>
          <w:bCs/>
          <w:i/>
          <w:iCs/>
        </w:rPr>
        <w:t>Σε περίπτωση που οι εθνικές στατιστικές υπηρεσίες χρησιμοποιούν άλλη υποδομή ανταλλαγής δεδομένων διασφαλίζουν ότι η εν λόγω υποδομή παρέχει τουλάχιστον ισοδύναμη ασφάλεια με εκείνη που έχει δημιουργήσει η Επιτροπή (Eurostat).</w:t>
      </w:r>
    </w:p>
    <w:p w:rsidR="00621AFB" w:rsidRPr="003B1220" w:rsidRDefault="00621AFB" w:rsidP="00621AFB">
      <w:pPr>
        <w:spacing w:before="120" w:after="120" w:line="360" w:lineRule="auto"/>
        <w:ind w:left="850" w:hanging="850"/>
        <w:rPr>
          <w:szCs w:val="24"/>
        </w:rPr>
      </w:pPr>
      <w:r w:rsidRPr="003B1220">
        <w:t>3.</w:t>
      </w:r>
      <w:r w:rsidRPr="003B1220">
        <w:tab/>
        <w:t>Όταν τα οικεία δεδομένα είναι απόρρητα στοιχεία κατά την έννοια του άρθρου 3 σημείο 7 του κανονισμού (ΕΚ) αριθ. 223/2009 ή δεδομένα προσωπικού χαρακτήρα σύμφωνα με τους κανονισμούς (ΕΕ) 2016/679 και (ΕΕ) 2018/1725, η ανταλλαγή των εν λόγω δεδομένων ▌ δύναται να πραγματοποιείται σε εθελοντική βάση, υπό την προϋπόθεση ότι:</w:t>
      </w:r>
    </w:p>
    <w:p w:rsidR="00621AFB" w:rsidRPr="003B1220" w:rsidRDefault="00621AFB" w:rsidP="00621AFB">
      <w:pPr>
        <w:spacing w:before="120" w:after="120" w:line="360" w:lineRule="auto"/>
        <w:ind w:left="1416" w:hanging="566"/>
        <w:rPr>
          <w:szCs w:val="24"/>
        </w:rPr>
      </w:pPr>
      <w:r w:rsidRPr="003B1220">
        <w:t>α)</w:t>
      </w:r>
      <w:r w:rsidRPr="003B1220">
        <w:tab/>
        <w:t>βασίζεται σε αίτημα που αιτιολογεί την ανάγκη ανταλλαγής των δεδομένων σε κάθε επιμέρους περίπτωση, ειδικότερα όσον αφορά τα ζητήματα ποιότητας που πρέπει να εξετάζονται ειδικά·</w:t>
      </w:r>
    </w:p>
    <w:p w:rsidR="00621AFB" w:rsidRPr="003B1220" w:rsidRDefault="00621AFB" w:rsidP="00621AFB">
      <w:pPr>
        <w:spacing w:before="120" w:after="120" w:line="360" w:lineRule="auto"/>
        <w:ind w:left="1416" w:hanging="566"/>
        <w:rPr>
          <w:szCs w:val="24"/>
        </w:rPr>
      </w:pPr>
      <w:r w:rsidRPr="003B1220">
        <w:t>β)</w:t>
      </w:r>
      <w:r w:rsidRPr="003B1220">
        <w:tab/>
        <w:t>βασίζεται ▌ κατά προτίμηση σε τεχνολογίες που ενισχύουν την προστασία της ιδιωτικής ζωής και είναι ειδικά σχεδιασμένες για την εφαρμογή των αρχών των κανονισμών (ΕΕ) 2016/679 και (ΕΕ) 2018/1725, ιδίως όσον αφορά τον περιορισμό του σκοπού, την ελαχιστοποίηση των δεδομένων, τον περιορισμό της περιόδου αποθήκευσης, καθώς και την ακεραιότητα και εμπιστευτικότητα·</w:t>
      </w:r>
    </w:p>
    <w:p w:rsidR="00621AFB" w:rsidRPr="003B1220" w:rsidRDefault="00621AFB" w:rsidP="00621AFB">
      <w:pPr>
        <w:spacing w:before="120" w:after="120" w:line="360" w:lineRule="auto"/>
        <w:ind w:left="1416" w:hanging="566"/>
        <w:rPr>
          <w:szCs w:val="24"/>
        </w:rPr>
      </w:pPr>
      <w:r w:rsidRPr="003B1220">
        <w:t>γ)</w:t>
      </w:r>
      <w:r w:rsidRPr="003B1220">
        <w:tab/>
        <w:t>πραγματοποιείται με την επιφύλαξη του κεφαλαίου V του κανονισμού (ΕΚ) αριθ. 223/2009.</w:t>
      </w:r>
    </w:p>
    <w:p w:rsidR="00621AFB" w:rsidRPr="003B1220" w:rsidRDefault="00621AFB" w:rsidP="00A943B6">
      <w:pPr>
        <w:spacing w:before="120" w:after="120" w:line="360" w:lineRule="auto"/>
        <w:ind w:left="850" w:hanging="850"/>
        <w:rPr>
          <w:szCs w:val="24"/>
        </w:rPr>
      </w:pPr>
      <w:r w:rsidRPr="003B1220">
        <w:rPr>
          <w:b/>
          <w:i/>
        </w:rPr>
        <w:t>3α.</w:t>
      </w:r>
      <w:r w:rsidRPr="003B1220">
        <w:tab/>
      </w:r>
      <w:r w:rsidRPr="003B1220">
        <w:rPr>
          <w:b/>
          <w:i/>
        </w:rPr>
        <w:t xml:space="preserve">Για τους σκοπούς της ανταλλαγής στοιχείων που αναφέρεται στην παράγραφο 1, τα μη εμπιστευτικά στοιχεία ανταλλάσσονται μεταξύ των εθνικών στατιστικών </w:t>
      </w:r>
      <w:r w:rsidRPr="003B1220">
        <w:rPr>
          <w:b/>
          <w:i/>
        </w:rPr>
        <w:lastRenderedPageBreak/>
        <w:t>υπηρεσιών και άλλων εθνικών αρχών διαφορετικών κρατών μελών και μεταξύ των εν λόγω εθνικών στατιστικών αρχών και της Επιτροπής (Eurostat).</w:t>
      </w:r>
    </w:p>
    <w:p w:rsidR="00621AFB" w:rsidRPr="003B1220" w:rsidRDefault="00621AFB" w:rsidP="00621AFB">
      <w:pPr>
        <w:spacing w:before="120" w:after="120" w:line="360" w:lineRule="auto"/>
        <w:ind w:left="850" w:hanging="850"/>
        <w:rPr>
          <w:szCs w:val="24"/>
        </w:rPr>
      </w:pPr>
      <w:r w:rsidRPr="003B1220">
        <w:t>4.</w:t>
      </w:r>
      <w:r w:rsidRPr="003B1220">
        <w:tab/>
        <w:t xml:space="preserve">Η Επιτροπή (Eurostat) και τα κράτη μέλη δοκιμάζουν και αξιολογούν μέσω πιλοτικών μελετών </w:t>
      </w:r>
      <w:r w:rsidRPr="003B1220">
        <w:rPr>
          <w:b/>
          <w:bCs/>
          <w:i/>
          <w:iCs/>
        </w:rPr>
        <w:t>τις υποδομές και</w:t>
      </w:r>
      <w:r w:rsidRPr="003B1220">
        <w:t xml:space="preserve"> την καταλληλότητα των σχετικών τεχνολογιών για την ενίσχυση της προστασίας της ιδιωτικής ζωής όσον αφορά την ανταλλαγή δεδομένων.</w:t>
      </w:r>
    </w:p>
    <w:p w:rsidR="00621AFB" w:rsidRPr="003B1220" w:rsidRDefault="00621AFB" w:rsidP="00621AFB">
      <w:pPr>
        <w:spacing w:before="120" w:after="120" w:line="360" w:lineRule="auto"/>
        <w:ind w:left="850" w:hanging="850"/>
        <w:rPr>
          <w:szCs w:val="24"/>
        </w:rPr>
      </w:pPr>
      <w:r w:rsidRPr="003B1220">
        <w:t>5.</w:t>
      </w:r>
      <w:r w:rsidRPr="003B1220">
        <w:tab/>
        <w:t>Όταν οι πιλοτικές μελέτες που διεξάγονται σύμφωνα με την παράγραφο 4 του παρόντος άρθρου προσδιορίζουν αποτελεσματικές και ασφαλείς λύσεις ανταλλαγής δεδομένων για τους σκοπούς που αναφέρονται στην παράγραφο 1 του παρόντος άρθρου, η Επιτροπή δύναται να εκδίδει εκτελεστικές πράξεις στις οποίες καθορίζονται τεχνικές προδιαγραφές για την ανταλλαγή δεδομένων και μέτρα για την εμπιστευτικότητα και την ασφάλεια των πληροφοριών. Οι εν λόγω εκτελεστικές πράξεις εκδίδονται σύμφωνα με τη διαδικασία εξέτασης που αναφέρεται στο άρθρο 18 παράγραφος 2.</w:t>
      </w:r>
    </w:p>
    <w:p w:rsidR="00621AFB" w:rsidRPr="003B1220" w:rsidRDefault="00621AFB" w:rsidP="00621AFB">
      <w:pPr>
        <w:spacing w:before="120" w:after="120" w:line="360" w:lineRule="auto"/>
        <w:jc w:val="center"/>
        <w:rPr>
          <w:szCs w:val="24"/>
        </w:rPr>
      </w:pPr>
      <w:r w:rsidRPr="003B1220">
        <w:t>Άρθρο 14</w:t>
      </w:r>
      <w:r w:rsidRPr="003B1220">
        <w:br/>
        <w:t>Πιλοτικές μελέτες και μελέτες σκοπιμότητας</w:t>
      </w:r>
    </w:p>
    <w:p w:rsidR="00621AFB" w:rsidRPr="003B1220" w:rsidRDefault="00621AFB" w:rsidP="00621AFB">
      <w:pPr>
        <w:spacing w:before="120" w:after="120" w:line="360" w:lineRule="auto"/>
        <w:ind w:left="850" w:hanging="850"/>
        <w:rPr>
          <w:szCs w:val="24"/>
        </w:rPr>
      </w:pPr>
      <w:r w:rsidRPr="003B1220">
        <w:t>1.</w:t>
      </w:r>
      <w:r w:rsidRPr="003B1220">
        <w:tab/>
        <w:t>Η Επιτροπή (Eurostat), όπου είναι αναγκαίο και σκόπιμο για τους σκοπούς του παρόντος κανονισμού, δρομολογεί πιλοτικές μελέτες και μελέτες σκοπιμότητας με στόχο:</w:t>
      </w:r>
    </w:p>
    <w:p w:rsidR="00621AFB" w:rsidRPr="003B1220" w:rsidRDefault="00621AFB" w:rsidP="00621AFB">
      <w:pPr>
        <w:spacing w:before="120" w:after="120" w:line="360" w:lineRule="auto"/>
        <w:ind w:left="1416" w:hanging="566"/>
        <w:rPr>
          <w:szCs w:val="24"/>
        </w:rPr>
      </w:pPr>
      <w:r w:rsidRPr="003B1220">
        <w:t>α)</w:t>
      </w:r>
      <w:r w:rsidRPr="003B1220">
        <w:tab/>
        <w:t>την αξιολόγηση της διαθεσιμότητας των πηγών δεδομένων και της ποιότητάς τους, συμπεριλαμβανομένων των δεδομένων που βρίσκονται στην κατοχή δημόσιων και ιδιωτικών φορέων στα κράτη μέλη και σε επίπεδο Ένωσης·</w:t>
      </w:r>
    </w:p>
    <w:p w:rsidR="00621AFB" w:rsidRPr="003B1220" w:rsidRDefault="00621AFB" w:rsidP="00621AFB">
      <w:pPr>
        <w:spacing w:before="120" w:after="120" w:line="360" w:lineRule="auto"/>
        <w:ind w:left="1416" w:hanging="566"/>
        <w:rPr>
          <w:szCs w:val="24"/>
        </w:rPr>
      </w:pPr>
      <w:r w:rsidRPr="003B1220">
        <w:t>β)</w:t>
      </w:r>
      <w:r w:rsidRPr="003B1220">
        <w:tab/>
        <w:t>την κατάρτιση, καθώς και την αξιολόγηση της σκοπιμότητας της εφαρμογής νέων ▌ λεπτομερών θεμάτων, στατιστικών μονάδων, μεταβλητών και των κατανομών τους·</w:t>
      </w:r>
    </w:p>
    <w:p w:rsidR="00621AFB" w:rsidRPr="003B1220" w:rsidRDefault="00621AFB" w:rsidP="00621AFB">
      <w:pPr>
        <w:spacing w:before="120" w:after="120" w:line="360" w:lineRule="auto"/>
        <w:ind w:left="1416" w:hanging="566"/>
        <w:rPr>
          <w:szCs w:val="24"/>
        </w:rPr>
      </w:pPr>
      <w:proofErr w:type="spellStart"/>
      <w:r w:rsidRPr="003B1220">
        <w:rPr>
          <w:b/>
          <w:i/>
        </w:rPr>
        <w:t>βα</w:t>
      </w:r>
      <w:proofErr w:type="spellEnd"/>
      <w:r w:rsidRPr="003B1220">
        <w:rPr>
          <w:b/>
          <w:i/>
        </w:rPr>
        <w:t>)</w:t>
      </w:r>
      <w:r w:rsidRPr="003B1220">
        <w:tab/>
      </w:r>
      <w:r w:rsidRPr="003B1220">
        <w:rPr>
          <w:b/>
          <w:i/>
        </w:rPr>
        <w:t>την αξιολόγηση της διαθεσιμότητας πηγών δεδομένων και την ενίσχυση μεθόδων για την παροχή στατιστικών σχετικά με την αναπηρία των ατόμων και τον έλεγχο αναλυτικών στατιστικών, συμπεριλαμβανομένης της συγκρισιμότητάς τους, σύμφωνα με την εθνική νομοθεσία και πρακτική για την προστασία των δεδομένων και τον έλεγχο της δημοσιοποίησης·</w:t>
      </w:r>
    </w:p>
    <w:p w:rsidR="00621AFB" w:rsidRPr="003B1220" w:rsidRDefault="00621AFB" w:rsidP="00621AFB">
      <w:pPr>
        <w:spacing w:before="120" w:after="120" w:line="360" w:lineRule="auto"/>
        <w:ind w:left="1416" w:hanging="566"/>
        <w:rPr>
          <w:szCs w:val="24"/>
        </w:rPr>
      </w:pPr>
      <w:r w:rsidRPr="003B1220">
        <w:t>γ)</w:t>
      </w:r>
      <w:r w:rsidRPr="003B1220">
        <w:tab/>
        <w:t xml:space="preserve">την ανάπτυξη νέων μεθοδολογιών και στατιστικών τεχνικών για την ενίσχυση </w:t>
      </w:r>
      <w:r w:rsidRPr="003B1220">
        <w:lastRenderedPageBreak/>
        <w:t>της ποιότητας</w:t>
      </w:r>
      <w:r w:rsidRPr="003B1220">
        <w:rPr>
          <w:b/>
          <w:bCs/>
          <w:i/>
          <w:iCs/>
        </w:rPr>
        <w:t xml:space="preserve"> και τη βελτίωση της πληροφόρησης σχετικά με δυσπρόσιτους πληθυσμούς·</w:t>
      </w:r>
    </w:p>
    <w:p w:rsidR="00621AFB" w:rsidRPr="003B1220" w:rsidRDefault="00621AFB" w:rsidP="00621AFB">
      <w:pPr>
        <w:spacing w:before="120" w:after="120" w:line="360" w:lineRule="auto"/>
        <w:ind w:left="1416" w:hanging="566"/>
        <w:rPr>
          <w:szCs w:val="24"/>
        </w:rPr>
      </w:pPr>
      <w:r w:rsidRPr="003B1220">
        <w:t>δ)</w:t>
      </w:r>
      <w:r w:rsidRPr="003B1220">
        <w:tab/>
        <w:t>τη μείωση</w:t>
      </w:r>
      <w:r w:rsidRPr="003B1220">
        <w:rPr>
          <w:b/>
          <w:bCs/>
          <w:i/>
          <w:iCs/>
        </w:rPr>
        <w:t xml:space="preserve"> των αποκλίσεων στα δεδομένα</w:t>
      </w:r>
      <w:r w:rsidRPr="003B1220">
        <w:t xml:space="preserve"> σχετικά με τις μεταναστευτικές ροές</w:t>
      </w:r>
      <w:r w:rsidRPr="003B1220">
        <w:rPr>
          <w:b/>
          <w:bCs/>
          <w:i/>
          <w:iCs/>
        </w:rPr>
        <w:t xml:space="preserve"> και τη διασφάλιση της καλύτερης συγκρισιμότητάς τους·</w:t>
      </w:r>
    </w:p>
    <w:p w:rsidR="00621AFB" w:rsidRPr="003B1220" w:rsidRDefault="00621AFB" w:rsidP="00621AFB">
      <w:pPr>
        <w:spacing w:before="120" w:after="120" w:line="360" w:lineRule="auto"/>
        <w:ind w:left="1416" w:hanging="566"/>
        <w:rPr>
          <w:szCs w:val="24"/>
        </w:rPr>
      </w:pPr>
      <w:r w:rsidRPr="003B1220">
        <w:rPr>
          <w:b/>
          <w:i/>
        </w:rPr>
        <w:t>δα)</w:t>
      </w:r>
      <w:r w:rsidRPr="003B1220">
        <w:tab/>
      </w:r>
      <w:r w:rsidRPr="003B1220">
        <w:rPr>
          <w:b/>
          <w:i/>
        </w:rPr>
        <w:t>τη μείωση των πιθανοτήτων ελλιπούς ή διπλής καταμέτρησης των ατόμων·</w:t>
      </w:r>
    </w:p>
    <w:p w:rsidR="00621AFB" w:rsidRPr="003B1220" w:rsidRDefault="00621AFB" w:rsidP="00621AFB">
      <w:pPr>
        <w:spacing w:before="120" w:after="120" w:line="360" w:lineRule="auto"/>
        <w:ind w:left="1416" w:hanging="566"/>
        <w:rPr>
          <w:szCs w:val="24"/>
        </w:rPr>
      </w:pPr>
      <w:r w:rsidRPr="003B1220">
        <w:t>ε)</w:t>
      </w:r>
      <w:r w:rsidRPr="003B1220">
        <w:tab/>
        <w:t xml:space="preserve">τη δοκιμή και την αξιολόγηση </w:t>
      </w:r>
      <w:r w:rsidRPr="003B1220">
        <w:rPr>
          <w:b/>
          <w:bCs/>
          <w:i/>
          <w:iCs/>
        </w:rPr>
        <w:t>των υποδομών και</w:t>
      </w:r>
      <w:r w:rsidRPr="003B1220">
        <w:t xml:space="preserve"> της καταλληλότητας των σχετικών τεχνολογιών για την ενίσχυση της προστασίας της ιδιωτικής ζωής όσον αφορά την ασφαλή ανταλλαγή δεδομένων εντός του ΕΣΣ σύμφ</w:t>
      </w:r>
      <w:r w:rsidR="00B95E96" w:rsidRPr="003B1220">
        <w:t>ωνα με το άρθρο 13 παράγραφος 4.</w:t>
      </w:r>
    </w:p>
    <w:p w:rsidR="00621AFB" w:rsidRPr="003B1220" w:rsidRDefault="00621AFB" w:rsidP="00621AFB">
      <w:pPr>
        <w:spacing w:before="120" w:after="120" w:line="360" w:lineRule="auto"/>
        <w:ind w:left="850" w:hanging="850"/>
        <w:rPr>
          <w:szCs w:val="24"/>
        </w:rPr>
      </w:pPr>
      <w:r w:rsidRPr="003B1220">
        <w:t>2.</w:t>
      </w:r>
      <w:r w:rsidRPr="003B1220">
        <w:tab/>
        <w:t>Τα κράτη μέλη δύνανται να συμμετέχουν σε αυτές τις μελέτες, αλλά εξασφαλίζουν, από κοινού με την Επιτροπή (Eurostat), την αντιπροσωπευτικότητα των εν λόγω μελετών σε επίπεδο Ένωσης.</w:t>
      </w:r>
    </w:p>
    <w:p w:rsidR="00621AFB" w:rsidRPr="003B1220" w:rsidRDefault="00621AFB" w:rsidP="00621AFB">
      <w:pPr>
        <w:spacing w:before="120" w:after="120" w:line="360" w:lineRule="auto"/>
        <w:ind w:left="850" w:hanging="850"/>
        <w:rPr>
          <w:szCs w:val="24"/>
        </w:rPr>
      </w:pPr>
      <w:r w:rsidRPr="003B1220">
        <w:t>3.</w:t>
      </w:r>
      <w:r w:rsidRPr="003B1220">
        <w:tab/>
        <w:t>Τα αποτελέσματα των μελετών αυτών αξιολογούνται από την Επιτροπή (Eurostat) σε συνεργασία με τα κράτη μέλη. Η Επιτροπή (Eurostat) καταρτίζει, σε συνεργασία με τα κράτη μέλη, εκθέσεις σχετικά με τα πορίσματα των μελετών αυτών.</w:t>
      </w:r>
    </w:p>
    <w:p w:rsidR="00621AFB" w:rsidRPr="003B1220" w:rsidRDefault="00621AFB" w:rsidP="00621AFB">
      <w:pPr>
        <w:spacing w:before="120" w:after="120" w:line="360" w:lineRule="auto"/>
        <w:jc w:val="center"/>
        <w:rPr>
          <w:szCs w:val="24"/>
        </w:rPr>
      </w:pPr>
      <w:r w:rsidRPr="003B1220">
        <w:t>Άρθρο 15</w:t>
      </w:r>
      <w:r w:rsidRPr="003B1220">
        <w:br/>
        <w:t>Χρηματοδότηση</w:t>
      </w:r>
    </w:p>
    <w:p w:rsidR="00621AFB" w:rsidRPr="003B1220" w:rsidRDefault="00621AFB" w:rsidP="00621AFB">
      <w:pPr>
        <w:spacing w:before="120" w:after="120" w:line="360" w:lineRule="auto"/>
        <w:ind w:left="850" w:hanging="850"/>
        <w:rPr>
          <w:szCs w:val="24"/>
        </w:rPr>
      </w:pPr>
      <w:r w:rsidRPr="003B1220">
        <w:t>1.</w:t>
      </w:r>
      <w:r w:rsidRPr="003B1220">
        <w:tab/>
      </w:r>
      <w:r w:rsidRPr="003B1220">
        <w:rPr>
          <w:b/>
          <w:bCs/>
          <w:i/>
          <w:iCs/>
        </w:rPr>
        <w:t>Όσον αφορά την εφαρμογή του παρόντος κανονισμού, η χρηματοδοτική συνεισφορά διατίθεται από το πρόγραμμα για την ενιαία αγορά που θεσπίστηκε με τον κανονισμό (ΕΕ) 2021/690, σύμφωνα με τον κανονισμό (ΕΕ, Ευρατόμ) 2018/1046,</w:t>
      </w:r>
      <w:r w:rsidRPr="003B1220">
        <w:rPr>
          <w:b/>
          <w:bCs/>
        </w:rPr>
        <w:t xml:space="preserve"> </w:t>
      </w:r>
      <w:r w:rsidRPr="003B1220">
        <w:t>στις εθνικές στατιστικές αρχές που αναφέρονται στο άρθρο 5 παράγραφος 2 του κανονισμού (ΕΚ) αριθ. 223/2009, για:</w:t>
      </w:r>
    </w:p>
    <w:p w:rsidR="00621AFB" w:rsidRPr="003B1220" w:rsidRDefault="00621AFB" w:rsidP="00621AFB">
      <w:pPr>
        <w:spacing w:before="120" w:after="120" w:line="360" w:lineRule="auto"/>
        <w:ind w:left="1416" w:hanging="566"/>
        <w:rPr>
          <w:szCs w:val="24"/>
        </w:rPr>
      </w:pPr>
      <w:r w:rsidRPr="003B1220">
        <w:t>α)</w:t>
      </w:r>
      <w:r w:rsidRPr="003B1220">
        <w:tab/>
      </w:r>
      <w:r w:rsidRPr="003B1220">
        <w:rPr>
          <w:b/>
          <w:bCs/>
          <w:i/>
          <w:iCs/>
        </w:rPr>
        <w:t>προσαρμογές της υποδομής και της κατάρτισης στο εθνικό στατιστικό σύστημα που απαιτούνται για</w:t>
      </w:r>
      <w:r w:rsidRPr="003B1220">
        <w:t xml:space="preserve"> την ανάπτυξη και εφαρμογή νέων ή βελτιωμένων πηγών δεδομένων, μεθοδολογιών, ανταλλαγής δεδομένων, στατιστικών μονάδων, θεμάτων, λεπτομερών θεμάτων, μεταβλητών και των κατανομών τους·</w:t>
      </w:r>
    </w:p>
    <w:p w:rsidR="00621AFB" w:rsidRPr="003B1220" w:rsidRDefault="00621AFB" w:rsidP="00621AFB">
      <w:pPr>
        <w:spacing w:before="120" w:after="120" w:line="360" w:lineRule="auto"/>
        <w:ind w:left="1416" w:hanging="566"/>
        <w:rPr>
          <w:szCs w:val="24"/>
        </w:rPr>
      </w:pPr>
      <w:proofErr w:type="spellStart"/>
      <w:r w:rsidRPr="003B1220">
        <w:rPr>
          <w:b/>
          <w:i/>
        </w:rPr>
        <w:t>αα</w:t>
      </w:r>
      <w:proofErr w:type="spellEnd"/>
      <w:r w:rsidRPr="003B1220">
        <w:rPr>
          <w:b/>
          <w:i/>
        </w:rPr>
        <w:t>)</w:t>
      </w:r>
      <w:r w:rsidRPr="003B1220">
        <w:tab/>
      </w:r>
      <w:r w:rsidRPr="003B1220">
        <w:rPr>
          <w:b/>
          <w:bCs/>
          <w:i/>
          <w:iCs/>
        </w:rPr>
        <w:t>την προετοιμασία και την εφαρμογή της ad hoc συλλογής δεδομένων, όπως αναφέρεται στο άρθρο 7·</w:t>
      </w:r>
    </w:p>
    <w:p w:rsidR="00621AFB" w:rsidRPr="003B1220" w:rsidRDefault="00621AFB" w:rsidP="00621AFB">
      <w:pPr>
        <w:spacing w:before="120" w:after="120" w:line="360" w:lineRule="auto"/>
        <w:ind w:left="1416" w:hanging="566"/>
        <w:rPr>
          <w:szCs w:val="24"/>
        </w:rPr>
      </w:pPr>
      <w:r w:rsidRPr="003B1220">
        <w:t>β)</w:t>
      </w:r>
      <w:r w:rsidRPr="003B1220">
        <w:tab/>
        <w:t>τη συμμετοχή των κρατών μελών σε αντιπροσωπευτικές πιλοτικές μελέτες και μελέτες σκοπιμότητας που αναφέρονται στο άρθρο 14.</w:t>
      </w:r>
    </w:p>
    <w:p w:rsidR="00621AFB" w:rsidRPr="003B1220" w:rsidRDefault="00621AFB" w:rsidP="00621AFB">
      <w:pPr>
        <w:spacing w:before="120" w:after="120" w:line="360" w:lineRule="auto"/>
        <w:ind w:left="851" w:hanging="851"/>
        <w:rPr>
          <w:szCs w:val="24"/>
        </w:rPr>
      </w:pPr>
      <w:r w:rsidRPr="003B1220">
        <w:rPr>
          <w:b/>
          <w:i/>
        </w:rPr>
        <w:lastRenderedPageBreak/>
        <w:t>1α.</w:t>
      </w:r>
      <w:r w:rsidRPr="003B1220">
        <w:tab/>
      </w:r>
      <w:r w:rsidRPr="003B1220">
        <w:rPr>
          <w:b/>
          <w:i/>
        </w:rPr>
        <w:t>Το ποσό της χρηματοδοτικής συνεισφοράς της Ένωσης που διατίθεται δυνάμει του παρόντος άρθρου καθορίζεται σύμφωνα με τους κανόνες του προγράμματος για την ενιαία αγορά στο πλαίσιο της ετήσιας διαδικασίας του προϋπολογισμού, με την επιφύλαξη της διαθεσιμότητας χρηματοδότησης.</w:t>
      </w:r>
    </w:p>
    <w:p w:rsidR="00621AFB" w:rsidRPr="003B1220" w:rsidRDefault="00621AFB" w:rsidP="00621AFB">
      <w:pPr>
        <w:spacing w:before="120" w:after="120" w:line="360" w:lineRule="auto"/>
        <w:ind w:left="850"/>
        <w:rPr>
          <w:szCs w:val="24"/>
        </w:rPr>
      </w:pPr>
      <w:r w:rsidRPr="003B1220">
        <w:rPr>
          <w:b/>
          <w:i/>
        </w:rPr>
        <w:t>Επιπλέον, οι εθνικές στατιστικές υπηρεσίες που αναφέρονται στο άρθρο 5 παράγραφος 2 του κανονισμού (ΕΚ) αριθ. 223/2009 μπορούν να υποβάλλουν αίτηση για στήριξη από άλλα εφαρμοστέα χρηματοδοτικά προγράμματα της Ευρωπαϊκής Ένωσης σύμφωνα με τους κανόνες των εν λόγω προγραμμάτων. Τα κράτη μέλη μπορούν επίσης να υποβάλουν αίτηση στήριξης από το Μέσο Τεχνικής Υποστήριξης για τη βελτίωση της ποιότητας των στατιστικών και την ανάπτυξη μεθοδολογιών σύμφωνα με τις απαιτήσεις του παρόντος κανονισμού σύμφωνα με τους κανόνες του Μέσου Τεχνικής Υποστήριξης και τον στόχο του να προωθήσει την παραγωγή, την παροχή και την παρακολούθηση της ποιότητας των δεδομένων και των στατιστικών.</w:t>
      </w:r>
    </w:p>
    <w:p w:rsidR="00621AFB" w:rsidRPr="003B1220" w:rsidRDefault="00621AFB" w:rsidP="00621AFB">
      <w:pPr>
        <w:spacing w:before="120" w:after="120" w:line="360" w:lineRule="auto"/>
        <w:ind w:left="850" w:hanging="850"/>
        <w:rPr>
          <w:szCs w:val="24"/>
        </w:rPr>
      </w:pPr>
      <w:r w:rsidRPr="003B1220">
        <w:t>2.</w:t>
      </w:r>
      <w:r w:rsidRPr="003B1220">
        <w:tab/>
        <w:t>Η χρηματοδοτική συνεισφορά της Ένωσης δεν υπερβαίνει το 90 % των επιλέξιμων δαπανών.</w:t>
      </w:r>
    </w:p>
    <w:p w:rsidR="00621AFB" w:rsidRPr="003B1220" w:rsidRDefault="00621AFB" w:rsidP="00621AFB">
      <w:pPr>
        <w:spacing w:before="120" w:after="120" w:line="360" w:lineRule="auto"/>
        <w:jc w:val="center"/>
        <w:rPr>
          <w:szCs w:val="24"/>
        </w:rPr>
      </w:pPr>
      <w:r w:rsidRPr="003B1220">
        <w:t>Άρθρο 16</w:t>
      </w:r>
      <w:r w:rsidRPr="003B1220">
        <w:br/>
        <w:t>Προστασία των οικονομικών συμφερόντων της Ένωσης</w:t>
      </w:r>
    </w:p>
    <w:p w:rsidR="00621AFB" w:rsidRPr="003B1220" w:rsidRDefault="00621AFB" w:rsidP="00621AFB">
      <w:pPr>
        <w:spacing w:before="120" w:after="120" w:line="360" w:lineRule="auto"/>
        <w:rPr>
          <w:szCs w:val="24"/>
        </w:rPr>
      </w:pPr>
      <w:r w:rsidRPr="003B1220">
        <w:t>Όταν τρίτη χώρα συμμετέχει στις δράσεις που χρηματοδοτούνται στο πλαίσιο του παρόντος κανονισμού μέσω απόφασης που εκδίδεται δυνάμει διεθνούς συμφωνίας ή βάσει οποιασδήποτε άλλης νομικής πράξης, η τρίτη χώρα παρέχει τα αναγκαία δικαιώματα και την απαιτούμενη πρόσβαση στον αρμόδιο διατάκτη, στην Ευρωπαϊκή Υπηρεσία καταπολέμησης της απάτης (OLAF), στο Ελεγκτικό Συνέδριο και στην Ευρωπαϊκή Εισαγγελία ώστε να είναι σε θέση να ασκούν πλήρως τις αντίστοιχες αρμοδιότητές τους. Στην περίπτωση της OLAF τα δικαιώματα αυτά περιλαμβάνουν το δικαίωμα διενέργειας ερευνών, μεταξύ άλλων και με επιτόπιους ελέγχους και εξακριβώσεις, όπως προβλέπεται στον κανονισμό (ΕΕ, Ευρατόμ) αριθ. 883/2013.</w:t>
      </w:r>
    </w:p>
    <w:p w:rsidR="00621AFB" w:rsidRPr="003B1220" w:rsidRDefault="00621AFB" w:rsidP="00621AFB">
      <w:pPr>
        <w:spacing w:before="120" w:after="120" w:line="360" w:lineRule="auto"/>
        <w:jc w:val="center"/>
        <w:rPr>
          <w:szCs w:val="24"/>
        </w:rPr>
      </w:pPr>
      <w:r w:rsidRPr="003B1220">
        <w:t>Άρθρο 17</w:t>
      </w:r>
      <w:r w:rsidRPr="003B1220">
        <w:br/>
        <w:t>Άσκηση της εξουσιοδότησης</w:t>
      </w:r>
    </w:p>
    <w:p w:rsidR="00621AFB" w:rsidRPr="003B1220" w:rsidRDefault="00621AFB" w:rsidP="00621AFB">
      <w:pPr>
        <w:spacing w:before="120" w:after="120" w:line="360" w:lineRule="auto"/>
        <w:ind w:left="850" w:hanging="850"/>
        <w:rPr>
          <w:szCs w:val="24"/>
        </w:rPr>
      </w:pPr>
      <w:r w:rsidRPr="003B1220">
        <w:t>1.</w:t>
      </w:r>
      <w:r w:rsidRPr="003B1220">
        <w:tab/>
        <w:t>Ανατίθεται στην Επιτροπή η εξουσία να εκδίδει κατ’ εξουσιοδότηση πράξεις υπό τους όρους του παρόντος άρθρου.</w:t>
      </w:r>
    </w:p>
    <w:p w:rsidR="00621AFB" w:rsidRPr="003B1220" w:rsidRDefault="00621AFB" w:rsidP="00621AFB">
      <w:pPr>
        <w:spacing w:before="120" w:after="120" w:line="360" w:lineRule="auto"/>
        <w:ind w:left="850" w:hanging="850"/>
        <w:rPr>
          <w:szCs w:val="24"/>
        </w:rPr>
      </w:pPr>
      <w:r w:rsidRPr="003B1220">
        <w:t>2.</w:t>
      </w:r>
      <w:r w:rsidRPr="003B1220">
        <w:tab/>
        <w:t xml:space="preserve">Η προβλεπόμενη στο άρθρο 5 παράγραφος 3, άρθρο 6 παράγραφος 6 και στο άρθρο </w:t>
      </w:r>
      <w:r w:rsidRPr="003B1220">
        <w:lastRenderedPageBreak/>
        <w:t>7 παράγραφος 2 εξουσία έκδοσης κατ’ εξουσιοδότηση πράξεων ανατίθεται στην Επιτροπή για αόριστο χρονικό διάστημα από</w:t>
      </w:r>
      <w:r w:rsidR="00B95E96" w:rsidRPr="003B1220">
        <w:t xml:space="preserve"> …</w:t>
      </w:r>
      <w:r w:rsidRPr="003B1220">
        <w:t xml:space="preserve"> [ΕΕ: να προστεθεί η ημερομηνία έναρξης ισχύος του παρόντος κανονισμού].</w:t>
      </w:r>
    </w:p>
    <w:p w:rsidR="00621AFB" w:rsidRPr="003B1220" w:rsidRDefault="00621AFB" w:rsidP="00621AFB">
      <w:pPr>
        <w:spacing w:before="120" w:after="120" w:line="360" w:lineRule="auto"/>
        <w:ind w:left="850" w:hanging="850"/>
        <w:rPr>
          <w:szCs w:val="24"/>
        </w:rPr>
      </w:pPr>
      <w:r w:rsidRPr="003B1220">
        <w:t>3.</w:t>
      </w:r>
      <w:r w:rsidRPr="003B1220">
        <w:tab/>
        <w:t xml:space="preserve">Η εξουσιοδότηση που προβλέπεται στο άρθρο 5 παράγραφος 3, στο άρθρο 6 παράγραφος 6 και στο άρθρο 7 παράγραφος 2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bookmarkStart w:id="8" w:name="_GoBack"/>
      <w:r w:rsidRPr="003B1220">
        <w:rPr>
          <w:i/>
        </w:rPr>
        <w:t>Επίσημη Εφημερίδα της Ευρωπαϊκής Ένωσης</w:t>
      </w:r>
      <w:bookmarkEnd w:id="8"/>
      <w:r w:rsidRPr="003B1220">
        <w:t xml:space="preserve"> ή σε μεταγενέστερη ημερομηνία που ορίζεται σε αυτή. Δεν θίγει το κύρος των κατ’ εξουσιοδότηση πράξεων που ισχύουν ήδη.</w:t>
      </w:r>
    </w:p>
    <w:p w:rsidR="00621AFB" w:rsidRPr="003B1220" w:rsidRDefault="00621AFB" w:rsidP="00621AFB">
      <w:pPr>
        <w:spacing w:before="120" w:after="120" w:line="360" w:lineRule="auto"/>
        <w:ind w:left="850" w:hanging="850"/>
        <w:rPr>
          <w:szCs w:val="24"/>
        </w:rPr>
      </w:pPr>
      <w:r w:rsidRPr="003B1220">
        <w:t>4.</w:t>
      </w:r>
      <w:r w:rsidRPr="003B1220">
        <w:tab/>
        <w:t>Πριν από την έκδοση μιας κατ’ εξουσιοδότηση πράξης, η Επιτροπή διεξάγει διαβουλεύσεις με εμπειρογνώμονες που ορίζουν τα κράτη μέλη σύμφωνα με τις αρχές που καθορίζονται στη διοργανική συμφωνία της 13ης Απριλίου 2016 για τη βελτίωση του νομοθετικού έργου</w:t>
      </w:r>
      <w:r w:rsidRPr="003B1220">
        <w:rPr>
          <w:b/>
          <w:bCs/>
          <w:i/>
          <w:iCs/>
        </w:rPr>
        <w:t xml:space="preserve"> και τηρεί ενήμερο το Ευρωπαϊκό Κοινοβούλιο σχετικά με τις προπαρασκευαστικές εργασίες της.</w:t>
      </w:r>
    </w:p>
    <w:p w:rsidR="00621AFB" w:rsidRPr="003B1220" w:rsidRDefault="00621AFB" w:rsidP="00621AFB">
      <w:pPr>
        <w:spacing w:before="120" w:after="120" w:line="360" w:lineRule="auto"/>
        <w:ind w:left="850" w:hanging="850"/>
        <w:rPr>
          <w:szCs w:val="24"/>
        </w:rPr>
      </w:pPr>
      <w:r w:rsidRPr="003B1220">
        <w:t>5.</w:t>
      </w:r>
      <w:r w:rsidRPr="003B1220">
        <w:tab/>
        <w:t>Μόλις εκδώσει μια κατ’ εξουσιοδότηση πράξη, η Επιτροπή την κοινοποιεί ταυτόχρονα στο Ευρωπαϊκό Κοινοβούλιο και στο Συμβούλιο.</w:t>
      </w:r>
    </w:p>
    <w:p w:rsidR="00621AFB" w:rsidRPr="003B1220" w:rsidRDefault="00621AFB" w:rsidP="00621AFB">
      <w:pPr>
        <w:spacing w:before="120" w:after="120" w:line="360" w:lineRule="auto"/>
        <w:ind w:left="850" w:hanging="850"/>
        <w:rPr>
          <w:szCs w:val="24"/>
        </w:rPr>
      </w:pPr>
      <w:r w:rsidRPr="003B1220">
        <w:t>6.</w:t>
      </w:r>
      <w:r w:rsidRPr="003B1220">
        <w:tab/>
        <w:t>Η κατ’ εξουσιοδότηση πράξη που εκδίδεται δυνάμει του άρθρου 5 παράγραφος 3, του άρθρου 6 παράγραφος 6 και του άρθρου 7 παράγραφος 2 αρχίζει να ισχύει μόνον αν δεν διατυπωθεί αντίρρηση από το Ευρωπαϊκό Κοινοβούλιο ή το Συμβούλιο εντός δύο μηνών από την ημέρα κοινοποίησης της πράξης στο Ευρωπαϊκό Κοινοβούλιο και στο Συμβούλιο ή αν, προτού λήξει αυτή η προθεσμία,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Κοινοβουλίου ή του Συμβουλίου.</w:t>
      </w:r>
    </w:p>
    <w:p w:rsidR="00621AFB" w:rsidRPr="003B1220" w:rsidRDefault="00621AFB" w:rsidP="00621AFB">
      <w:pPr>
        <w:spacing w:before="120" w:after="120" w:line="360" w:lineRule="auto"/>
        <w:jc w:val="center"/>
        <w:rPr>
          <w:szCs w:val="24"/>
        </w:rPr>
      </w:pPr>
      <w:r w:rsidRPr="003B1220">
        <w:t>Άρθρο 18</w:t>
      </w:r>
      <w:r w:rsidRPr="003B1220">
        <w:br/>
        <w:t>Διαδικασία επιτροπής</w:t>
      </w:r>
    </w:p>
    <w:p w:rsidR="00621AFB" w:rsidRPr="003B1220" w:rsidRDefault="00621AFB" w:rsidP="00621AFB">
      <w:pPr>
        <w:spacing w:before="120" w:after="120" w:line="360" w:lineRule="auto"/>
        <w:ind w:left="850" w:hanging="850"/>
        <w:rPr>
          <w:szCs w:val="24"/>
        </w:rPr>
      </w:pPr>
      <w:r w:rsidRPr="003B1220">
        <w:t>1.</w:t>
      </w:r>
      <w:r w:rsidRPr="003B1220">
        <w:tab/>
        <w:t>Η Επιτροπή επικουρείται από την επιτροπή του ευρωπαϊκού στατιστικού συστήματος (ΕΣΣ) που συστάθηκε με το άρθρο 7 του κανονισμού (ΕΚ) αριθ. 223/2009. Η εν λόγω επιτροπή αποτελεί επιτροπή κατά την έννοια του κανονισμού (ΕΕ) αριθ. 182/2011.</w:t>
      </w:r>
    </w:p>
    <w:p w:rsidR="00621AFB" w:rsidRPr="003B1220" w:rsidRDefault="00621AFB" w:rsidP="00621AFB">
      <w:pPr>
        <w:spacing w:before="120" w:after="120" w:line="360" w:lineRule="auto"/>
        <w:ind w:left="850" w:hanging="850"/>
        <w:rPr>
          <w:szCs w:val="24"/>
        </w:rPr>
      </w:pPr>
      <w:r w:rsidRPr="003B1220">
        <w:t>2.</w:t>
      </w:r>
      <w:r w:rsidRPr="003B1220">
        <w:tab/>
        <w:t xml:space="preserve">Όταν γίνεται παραπομπή στην παρούσα παράγραφο, εφαρμόζεται το άρθρο 5 του </w:t>
      </w:r>
      <w:r w:rsidRPr="003B1220">
        <w:lastRenderedPageBreak/>
        <w:t>κανονισμού (ΕΕ) αριθ. 182/2011.</w:t>
      </w:r>
    </w:p>
    <w:p w:rsidR="00621AFB" w:rsidRPr="003B1220" w:rsidRDefault="00621AFB" w:rsidP="00621AFB">
      <w:pPr>
        <w:spacing w:before="120" w:after="120" w:line="360" w:lineRule="auto"/>
        <w:jc w:val="center"/>
        <w:rPr>
          <w:szCs w:val="24"/>
        </w:rPr>
      </w:pPr>
      <w:r w:rsidRPr="003B1220">
        <w:t>Άρθρο 19</w:t>
      </w:r>
      <w:r w:rsidRPr="003B1220">
        <w:br/>
        <w:t>Παρεκκλίσεις</w:t>
      </w:r>
    </w:p>
    <w:p w:rsidR="00621AFB" w:rsidRPr="003B1220" w:rsidRDefault="00621AFB" w:rsidP="00621AFB">
      <w:pPr>
        <w:spacing w:before="120" w:after="120" w:line="360" w:lineRule="auto"/>
        <w:ind w:left="850" w:hanging="850"/>
        <w:rPr>
          <w:szCs w:val="24"/>
        </w:rPr>
      </w:pPr>
      <w:r w:rsidRPr="003B1220">
        <w:t>1.</w:t>
      </w:r>
      <w:r w:rsidRPr="003B1220">
        <w:tab/>
        <w:t xml:space="preserve">Όταν η εφαρμογή του παρόντος κανονισμού ▌απαιτεί σημαντικές προσαρμογές στο εθνικό στατιστικό σύστημα ενός κράτους μέλους, η Επιτροπή δύναται να χορηγεί, με εκτελεστικές πράξεις, παρεκκλίσεις στο </w:t>
      </w:r>
      <w:r w:rsidRPr="003B1220">
        <w:rPr>
          <w:b/>
          <w:bCs/>
          <w:i/>
          <w:iCs/>
        </w:rPr>
        <w:t>εν λόγω</w:t>
      </w:r>
      <w:r w:rsidRPr="003B1220">
        <w:t xml:space="preserve"> κράτος μέλος για μέγιστη διάρκεια</w:t>
      </w:r>
      <w:r w:rsidRPr="003B1220">
        <w:rPr>
          <w:b/>
          <w:bCs/>
          <w:i/>
          <w:iCs/>
        </w:rPr>
        <w:t xml:space="preserve"> επτά</w:t>
      </w:r>
      <w:r w:rsidRPr="003B1220">
        <w:t xml:space="preserve"> ετών.</w:t>
      </w:r>
    </w:p>
    <w:p w:rsidR="00621AFB" w:rsidRPr="003B1220" w:rsidRDefault="00621AFB" w:rsidP="00621AFB">
      <w:pPr>
        <w:spacing w:before="120" w:after="120" w:line="360" w:lineRule="auto"/>
        <w:ind w:left="850" w:hanging="850"/>
        <w:rPr>
          <w:szCs w:val="24"/>
        </w:rPr>
      </w:pPr>
      <w:r w:rsidRPr="003B1220">
        <w:rPr>
          <w:b/>
          <w:i/>
        </w:rPr>
        <w:t>1α.</w:t>
      </w:r>
      <w:r w:rsidRPr="003B1220">
        <w:tab/>
      </w:r>
      <w:r w:rsidRPr="003B1220">
        <w:rPr>
          <w:b/>
          <w:i/>
        </w:rPr>
        <w:t xml:space="preserve">Όταν οι κατ’ εξουσιοδότηση ή εκτελεστικές πράξεις που εκδίδονται δυνάμει του παρόντος κανονισμού απαιτούν σημαντικές προσαρμογές στο εθνικό στατιστικό σύστημα ενός κράτους μέλους, η Επιτροπή δύναται να χορηγεί, με εκτελεστικές πράξεις, παρεκκλίσεις στο εν λόγω κράτος μέλος για μέγιστη διάρκεια τριών ετών. </w:t>
      </w:r>
    </w:p>
    <w:p w:rsidR="00621AFB" w:rsidRPr="003B1220" w:rsidRDefault="00621AFB" w:rsidP="00621AFB">
      <w:pPr>
        <w:spacing w:before="120" w:after="120" w:line="360" w:lineRule="auto"/>
        <w:ind w:left="850" w:hanging="850"/>
        <w:rPr>
          <w:szCs w:val="24"/>
        </w:rPr>
      </w:pPr>
      <w:r w:rsidRPr="003B1220">
        <w:t>2.</w:t>
      </w:r>
      <w:r w:rsidRPr="003B1220">
        <w:tab/>
        <w:t>Κατά τη χορήγηση των παρεκκλίσεων που προβλέπονται στην παράγραφο 1 του παρόντος άρθρου, η Επιτροπή λαμβάνει υπόψη τη συγκρισιμότητα των στατιστικών των κρατών μελών και τον έγκαιρο υπολογισμό των απαιτούμενων αντιπροσωπευτικών και αξιόπιστων ευρωπαϊκών συγκεντρωτικών στοιχείων. Διασφαλίζει επίσης ότι οι απαιτήσεις σχετικά με τις στατιστικές, τα μεταδεδομένα και την ποιότητα που καλύπτονται από τον παρόντα κανονισμό και καλύπτονταν προηγουμένως από τον κανονισμό (ΕΕ) αριθ. 1260/2013 ή από το άρθρο 3 του κανονισμού (ΕΚ) αριθ. 862/2007 εξακολουθούν να ισχύουν χωρίς διακοπή.</w:t>
      </w:r>
    </w:p>
    <w:p w:rsidR="00621AFB" w:rsidRPr="003B1220" w:rsidRDefault="00621AFB" w:rsidP="00621AFB">
      <w:pPr>
        <w:spacing w:before="120" w:after="120" w:line="360" w:lineRule="auto"/>
        <w:ind w:left="850" w:hanging="850"/>
        <w:rPr>
          <w:szCs w:val="24"/>
        </w:rPr>
      </w:pPr>
      <w:r w:rsidRPr="003B1220">
        <w:t>3.</w:t>
      </w:r>
      <w:r w:rsidRPr="003B1220">
        <w:tab/>
        <w:t>Το οικείο κράτος μέλος υποβάλλει δεόντως αιτιολογημένο αίτημα παρέκκλισης στην Επιτροπή εντός δύο μηνών από την ημερομηνία έναρξης ισχύος της σχετικής πράξης.</w:t>
      </w:r>
    </w:p>
    <w:p w:rsidR="00621AFB" w:rsidRPr="003B1220" w:rsidRDefault="00621AFB" w:rsidP="00621AFB">
      <w:pPr>
        <w:spacing w:before="120" w:after="120" w:line="360" w:lineRule="auto"/>
        <w:ind w:left="850" w:hanging="850"/>
        <w:rPr>
          <w:szCs w:val="24"/>
        </w:rPr>
      </w:pPr>
      <w:r w:rsidRPr="003B1220">
        <w:t>4.</w:t>
      </w:r>
      <w:r w:rsidRPr="003B1220">
        <w:tab/>
        <w:t>Η Επιτροπή εκδίδει τις εκτελεστικές πράξεις που αναφέρονται στις παραγράφους </w:t>
      </w:r>
      <w:r w:rsidRPr="003B1220">
        <w:rPr>
          <w:b/>
          <w:bCs/>
          <w:i/>
          <w:iCs/>
        </w:rPr>
        <w:t>1, 1α και 3</w:t>
      </w:r>
      <w:r w:rsidRPr="003B1220">
        <w:rPr>
          <w:b/>
          <w:bCs/>
        </w:rPr>
        <w:t xml:space="preserve"> </w:t>
      </w:r>
      <w:r w:rsidRPr="003B1220">
        <w:t>του παρόντος άρθρου σύμφωνα με τη διαδικασία εξέτασης που αναφέρεται στο άρθρο 18 παράγραφος 2.</w:t>
      </w:r>
    </w:p>
    <w:p w:rsidR="00621AFB" w:rsidRPr="003B1220" w:rsidRDefault="00621AFB" w:rsidP="00621AFB">
      <w:pPr>
        <w:spacing w:before="120" w:after="120" w:line="360" w:lineRule="auto"/>
        <w:jc w:val="center"/>
        <w:rPr>
          <w:szCs w:val="24"/>
        </w:rPr>
      </w:pPr>
      <w:r w:rsidRPr="003B1220">
        <w:t>Άρθρο 20</w:t>
      </w:r>
      <w:r w:rsidRPr="003B1220">
        <w:br/>
        <w:t>Τροποποιήσεις του κανονισμού (ΕΚ) αριθ. 862/2007</w:t>
      </w:r>
    </w:p>
    <w:p w:rsidR="00621AFB" w:rsidRPr="003B1220" w:rsidRDefault="00621AFB" w:rsidP="00621AFB">
      <w:pPr>
        <w:spacing w:before="120" w:after="120" w:line="360" w:lineRule="auto"/>
        <w:rPr>
          <w:szCs w:val="24"/>
        </w:rPr>
      </w:pPr>
      <w:r w:rsidRPr="003B1220">
        <w:t>Ο κανονισμός (ΕΚ) αριθ. 862/2007 τροποποιείται ως εξής:</w:t>
      </w:r>
    </w:p>
    <w:p w:rsidR="00621AFB" w:rsidRPr="003B1220" w:rsidRDefault="00621AFB" w:rsidP="00621AFB">
      <w:pPr>
        <w:spacing w:before="120" w:after="120" w:line="360" w:lineRule="auto"/>
        <w:ind w:left="850" w:hanging="850"/>
        <w:rPr>
          <w:szCs w:val="24"/>
        </w:rPr>
      </w:pPr>
      <w:r w:rsidRPr="003B1220">
        <w:t>1)</w:t>
      </w:r>
      <w:r w:rsidRPr="003B1220">
        <w:tab/>
        <w:t xml:space="preserve">ο τίτλος αντικαθίσταται από το ακόλουθο κείμενο: «Κανονισμός (ΕΚ) αριθ. 862/2007 του Ευρωπαϊκού Κοινοβουλίου και του Συμβουλίου, της 11ης Ιουλίου 2007, σχετικά με τις ευρωπαϊκές στατιστικές για το άσυλο και τις </w:t>
      </w:r>
      <w:r w:rsidRPr="003B1220">
        <w:lastRenderedPageBreak/>
        <w:t>διοικητικές και δικαστικές διαδικασίες που αφορούν τη νομοθεσία περί μετανάστευσης και για την κατάργηση του κανονισμού (ΕΟΚ) αριθ. 311/76 του Συμβουλίου περί τηρήσεως στατιστικών για τους αλλοδαπούς εργαζόμενους»·</w:t>
      </w:r>
    </w:p>
    <w:p w:rsidR="00621AFB" w:rsidRPr="003B1220" w:rsidRDefault="00621AFB" w:rsidP="00621AFB">
      <w:pPr>
        <w:spacing w:before="120" w:after="120" w:line="360" w:lineRule="auto"/>
        <w:ind w:left="850" w:hanging="850"/>
        <w:rPr>
          <w:szCs w:val="24"/>
        </w:rPr>
      </w:pPr>
      <w:r w:rsidRPr="003B1220">
        <w:t>2)</w:t>
      </w:r>
      <w:r w:rsidRPr="003B1220">
        <w:tab/>
        <w:t>στο άρθρο 1, τα στοιχεία α) και β) απαλείφονται·</w:t>
      </w:r>
    </w:p>
    <w:p w:rsidR="00621AFB" w:rsidRPr="003B1220" w:rsidRDefault="00621AFB" w:rsidP="00621AFB">
      <w:pPr>
        <w:spacing w:before="120" w:after="120" w:line="360" w:lineRule="auto"/>
        <w:ind w:left="850" w:hanging="850"/>
        <w:rPr>
          <w:szCs w:val="24"/>
        </w:rPr>
      </w:pPr>
      <w:r w:rsidRPr="003B1220">
        <w:t>3)</w:t>
      </w:r>
      <w:r w:rsidRPr="003B1220">
        <w:tab/>
        <w:t xml:space="preserve">στο άρθρο 2 παράγραφος 1, τα στοιχεία α), β), γ), </w:t>
      </w:r>
      <w:proofErr w:type="spellStart"/>
      <w:r w:rsidRPr="003B1220">
        <w:t>στ</w:t>
      </w:r>
      <w:proofErr w:type="spellEnd"/>
      <w:r w:rsidRPr="003B1220">
        <w:t>) και ζ) απαλείφονται·</w:t>
      </w:r>
    </w:p>
    <w:p w:rsidR="00621AFB" w:rsidRPr="003B1220" w:rsidRDefault="00621AFB" w:rsidP="00621AFB">
      <w:pPr>
        <w:spacing w:before="120" w:after="120" w:line="360" w:lineRule="auto"/>
        <w:ind w:left="850" w:hanging="850"/>
        <w:rPr>
          <w:b/>
          <w:i/>
          <w:szCs w:val="24"/>
        </w:rPr>
      </w:pPr>
      <w:r w:rsidRPr="003B1220">
        <w:rPr>
          <w:b/>
          <w:i/>
        </w:rPr>
        <w:t>3a)</w:t>
      </w:r>
      <w:r w:rsidRPr="003B1220">
        <w:tab/>
      </w:r>
      <w:r w:rsidRPr="003B1220">
        <w:rPr>
          <w:b/>
          <w:i/>
        </w:rPr>
        <w:t xml:space="preserve">στο άρθρο 2 παράγραφος 1, το στοιχείο δ) αντικαθίσταται από το ακόλουθο κείμενο: </w:t>
      </w:r>
    </w:p>
    <w:p w:rsidR="00621AFB" w:rsidRPr="003B1220" w:rsidRDefault="00621AFB" w:rsidP="00B95E96">
      <w:pPr>
        <w:spacing w:before="120" w:after="120" w:line="360" w:lineRule="auto"/>
        <w:ind w:left="1440" w:hanging="590"/>
        <w:rPr>
          <w:szCs w:val="24"/>
        </w:rPr>
      </w:pPr>
      <w:r w:rsidRPr="003B1220">
        <w:rPr>
          <w:b/>
          <w:i/>
        </w:rPr>
        <w:t>«δ)</w:t>
      </w:r>
      <w:r w:rsidRPr="003B1220">
        <w:rPr>
          <w:b/>
          <w:i/>
        </w:rPr>
        <w:tab/>
      </w:r>
      <w:r w:rsidRPr="003B1220">
        <w:rPr>
          <w:b/>
          <w:bCs/>
          <w:i/>
          <w:iCs/>
        </w:rPr>
        <w:t>«υπηκοότητα»: υπηκοότητα όπως ορίζεται στο άρθρο 2 παράγραφος 1 του κανονισμού (ΕΕ)  .../... του Ευρωπαϊκού Κοινοβουλίου και του Συμβουλίου</w:t>
      </w:r>
      <w:r w:rsidRPr="003B1220">
        <w:rPr>
          <w:b/>
          <w:bCs/>
          <w:i/>
          <w:iCs/>
          <w:vertAlign w:val="superscript"/>
        </w:rPr>
        <w:t>*</w:t>
      </w:r>
      <w:r w:rsidRPr="003B1220">
        <w:rPr>
          <w:noProof/>
          <w:w w:val="0"/>
          <w:szCs w:val="24"/>
          <w:vertAlign w:val="superscript"/>
          <w:lang w:eastAsia="en-US"/>
        </w:rPr>
        <w:footnoteReference w:customMarkFollows="1" w:id="33"/>
        <w:t>+</w:t>
      </w:r>
      <w:r w:rsidR="00B95E96" w:rsidRPr="003B1220">
        <w:rPr>
          <w:noProof/>
          <w:w w:val="0"/>
          <w:szCs w:val="24"/>
          <w:lang w:eastAsia="en-US"/>
        </w:rPr>
        <w:t>»·</w:t>
      </w:r>
    </w:p>
    <w:p w:rsidR="00621AFB" w:rsidRPr="003B1220" w:rsidRDefault="00621AFB" w:rsidP="00621AFB">
      <w:pPr>
        <w:spacing w:before="120" w:after="120" w:line="360" w:lineRule="auto"/>
        <w:ind w:left="850" w:hanging="850"/>
        <w:rPr>
          <w:szCs w:val="24"/>
        </w:rPr>
      </w:pPr>
      <w:r w:rsidRPr="003B1220">
        <w:t>4)</w:t>
      </w:r>
      <w:r w:rsidRPr="003B1220">
        <w:tab/>
        <w:t>το άρθρο 3 απαλείφεται·</w:t>
      </w:r>
    </w:p>
    <w:p w:rsidR="00621AFB" w:rsidRPr="003B1220" w:rsidRDefault="00621AFB" w:rsidP="00621AFB">
      <w:pPr>
        <w:spacing w:before="120" w:after="120" w:line="360" w:lineRule="auto"/>
        <w:ind w:left="850" w:hanging="850"/>
        <w:rPr>
          <w:szCs w:val="24"/>
        </w:rPr>
      </w:pPr>
      <w:r w:rsidRPr="003B1220">
        <w:t>5)</w:t>
      </w:r>
      <w:r w:rsidRPr="003B1220">
        <w:tab/>
        <w:t>Προστίθεται το ακόλουθο άρθρο:</w:t>
      </w:r>
    </w:p>
    <w:p w:rsidR="00621AFB" w:rsidRPr="003B1220" w:rsidRDefault="00621AFB" w:rsidP="00621AFB">
      <w:pPr>
        <w:spacing w:before="120" w:after="120" w:line="360" w:lineRule="auto"/>
        <w:ind w:left="850"/>
        <w:rPr>
          <w:szCs w:val="24"/>
        </w:rPr>
      </w:pPr>
      <w:r w:rsidRPr="003B1220">
        <w:t>«Άρθρο 9γ</w:t>
      </w:r>
      <w:r w:rsidR="00564EB0" w:rsidRPr="003B1220">
        <w:br/>
      </w:r>
      <w:r w:rsidRPr="003B1220">
        <w:t>Έγκαιρη πρόσβαση και επαναχρησιμοποίηση διοικητικών δεδομένων</w:t>
      </w:r>
    </w:p>
    <w:p w:rsidR="00621AFB" w:rsidRPr="003B1220" w:rsidRDefault="00621AFB" w:rsidP="00621AFB">
      <w:pPr>
        <w:spacing w:before="120" w:after="120" w:line="360" w:lineRule="auto"/>
        <w:ind w:left="1416" w:hanging="566"/>
        <w:rPr>
          <w:szCs w:val="24"/>
        </w:rPr>
      </w:pPr>
      <w:r w:rsidRPr="003B1220">
        <w:t>1.</w:t>
      </w:r>
      <w:r w:rsidRPr="003B1220">
        <w:tab/>
      </w:r>
      <w:r w:rsidRPr="003B1220">
        <w:rPr>
          <w:b/>
          <w:bCs/>
          <w:i/>
          <w:iCs/>
        </w:rPr>
        <w:t>Σύμφωνα με το άρθρο 17α του κανονισμού (ΕΕ) αριθ. 223/2009,</w:t>
      </w:r>
      <w:r w:rsidRPr="003B1220">
        <w:rPr>
          <w:b/>
          <w:bCs/>
        </w:rPr>
        <w:t xml:space="preserve"> </w:t>
      </w:r>
      <w:r w:rsidRPr="003B1220">
        <w:t xml:space="preserve">οι εθνικές αρχές που είναι αρμόδιες για τις πηγές διοικητικών δεδομένων που σχετίζονται με τους σκοπούς του παρόντος κανονισμού επιτρέπουν την επαναχρησιμοποίηση των δεδομένων αυτών εγκαίρως και με συχνότητα επαρκή για την εκπόνηση και την υποβολή στατιστικών εντός των προθεσμιών και σύμφωνα με τις ειδικές απαιτήσεις ποιότητας δυνάμει του παρόντος κανονισμού. </w:t>
      </w:r>
      <w:r w:rsidRPr="003B1220">
        <w:rPr>
          <w:b/>
          <w:bCs/>
          <w:i/>
          <w:iCs/>
        </w:rPr>
        <w:t>Οι εθνικές στατιστικές υπηρεσίες και οι εθνικές αρχές που είναι αρμόδιες για τα διοικητικά αρχεία θεσπίζουν τους απαραίτητους μηχανισμούς συνεργασίας για την έγκαιρη και δωρεάν πρόσβαση στα εν λόγω αρχεία.</w:t>
      </w:r>
    </w:p>
    <w:p w:rsidR="00621AFB" w:rsidRPr="003B1220" w:rsidRDefault="00621AFB" w:rsidP="00621AFB">
      <w:pPr>
        <w:spacing w:before="120" w:after="120" w:line="360" w:lineRule="auto"/>
        <w:ind w:left="1416" w:hanging="566"/>
        <w:rPr>
          <w:szCs w:val="24"/>
        </w:rPr>
      </w:pPr>
      <w:r w:rsidRPr="003B1220">
        <w:t>2.</w:t>
      </w:r>
      <w:r w:rsidRPr="003B1220">
        <w:tab/>
        <w:t xml:space="preserve">Για τους σκοπούς του παρόντος κανονισμού, επιτρέπεται στην Επιτροπή (Eurostat), κατόπιν αιτήματος, να έχει πρόσβαση και να επαναχρησιμοποιεί εγκαίρως σχετικά δεδομένα και μεταδεδομένα από βάσεις δεδομένων και συστήματα διαλειτουργικότητας που τηρούν τα όργανα και οι οργανισμοί της </w:t>
      </w:r>
      <w:r w:rsidRPr="003B1220">
        <w:lastRenderedPageBreak/>
        <w:t>Ένωσης, μεταξύ άλλων δυνάμει των κανονισμών (ΕΕ) αριθ. 910/2014 και (ΕΕ) 2018/1724, και στατιστικά στοιχεία που αποθηκεύονται στο κεντρικό αποθετήριο για την υποβολή εκθέσεων και την κατάρτιση στατιστικών (CRRS).</w:t>
      </w:r>
      <w:r w:rsidRPr="003B1220">
        <w:rPr>
          <w:b/>
          <w:i/>
        </w:rPr>
        <w:t xml:space="preserve"> </w:t>
      </w:r>
      <w:r w:rsidRPr="003B1220">
        <w:rPr>
          <w:b/>
          <w:bCs/>
          <w:i/>
          <w:iCs/>
        </w:rPr>
        <w:t>Ειδικότερα, η Επιτροπή (Eurostat) έχει πρόσβαση στα δεδομένα από τα διαλειτουργικά συστήματα ΤΠ μεγάλης κλίμακας (LSIT) στον χώρο ελευθερίας, ασφάλειας και δικαιοσύνης από το CRRS,</w:t>
      </w:r>
      <w:r w:rsidRPr="003B1220">
        <w:t xml:space="preserve"> σύμφωνα με τους κανονισμούς (ΕΕ) 2019/817 και (ΕΕ) 2019/818 και τους κανονισμούς για τη θέσπιση των συστημάτων των οποίων τα στατιστικά δεδομένα είναι αποθηκευμένα στο CRRS. Για τον σκοπό αυτό, η Επιτροπή (Eurostat) συνεργάζεται περαιτέρω με τα αρμόδια όργανα και τους οργανισμούς της Ένωσης με σκοπό τον προσδιορισμό των εξατομικευμένων στατιστικών στοιχείων και μεταδεδομένων που απαιτούνται, όπου αυτό είναι δυνατόν βάσει του δικαίου της Ένωσης, για τις ευρωπαϊκές στατιστικές σχετικά με τον πληθυσμό και τη στέγαση, των επιχειρησιακών λεπτομερειών εφαρμογής για την παροχή τους και των απαραίτητων συνοδευτικών φυσικών και λογικών διασφαλίσεων.»</w:t>
      </w:r>
      <w:r w:rsidR="00564EB0" w:rsidRPr="003B1220">
        <w:t>·</w:t>
      </w:r>
    </w:p>
    <w:p w:rsidR="00621AFB" w:rsidRPr="003B1220" w:rsidRDefault="00621AFB" w:rsidP="00621AFB">
      <w:pPr>
        <w:spacing w:before="120" w:after="120" w:line="360" w:lineRule="auto"/>
        <w:ind w:left="850" w:hanging="850"/>
        <w:rPr>
          <w:szCs w:val="24"/>
        </w:rPr>
      </w:pPr>
      <w:r w:rsidRPr="003B1220">
        <w:t>6)</w:t>
      </w:r>
      <w:r w:rsidRPr="003B1220">
        <w:tab/>
        <w:t>Προστίθεται το ακόλουθο άρθρο:</w:t>
      </w:r>
    </w:p>
    <w:p w:rsidR="00621AFB" w:rsidRPr="003B1220" w:rsidRDefault="00621AFB" w:rsidP="00621AFB">
      <w:pPr>
        <w:spacing w:before="120" w:after="120" w:line="360" w:lineRule="auto"/>
        <w:ind w:left="850"/>
        <w:rPr>
          <w:szCs w:val="24"/>
        </w:rPr>
      </w:pPr>
      <w:r w:rsidRPr="003B1220">
        <w:t>«Άρθρο 10α</w:t>
      </w:r>
      <w:r w:rsidR="00564EB0" w:rsidRPr="003B1220">
        <w:br/>
      </w:r>
      <w:r w:rsidRPr="003B1220">
        <w:t>Κατάλογοι χωρών και εδαφών</w:t>
      </w:r>
    </w:p>
    <w:p w:rsidR="00621AFB" w:rsidRPr="003B1220" w:rsidRDefault="00621AFB" w:rsidP="00621AFB">
      <w:pPr>
        <w:spacing w:before="120" w:after="120" w:line="360" w:lineRule="auto"/>
        <w:ind w:left="850"/>
        <w:rPr>
          <w:szCs w:val="24"/>
        </w:rPr>
      </w:pPr>
      <w:r w:rsidRPr="003B1220">
        <w:t>Οι κατάλογοι χωρών και εδαφών που αναφέρονται στο άρθρο 11 του κανονισμού (ΕΕ) .../...</w:t>
      </w:r>
      <w:r w:rsidRPr="003B1220">
        <w:rPr>
          <w:vertAlign w:val="superscript"/>
        </w:rPr>
        <w:t xml:space="preserve"> *</w:t>
      </w:r>
      <w:r w:rsidRPr="003B1220">
        <w:rPr>
          <w:noProof/>
          <w:w w:val="0"/>
          <w:szCs w:val="24"/>
          <w:vertAlign w:val="superscript"/>
          <w:lang w:eastAsia="en-US"/>
        </w:rPr>
        <w:footnoteReference w:customMarkFollows="1" w:id="34"/>
        <w:t>+</w:t>
      </w:r>
      <w:r w:rsidRPr="003B1220">
        <w:rPr>
          <w:b/>
          <w:i/>
          <w:vertAlign w:val="superscript"/>
        </w:rPr>
        <w:t xml:space="preserve"> </w:t>
      </w:r>
      <w:r w:rsidRPr="003B1220">
        <w:t xml:space="preserve">    εφαρμόζονται για την κατάρτιση στατιστικών δυνάμει του παρόντος κανονισμού ώστε να διασφαλίζεται η συγκρισιμότητα των ειδικών ανά χώρα και έδαφος λεπτομερειών στις ευρωπαϊκές στατιστικές. Τα κράτη μέλη εφαρμόζουν τους καταλόγους αυτούς για πρώτη φορά για την κατάρτιση των στατιστικών που προβλέπονται στον παρόντα κανονισμό, αρχής γενομένης από τις διαβιβάσεις δεδομένων για το έτος αναφοράς 2026.</w:t>
      </w:r>
    </w:p>
    <w:p w:rsidR="00621AFB" w:rsidRPr="003B1220" w:rsidRDefault="00621AFB" w:rsidP="00564EB0">
      <w:pPr>
        <w:spacing w:before="120" w:after="120"/>
        <w:ind w:left="850"/>
        <w:rPr>
          <w:szCs w:val="24"/>
        </w:rPr>
      </w:pPr>
      <w:r w:rsidRPr="003B1220">
        <w:t>______</w:t>
      </w:r>
      <w:r w:rsidR="00564EB0" w:rsidRPr="003B1220">
        <w:t>_______</w:t>
      </w:r>
      <w:r w:rsidRPr="003B1220">
        <w:t>__</w:t>
      </w:r>
    </w:p>
    <w:p w:rsidR="00621AFB" w:rsidRPr="003B1220" w:rsidRDefault="00621AFB" w:rsidP="00564EB0">
      <w:pPr>
        <w:spacing w:before="120" w:after="120"/>
        <w:ind w:left="1440" w:hanging="590"/>
        <w:rPr>
          <w:szCs w:val="24"/>
          <w:lang w:eastAsia="en-US"/>
        </w:rPr>
      </w:pPr>
      <w:r w:rsidRPr="003B1220">
        <w:rPr>
          <w:vertAlign w:val="superscript"/>
        </w:rPr>
        <w:t>*</w:t>
      </w:r>
      <w:r w:rsidRPr="003B1220">
        <w:tab/>
        <w:t>Κανονισμός (EE) .../... του Ευρωπαϊκού Κοινοβουλίου και του Συμβουλίου για τις ευρωπαϊκές στατιστικές σχετικά με τον πληθυσμό και τη στέγαση, την τροποποίηση του κανονισμού (ΕΚ) αριθ. 862/2007 και την κατάργηση των κανονισμών (ΕΚ) αριθ. 763/2008 και (ΕΕ) αριθ. 1260/2013 (EE ...).</w:t>
      </w:r>
      <w:r w:rsidR="00564EB0" w:rsidRPr="003B1220">
        <w:t>».</w:t>
      </w:r>
    </w:p>
    <w:p w:rsidR="00621AFB" w:rsidRPr="003B1220" w:rsidRDefault="00621AFB" w:rsidP="00621AFB">
      <w:pPr>
        <w:spacing w:before="120" w:after="120" w:line="360" w:lineRule="auto"/>
        <w:jc w:val="center"/>
        <w:rPr>
          <w:szCs w:val="24"/>
        </w:rPr>
      </w:pPr>
      <w:r w:rsidRPr="003B1220">
        <w:lastRenderedPageBreak/>
        <w:t>Άρθρο 21</w:t>
      </w:r>
      <w:r w:rsidRPr="003B1220">
        <w:br/>
        <w:t>Κατάργηση</w:t>
      </w:r>
    </w:p>
    <w:p w:rsidR="00621AFB" w:rsidRPr="003B1220" w:rsidRDefault="00621AFB" w:rsidP="00621AFB">
      <w:pPr>
        <w:spacing w:before="120" w:after="120" w:line="360" w:lineRule="auto"/>
        <w:rPr>
          <w:szCs w:val="24"/>
        </w:rPr>
      </w:pPr>
      <w:r w:rsidRPr="003B1220">
        <w:t>Οι κανονισμοί (ΕΚ) αριθ. 763/2008 και (ΕΕ) αριθ. 1260/2013 καταργούνται με ισχύ από την 1η Ιανουαρίου 2026, με την επιφύλαξη των υποχρεώσεων οι οποίες καθορίζονται στις εν λόγω νομικές πράξεις σχετικά με τις περιόδους αναφοράς που εμπίπτουν, εν όλω ή εν μέρει, στο χρονικό διάστημα πριν από την εν λόγω ημερομηνία.</w:t>
      </w:r>
    </w:p>
    <w:p w:rsidR="00621AFB" w:rsidRPr="003B1220" w:rsidRDefault="00621AFB" w:rsidP="00621AFB">
      <w:pPr>
        <w:spacing w:before="120" w:after="120" w:line="360" w:lineRule="auto"/>
        <w:rPr>
          <w:szCs w:val="24"/>
        </w:rPr>
      </w:pPr>
      <w:r w:rsidRPr="003B1220">
        <w:t>Οι παραπομπές στους καταργηθέντες κανονισμούς θεωρούνται παραπομπές στον παρόντα κανονισμό.</w:t>
      </w:r>
    </w:p>
    <w:p w:rsidR="00621AFB" w:rsidRPr="003B1220" w:rsidRDefault="00621AFB" w:rsidP="00621AFB">
      <w:pPr>
        <w:spacing w:before="120" w:after="120" w:line="360" w:lineRule="auto"/>
        <w:jc w:val="center"/>
        <w:rPr>
          <w:szCs w:val="24"/>
        </w:rPr>
      </w:pPr>
      <w:r w:rsidRPr="003B1220">
        <w:t>Άρθρο 22</w:t>
      </w:r>
      <w:r w:rsidRPr="003B1220">
        <w:br/>
        <w:t>Έναρξη ισχύος και εφαρμογή</w:t>
      </w:r>
    </w:p>
    <w:p w:rsidR="00621AFB" w:rsidRPr="003B1220" w:rsidRDefault="00621AFB" w:rsidP="00621AFB">
      <w:pPr>
        <w:spacing w:before="120" w:after="120" w:line="360" w:lineRule="auto"/>
        <w:rPr>
          <w:szCs w:val="24"/>
        </w:rPr>
      </w:pPr>
      <w:r w:rsidRPr="003B1220">
        <w:t xml:space="preserve">Ο παρών κανονισμός αρχίζει να ισχύει την εικοστή ημέρα από τη δημοσίευσή του στην </w:t>
      </w:r>
      <w:r w:rsidRPr="003B1220">
        <w:rPr>
          <w:i/>
        </w:rPr>
        <w:t>Επίσημη Εφημερίδα της Ευρωπαϊκής Ένωσης</w:t>
      </w:r>
      <w:r w:rsidRPr="003B1220">
        <w:t>.</w:t>
      </w:r>
    </w:p>
    <w:p w:rsidR="00621AFB" w:rsidRPr="003B1220" w:rsidRDefault="00621AFB" w:rsidP="00621AFB">
      <w:pPr>
        <w:spacing w:before="120" w:after="120" w:line="360" w:lineRule="auto"/>
        <w:rPr>
          <w:szCs w:val="24"/>
        </w:rPr>
      </w:pPr>
      <w:r w:rsidRPr="003B1220">
        <w:t>Εφαρμόζεται από την 1η Ιανουαρίου 2026.</w:t>
      </w:r>
    </w:p>
    <w:p w:rsidR="00621AFB" w:rsidRPr="003B1220" w:rsidRDefault="00621AFB" w:rsidP="00621AFB">
      <w:pPr>
        <w:spacing w:before="480" w:after="120" w:line="360" w:lineRule="auto"/>
        <w:rPr>
          <w:szCs w:val="24"/>
        </w:rPr>
      </w:pPr>
      <w:r w:rsidRPr="003B1220">
        <w:t>Ο παρών κανονισμός είναι δεσμευτικός ως προς όλα τα μέρη του και ισχύει άμεσα σε κάθε κράτος μέλος.</w:t>
      </w:r>
    </w:p>
    <w:p w:rsidR="00621AFB" w:rsidRPr="003B1220" w:rsidRDefault="00621AFB" w:rsidP="00621AFB">
      <w:pPr>
        <w:keepNext/>
        <w:widowControl/>
        <w:spacing w:before="120" w:after="120" w:line="360" w:lineRule="auto"/>
        <w:rPr>
          <w:szCs w:val="24"/>
        </w:rPr>
      </w:pPr>
      <w:r w:rsidRPr="003B1220">
        <w:t>...,</w:t>
      </w:r>
    </w:p>
    <w:p w:rsidR="00621AFB" w:rsidRPr="003B1220" w:rsidRDefault="00621AFB" w:rsidP="00621AFB">
      <w:pPr>
        <w:keepNext/>
        <w:widowControl/>
        <w:tabs>
          <w:tab w:val="left" w:pos="4252"/>
        </w:tabs>
        <w:spacing w:before="720" w:line="360" w:lineRule="auto"/>
        <w:jc w:val="both"/>
        <w:rPr>
          <w:i/>
          <w:szCs w:val="24"/>
        </w:rPr>
      </w:pPr>
      <w:r w:rsidRPr="003B1220">
        <w:rPr>
          <w:i/>
        </w:rPr>
        <w:t>Για το Ευρωπαϊκό Κοινοβούλιο</w:t>
      </w:r>
      <w:r w:rsidRPr="003B1220">
        <w:rPr>
          <w:i/>
        </w:rPr>
        <w:tab/>
        <w:t>Για το Συμβούλιο</w:t>
      </w:r>
    </w:p>
    <w:p w:rsidR="00621AFB" w:rsidRPr="003B1220" w:rsidRDefault="00621AFB" w:rsidP="00621AFB">
      <w:pPr>
        <w:widowControl/>
        <w:tabs>
          <w:tab w:val="left" w:pos="4252"/>
        </w:tabs>
        <w:spacing w:line="360" w:lineRule="auto"/>
        <w:rPr>
          <w:i/>
          <w:szCs w:val="24"/>
        </w:rPr>
      </w:pPr>
      <w:r w:rsidRPr="003B1220">
        <w:rPr>
          <w:i/>
        </w:rPr>
        <w:t>Η Πρόεδρος</w:t>
      </w:r>
      <w:r w:rsidRPr="003B1220">
        <w:rPr>
          <w:i/>
        </w:rPr>
        <w:tab/>
        <w:t>Ο</w:t>
      </w:r>
      <w:r w:rsidR="00564EB0" w:rsidRPr="003B1220">
        <w:rPr>
          <w:i/>
        </w:rPr>
        <w:t>/Η</w:t>
      </w:r>
      <w:r w:rsidRPr="003B1220">
        <w:rPr>
          <w:i/>
        </w:rPr>
        <w:t xml:space="preserve"> Πρόεδρος</w:t>
      </w:r>
    </w:p>
    <w:p w:rsidR="00621AFB" w:rsidRPr="003B1220" w:rsidRDefault="00621AFB" w:rsidP="00621AFB">
      <w:pPr>
        <w:widowControl/>
        <w:spacing w:before="120" w:after="120"/>
        <w:jc w:val="center"/>
        <w:rPr>
          <w:rFonts w:eastAsia="Calibri"/>
          <w:b/>
          <w:noProof/>
          <w:szCs w:val="22"/>
        </w:rPr>
      </w:pPr>
      <w:r w:rsidRPr="003B1220">
        <w:br w:type="page"/>
      </w:r>
      <w:r w:rsidRPr="003B1220">
        <w:rPr>
          <w:b/>
        </w:rPr>
        <w:lastRenderedPageBreak/>
        <w:t>ΠΑΡΑΡΤΗΜΑ</w:t>
      </w:r>
    </w:p>
    <w:p w:rsidR="00621AFB" w:rsidRPr="003B1220" w:rsidRDefault="00621AFB" w:rsidP="00564EB0">
      <w:pPr>
        <w:keepNext/>
        <w:widowControl/>
        <w:tabs>
          <w:tab w:val="left" w:pos="850"/>
        </w:tabs>
        <w:spacing w:before="120" w:after="120"/>
        <w:jc w:val="center"/>
        <w:outlineLvl w:val="1"/>
        <w:rPr>
          <w:rFonts w:eastAsia="Calibri"/>
          <w:b/>
          <w:noProof/>
          <w:szCs w:val="22"/>
        </w:rPr>
      </w:pPr>
      <w:r w:rsidRPr="003B1220">
        <w:rPr>
          <w:b/>
        </w:rPr>
        <w:t>Τομείς, θέματα και λεπτομερή θέματα με περιοδικότητα και χρόνο αναφοράς ανά λεπτομερές θέμα</w:t>
      </w:r>
    </w:p>
    <w:tbl>
      <w:tblPr>
        <w:tblW w:w="9776" w:type="dxa"/>
        <w:tblInd w:w="-5" w:type="dxa"/>
        <w:tblLayout w:type="fixed"/>
        <w:tblLook w:val="04A0" w:firstRow="1" w:lastRow="0" w:firstColumn="1" w:lastColumn="0" w:noHBand="0" w:noVBand="1"/>
      </w:tblPr>
      <w:tblGrid>
        <w:gridCol w:w="1696"/>
        <w:gridCol w:w="1843"/>
        <w:gridCol w:w="3402"/>
        <w:gridCol w:w="1276"/>
        <w:gridCol w:w="1559"/>
      </w:tblGrid>
      <w:tr w:rsidR="00621AFB" w:rsidRPr="003B1220" w:rsidTr="00621AFB">
        <w:trPr>
          <w:cantSplit/>
          <w:trHeight w:val="517"/>
          <w:tblHeader/>
        </w:trPr>
        <w:tc>
          <w:tcPr>
            <w:tcW w:w="1696" w:type="dxa"/>
            <w:vMerge w:val="restart"/>
            <w:tcBorders>
              <w:top w:val="single" w:sz="8" w:space="0" w:color="auto"/>
              <w:left w:val="single" w:sz="8" w:space="0" w:color="auto"/>
              <w:right w:val="single" w:sz="4" w:space="0" w:color="auto"/>
            </w:tcBorders>
            <w:shd w:val="clear" w:color="auto" w:fill="FFFFFF"/>
            <w:vAlign w:val="center"/>
            <w:hideMark/>
          </w:tcPr>
          <w:p w:rsidR="00621AFB" w:rsidRPr="003B1220" w:rsidRDefault="00621AFB" w:rsidP="00621AFB">
            <w:pPr>
              <w:spacing w:before="120" w:after="120"/>
              <w:jc w:val="center"/>
              <w:rPr>
                <w:b/>
                <w:noProof/>
                <w:sz w:val="18"/>
                <w:szCs w:val="18"/>
              </w:rPr>
            </w:pPr>
            <w:r w:rsidRPr="003B1220">
              <w:rPr>
                <w:b/>
                <w:sz w:val="18"/>
                <w:szCs w:val="18"/>
              </w:rPr>
              <w:t>Τομέας</w:t>
            </w:r>
          </w:p>
        </w:tc>
        <w:tc>
          <w:tcPr>
            <w:tcW w:w="1843" w:type="dxa"/>
            <w:vMerge w:val="restart"/>
            <w:tcBorders>
              <w:top w:val="single" w:sz="8" w:space="0" w:color="auto"/>
              <w:left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b/>
                <w:noProof/>
                <w:sz w:val="18"/>
                <w:szCs w:val="18"/>
              </w:rPr>
            </w:pPr>
            <w:r w:rsidRPr="003B1220">
              <w:rPr>
                <w:b/>
                <w:sz w:val="18"/>
                <w:szCs w:val="18"/>
              </w:rPr>
              <w:t>Θέμα</w:t>
            </w:r>
          </w:p>
        </w:tc>
        <w:tc>
          <w:tcPr>
            <w:tcW w:w="3402" w:type="dxa"/>
            <w:vMerge w:val="restart"/>
            <w:tcBorders>
              <w:top w:val="single" w:sz="8" w:space="0" w:color="auto"/>
              <w:left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b/>
                <w:noProof/>
                <w:sz w:val="18"/>
                <w:szCs w:val="18"/>
              </w:rPr>
            </w:pPr>
            <w:r w:rsidRPr="003B1220">
              <w:rPr>
                <w:b/>
                <w:sz w:val="18"/>
                <w:szCs w:val="18"/>
              </w:rPr>
              <w:t>Λεπτομερή θέματα</w:t>
            </w:r>
          </w:p>
        </w:tc>
        <w:tc>
          <w:tcPr>
            <w:tcW w:w="1276" w:type="dxa"/>
            <w:vMerge w:val="restart"/>
            <w:tcBorders>
              <w:top w:val="single" w:sz="8" w:space="0" w:color="auto"/>
              <w:left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b/>
                <w:noProof/>
                <w:sz w:val="18"/>
                <w:szCs w:val="18"/>
              </w:rPr>
            </w:pPr>
            <w:r w:rsidRPr="003B1220">
              <w:rPr>
                <w:b/>
                <w:sz w:val="18"/>
                <w:szCs w:val="18"/>
              </w:rPr>
              <w:t xml:space="preserve">Περιοδικότητα </w:t>
            </w:r>
          </w:p>
        </w:tc>
        <w:tc>
          <w:tcPr>
            <w:tcW w:w="1559" w:type="dxa"/>
            <w:vMerge w:val="restart"/>
            <w:tcBorders>
              <w:top w:val="single" w:sz="8" w:space="0" w:color="auto"/>
              <w:left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b/>
                <w:noProof/>
                <w:sz w:val="18"/>
                <w:szCs w:val="18"/>
              </w:rPr>
            </w:pPr>
            <w:r w:rsidRPr="003B1220">
              <w:rPr>
                <w:b/>
                <w:sz w:val="18"/>
                <w:szCs w:val="18"/>
              </w:rPr>
              <w:t>Χρόνος αναφοράς (ημερομηνία ή περίοδος)</w:t>
            </w:r>
          </w:p>
        </w:tc>
      </w:tr>
      <w:tr w:rsidR="00621AFB" w:rsidRPr="003B1220" w:rsidTr="00621AFB">
        <w:trPr>
          <w:cantSplit/>
          <w:trHeight w:val="517"/>
          <w:tblHeader/>
        </w:trPr>
        <w:tc>
          <w:tcPr>
            <w:tcW w:w="1696" w:type="dxa"/>
            <w:vMerge/>
            <w:tcBorders>
              <w:top w:val="single" w:sz="4" w:space="0" w:color="auto"/>
              <w:left w:val="single" w:sz="8" w:space="0" w:color="auto"/>
              <w:bottom w:val="single" w:sz="4" w:space="0" w:color="auto"/>
              <w:right w:val="single" w:sz="4" w:space="0" w:color="auto"/>
            </w:tcBorders>
            <w:vAlign w:val="center"/>
            <w:hideMark/>
          </w:tcPr>
          <w:p w:rsidR="00621AFB" w:rsidRPr="003B1220" w:rsidRDefault="00621AFB" w:rsidP="00621AFB">
            <w:pPr>
              <w:spacing w:before="120" w:after="120"/>
              <w:rPr>
                <w:b/>
                <w:noProof/>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b/>
                <w:noProof/>
                <w:sz w:val="18"/>
                <w:szCs w:val="18"/>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b/>
                <w:noProof/>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b/>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b/>
                <w:noProof/>
                <w:sz w:val="18"/>
                <w:szCs w:val="18"/>
              </w:rPr>
            </w:pPr>
          </w:p>
        </w:tc>
      </w:tr>
      <w:tr w:rsidR="00621AFB" w:rsidRPr="003B1220" w:rsidTr="00621AFB">
        <w:tc>
          <w:tcPr>
            <w:tcW w:w="1696"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Δημογραφία</w:t>
            </w:r>
          </w:p>
        </w:tc>
        <w:tc>
          <w:tcPr>
            <w:tcW w:w="1843"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Πληθυσμιακά σύνολα</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Τα βασικά χαρακτηριστικά του προσώπου</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30.6.ΕΕ και</w:t>
            </w:r>
          </w:p>
          <w:p w:rsidR="00621AFB" w:rsidRPr="003B1220" w:rsidRDefault="00621AFB" w:rsidP="00621AFB">
            <w:pPr>
              <w:spacing w:after="120"/>
              <w:rPr>
                <w:sz w:val="18"/>
                <w:szCs w:val="18"/>
              </w:rPr>
            </w:pPr>
            <w:r w:rsidRPr="003B1220">
              <w:rPr>
                <w:sz w:val="18"/>
                <w:szCs w:val="18"/>
              </w:rPr>
              <w:t>31.12.ΕΕ</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31.12.ΕΕ</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Π</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31.12.ΕΕ</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Δ</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31.12.ΕΕ</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Τα κοινωνικοοικονομικά χαρακτηριστικά του προσώπου</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before="120" w:after="120"/>
              <w:rPr>
                <w:sz w:val="18"/>
                <w:szCs w:val="18"/>
              </w:rPr>
            </w:pPr>
            <w:r w:rsidRPr="003B1220">
              <w:rPr>
                <w:sz w:val="18"/>
                <w:szCs w:val="18"/>
              </w:rPr>
              <w:t>Ε</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31.12.ΕΕ</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Π</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31.12.ΕΕ</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Δ</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31.12.ΕΕ</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Γονιμότητα</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Γεννήσεις</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Τ</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Μήνας</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Επόμενα έτη</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Νόμιμες αμβλώσεις</w:t>
            </w:r>
            <w:r w:rsidRPr="003B1220">
              <w:rPr>
                <w:sz w:val="18"/>
                <w:szCs w:val="18"/>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Επόμενα έτη</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Θνησιμότητα</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Θάνατοι</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Τ</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Μήνας, εβδομάδα</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Επόμενα έτη</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Θάνατοι βρεφών</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Επόμενα έτη</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Θάνατοι εμβρύων σε προχωρημένη εγκυμοσύνη</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Επόμενα έτη</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Συμπράξεις</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Γάμοι και καταχωρισμένες σχέσεις συμβίωσης</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Επόμενα έτη</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621AFB" w:rsidRPr="003B1220" w:rsidRDefault="00621AFB" w:rsidP="00621AFB">
            <w:pPr>
              <w:spacing w:after="120"/>
              <w:rPr>
                <w:sz w:val="18"/>
                <w:szCs w:val="18"/>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Χαρακτηριστικά των ατόμων που συνάπτουν γάμο ή καταχωρισμένη σχέση συμβίωσης</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Επόμενα έτη</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621AFB" w:rsidRPr="003B1220" w:rsidRDefault="00621AFB" w:rsidP="00621AFB">
            <w:pPr>
              <w:spacing w:after="120"/>
              <w:rPr>
                <w:sz w:val="18"/>
                <w:szCs w:val="18"/>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 xml:space="preserve">Διαζύγια και καταχωρισμένες σχέσεις συμβίωσης που </w:t>
            </w:r>
            <w:proofErr w:type="spellStart"/>
            <w:r w:rsidRPr="003B1220">
              <w:rPr>
                <w:sz w:val="18"/>
                <w:szCs w:val="18"/>
              </w:rPr>
              <w:t>λύονται</w:t>
            </w:r>
            <w:proofErr w:type="spellEnd"/>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Επόμενα έτη</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Μετανάστευση</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Εισερχόμενοι μετανάστες</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Τ</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Μήνας</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Επόμενα έτη</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Εξερχόμενοι μετανάστες</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b/>
                <w:i/>
                <w:sz w:val="18"/>
                <w:szCs w:val="18"/>
              </w:rPr>
            </w:pPr>
            <w:r w:rsidRPr="003B1220">
              <w:rPr>
                <w:b/>
                <w:i/>
                <w:sz w:val="18"/>
                <w:szCs w:val="18"/>
              </w:rPr>
              <w:t>Τ</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b/>
                <w:i/>
                <w:sz w:val="18"/>
                <w:szCs w:val="18"/>
              </w:rPr>
            </w:pPr>
            <w:r w:rsidRPr="003B1220">
              <w:rPr>
                <w:b/>
                <w:i/>
                <w:sz w:val="18"/>
                <w:szCs w:val="18"/>
              </w:rPr>
              <w:t>Μήνας</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Επόμενα έτη</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Εσωτερική μετανάστευση</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Επόμενα έτη</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 xml:space="preserve">Απόκτηση και απώλεια υπηκοότητας των κρατών μελών της ΕΕ </w:t>
            </w:r>
            <w:r w:rsidRPr="003B1220">
              <w:rPr>
                <w:sz w:val="18"/>
                <w:szCs w:val="18"/>
              </w:rPr>
              <w:lastRenderedPageBreak/>
              <w:t>και της Ένωσης</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lastRenderedPageBreak/>
              <w:t>Άτομα που απέκτησαν ιθαγένεια</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Επόμενα έτη</w:t>
            </w:r>
          </w:p>
        </w:tc>
      </w:tr>
      <w:tr w:rsidR="00621AFB" w:rsidRPr="003B1220" w:rsidTr="00621AFB">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sz w:val="18"/>
                <w:szCs w:val="18"/>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Άτομα που απώλεσαν / παραιτήθηκαν από την ιθαγένεια</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Επόμενα έτη</w:t>
            </w:r>
          </w:p>
        </w:tc>
      </w:tr>
      <w:tr w:rsidR="00621AFB" w:rsidRPr="003B1220" w:rsidTr="00621AFB">
        <w:trPr>
          <w:cantSplit/>
        </w:trPr>
        <w:tc>
          <w:tcPr>
            <w:tcW w:w="169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Στέγαση</w:t>
            </w:r>
          </w:p>
        </w:tc>
        <w:tc>
          <w:tcPr>
            <w:tcW w:w="1843" w:type="dxa"/>
            <w:tcBorders>
              <w:top w:val="nil"/>
              <w:left w:val="single" w:sz="4" w:space="0" w:color="auto"/>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Στεγαστικά καταλύματα</w:t>
            </w:r>
          </w:p>
        </w:tc>
        <w:tc>
          <w:tcPr>
            <w:tcW w:w="3402"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Χαρακτηριστικά στεγαστικών καταλυμάτων</w:t>
            </w:r>
          </w:p>
        </w:tc>
        <w:tc>
          <w:tcPr>
            <w:tcW w:w="1276"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Δ</w:t>
            </w:r>
          </w:p>
        </w:tc>
        <w:tc>
          <w:tcPr>
            <w:tcW w:w="1559"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31.12.ΕΕ</w:t>
            </w:r>
          </w:p>
        </w:tc>
      </w:tr>
      <w:tr w:rsidR="00621AFB" w:rsidRPr="003B1220" w:rsidTr="00621AFB">
        <w:trPr>
          <w:cantSplit/>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noProof/>
                <w:sz w:val="18"/>
                <w:szCs w:val="18"/>
              </w:rPr>
            </w:pP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jc w:val="center"/>
              <w:rPr>
                <w:noProof/>
                <w:sz w:val="18"/>
                <w:szCs w:val="18"/>
              </w:rPr>
            </w:pPr>
            <w:r w:rsidRPr="003B1220">
              <w:rPr>
                <w:sz w:val="18"/>
                <w:szCs w:val="18"/>
              </w:rPr>
              <w:t>Συμβατικές κατοικίες</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Βασικά χαρακτηριστικά κτιρίων</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Π</w:t>
            </w:r>
          </w:p>
        </w:tc>
        <w:tc>
          <w:tcPr>
            <w:tcW w:w="1559"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31.12.ΕΕ</w:t>
            </w:r>
          </w:p>
        </w:tc>
      </w:tr>
      <w:tr w:rsidR="00621AFB" w:rsidRPr="003B1220" w:rsidTr="00621AFB">
        <w:trPr>
          <w:cantSplit/>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noProof/>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noProof/>
                <w:sz w:val="18"/>
                <w:szCs w:val="18"/>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621AFB" w:rsidRPr="003B1220" w:rsidRDefault="00621AFB" w:rsidP="00621AFB">
            <w:pPr>
              <w:spacing w:before="120" w:after="120"/>
              <w:rPr>
                <w:noProof/>
                <w:sz w:val="18"/>
                <w:szCs w:val="18"/>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Δ</w:t>
            </w:r>
          </w:p>
        </w:tc>
        <w:tc>
          <w:tcPr>
            <w:tcW w:w="1559"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31.12.ΕΕ</w:t>
            </w:r>
          </w:p>
        </w:tc>
      </w:tr>
      <w:tr w:rsidR="00621AFB" w:rsidRPr="003B1220" w:rsidTr="00621AFB">
        <w:trPr>
          <w:cantSplit/>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noProof/>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noProof/>
                <w:sz w:val="18"/>
                <w:szCs w:val="18"/>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jc w:val="center"/>
              <w:rPr>
                <w:noProof/>
                <w:sz w:val="18"/>
                <w:szCs w:val="18"/>
              </w:rPr>
            </w:pPr>
            <w:r w:rsidRPr="003B1220">
              <w:rPr>
                <w:sz w:val="18"/>
                <w:szCs w:val="18"/>
              </w:rPr>
              <w:t>Χαρακτηριστικά κτιρίων που σχετίζονται με την ενέργεια</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MA</w:t>
            </w:r>
            <w:r w:rsidRPr="003B1220">
              <w:rPr>
                <w:sz w:val="18"/>
                <w:szCs w:val="18"/>
              </w:rPr>
              <w:br/>
              <w:t>(A από το 2031 και έπειτα)</w:t>
            </w:r>
          </w:p>
        </w:tc>
        <w:tc>
          <w:tcPr>
            <w:tcW w:w="1559"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31.12.ΕΕ</w:t>
            </w:r>
          </w:p>
        </w:tc>
      </w:tr>
      <w:tr w:rsidR="00621AFB" w:rsidRPr="003B1220" w:rsidTr="00621AFB">
        <w:trPr>
          <w:cantSplit/>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noProof/>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noProof/>
                <w:sz w:val="18"/>
                <w:szCs w:val="18"/>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noProof/>
                <w:sz w:val="18"/>
                <w:szCs w:val="18"/>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Δ</w:t>
            </w:r>
          </w:p>
        </w:tc>
        <w:tc>
          <w:tcPr>
            <w:tcW w:w="1559"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31.12.ΕΕ</w:t>
            </w:r>
          </w:p>
        </w:tc>
      </w:tr>
      <w:tr w:rsidR="00621AFB" w:rsidRPr="003B1220" w:rsidTr="00621AFB">
        <w:trPr>
          <w:cantSplit/>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noProof/>
                <w:sz w:val="18"/>
                <w:szCs w:val="18"/>
              </w:rPr>
            </w:pP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Κατειλημμένες συμβατικές κατοικίες</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Χαρακτηριστικά κατειλημμένων συμβατικών κατοικιών</w:t>
            </w:r>
          </w:p>
        </w:tc>
        <w:tc>
          <w:tcPr>
            <w:tcW w:w="1276"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Δ</w:t>
            </w:r>
          </w:p>
        </w:tc>
        <w:tc>
          <w:tcPr>
            <w:tcW w:w="1559"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31.12.ΕΕ</w:t>
            </w:r>
          </w:p>
        </w:tc>
      </w:tr>
      <w:tr w:rsidR="00621AFB" w:rsidRPr="003B1220" w:rsidTr="00621AFB">
        <w:trPr>
          <w:cantSplit/>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noProof/>
                <w:sz w:val="18"/>
                <w:szCs w:val="18"/>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621AFB" w:rsidRPr="003B1220" w:rsidRDefault="00621AFB" w:rsidP="00621AFB">
            <w:pPr>
              <w:spacing w:before="120" w:after="120"/>
              <w:rPr>
                <w:noProof/>
                <w:sz w:val="18"/>
                <w:szCs w:val="18"/>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Χρήση κατειλημμένων συμβατικών κατοικιών</w:t>
            </w:r>
          </w:p>
        </w:tc>
        <w:tc>
          <w:tcPr>
            <w:tcW w:w="1276"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Δ</w:t>
            </w:r>
          </w:p>
        </w:tc>
        <w:tc>
          <w:tcPr>
            <w:tcW w:w="1559"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31.12.ΕΕ</w:t>
            </w:r>
          </w:p>
        </w:tc>
      </w:tr>
      <w:tr w:rsidR="00621AFB" w:rsidRPr="003B1220" w:rsidTr="00621AFB">
        <w:trPr>
          <w:cantSplit/>
        </w:trPr>
        <w:tc>
          <w:tcPr>
            <w:tcW w:w="1696"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Οικογένειες και νοικοκυριά</w:t>
            </w:r>
          </w:p>
        </w:tc>
        <w:tc>
          <w:tcPr>
            <w:tcW w:w="1843"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Οικογένειες</w:t>
            </w:r>
          </w:p>
        </w:tc>
        <w:tc>
          <w:tcPr>
            <w:tcW w:w="3402"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Χαρακτηριστικά οικογενειών</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Δ</w:t>
            </w:r>
          </w:p>
        </w:tc>
        <w:tc>
          <w:tcPr>
            <w:tcW w:w="1559"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31.12.ΕΕ</w:t>
            </w:r>
          </w:p>
        </w:tc>
      </w:tr>
      <w:tr w:rsidR="00621AFB" w:rsidRPr="003B1220" w:rsidTr="00621AFB">
        <w:trPr>
          <w:cantSplit/>
        </w:trPr>
        <w:tc>
          <w:tcPr>
            <w:tcW w:w="1696" w:type="dxa"/>
            <w:vMerge/>
            <w:tcBorders>
              <w:top w:val="single" w:sz="4" w:space="0" w:color="auto"/>
              <w:left w:val="single" w:sz="8" w:space="0" w:color="auto"/>
              <w:bottom w:val="single" w:sz="4" w:space="0" w:color="000000"/>
              <w:right w:val="single" w:sz="4" w:space="0" w:color="auto"/>
            </w:tcBorders>
            <w:vAlign w:val="center"/>
            <w:hideMark/>
          </w:tcPr>
          <w:p w:rsidR="00621AFB" w:rsidRPr="003B1220" w:rsidRDefault="00621AFB" w:rsidP="00621AFB">
            <w:pPr>
              <w:spacing w:before="120" w:after="120"/>
              <w:rPr>
                <w:noProof/>
                <w:sz w:val="18"/>
                <w:szCs w:val="18"/>
              </w:rPr>
            </w:pPr>
          </w:p>
        </w:tc>
        <w:tc>
          <w:tcPr>
            <w:tcW w:w="1843" w:type="dxa"/>
            <w:vMerge w:val="restart"/>
            <w:tcBorders>
              <w:top w:val="single" w:sz="4" w:space="0" w:color="auto"/>
              <w:left w:val="nil"/>
              <w:bottom w:val="single" w:sz="4" w:space="0" w:color="000000"/>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Νοικοκυριά</w:t>
            </w:r>
          </w:p>
        </w:tc>
        <w:tc>
          <w:tcPr>
            <w:tcW w:w="3402" w:type="dxa"/>
            <w:vMerge w:val="restart"/>
            <w:tcBorders>
              <w:top w:val="single" w:sz="4" w:space="0" w:color="auto"/>
              <w:left w:val="nil"/>
              <w:bottom w:val="nil"/>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Χαρακτηριστικά νοικοκυριών</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Ε</w:t>
            </w:r>
          </w:p>
        </w:tc>
        <w:tc>
          <w:tcPr>
            <w:tcW w:w="1559"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31.12.ΕΕ</w:t>
            </w:r>
          </w:p>
        </w:tc>
      </w:tr>
      <w:tr w:rsidR="00621AFB" w:rsidRPr="003B1220" w:rsidTr="00621AFB">
        <w:trPr>
          <w:cantSplit/>
        </w:trPr>
        <w:tc>
          <w:tcPr>
            <w:tcW w:w="1696" w:type="dxa"/>
            <w:vMerge/>
            <w:tcBorders>
              <w:top w:val="single" w:sz="4" w:space="0" w:color="auto"/>
              <w:left w:val="single" w:sz="8" w:space="0" w:color="auto"/>
              <w:bottom w:val="single" w:sz="4" w:space="0" w:color="000000"/>
              <w:right w:val="single" w:sz="4" w:space="0" w:color="auto"/>
            </w:tcBorders>
            <w:vAlign w:val="center"/>
            <w:hideMark/>
          </w:tcPr>
          <w:p w:rsidR="00621AFB" w:rsidRPr="003B1220" w:rsidRDefault="00621AFB" w:rsidP="00621AFB">
            <w:pPr>
              <w:spacing w:before="120" w:after="120"/>
              <w:rPr>
                <w:noProof/>
                <w:sz w:val="18"/>
                <w:szCs w:val="18"/>
              </w:rPr>
            </w:pPr>
          </w:p>
        </w:tc>
        <w:tc>
          <w:tcPr>
            <w:tcW w:w="1843" w:type="dxa"/>
            <w:vMerge/>
            <w:tcBorders>
              <w:top w:val="single" w:sz="4" w:space="0" w:color="auto"/>
              <w:left w:val="nil"/>
              <w:bottom w:val="single" w:sz="4" w:space="0" w:color="000000"/>
              <w:right w:val="single" w:sz="4" w:space="0" w:color="auto"/>
            </w:tcBorders>
            <w:vAlign w:val="center"/>
            <w:hideMark/>
          </w:tcPr>
          <w:p w:rsidR="00621AFB" w:rsidRPr="003B1220" w:rsidRDefault="00621AFB" w:rsidP="00621AFB">
            <w:pPr>
              <w:spacing w:before="120" w:after="120"/>
              <w:rPr>
                <w:noProof/>
                <w:sz w:val="18"/>
                <w:szCs w:val="18"/>
              </w:rPr>
            </w:pPr>
          </w:p>
        </w:tc>
        <w:tc>
          <w:tcPr>
            <w:tcW w:w="3402" w:type="dxa"/>
            <w:vMerge/>
            <w:tcBorders>
              <w:top w:val="single" w:sz="4" w:space="0" w:color="auto"/>
              <w:left w:val="nil"/>
              <w:bottom w:val="nil"/>
              <w:right w:val="single" w:sz="4" w:space="0" w:color="auto"/>
            </w:tcBorders>
            <w:vAlign w:val="center"/>
            <w:hideMark/>
          </w:tcPr>
          <w:p w:rsidR="00621AFB" w:rsidRPr="003B1220" w:rsidRDefault="00621AFB" w:rsidP="00621AFB">
            <w:pPr>
              <w:spacing w:before="120" w:after="120"/>
              <w:rPr>
                <w:noProof/>
                <w:sz w:val="18"/>
                <w:szCs w:val="18"/>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Π</w:t>
            </w:r>
          </w:p>
        </w:tc>
        <w:tc>
          <w:tcPr>
            <w:tcW w:w="1559"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31.12.ΕΕ</w:t>
            </w:r>
          </w:p>
        </w:tc>
      </w:tr>
      <w:tr w:rsidR="00621AFB" w:rsidRPr="003B1220" w:rsidTr="00621AFB">
        <w:trPr>
          <w:cantSplit/>
        </w:trPr>
        <w:tc>
          <w:tcPr>
            <w:tcW w:w="1696" w:type="dxa"/>
            <w:vMerge/>
            <w:tcBorders>
              <w:top w:val="single" w:sz="4" w:space="0" w:color="auto"/>
              <w:left w:val="single" w:sz="8" w:space="0" w:color="auto"/>
              <w:bottom w:val="single" w:sz="4" w:space="0" w:color="000000"/>
              <w:right w:val="single" w:sz="4" w:space="0" w:color="auto"/>
            </w:tcBorders>
            <w:vAlign w:val="center"/>
            <w:hideMark/>
          </w:tcPr>
          <w:p w:rsidR="00621AFB" w:rsidRPr="003B1220" w:rsidRDefault="00621AFB" w:rsidP="00621AFB">
            <w:pPr>
              <w:spacing w:before="120" w:after="120"/>
              <w:rPr>
                <w:noProof/>
                <w:sz w:val="18"/>
                <w:szCs w:val="18"/>
              </w:rPr>
            </w:pPr>
          </w:p>
        </w:tc>
        <w:tc>
          <w:tcPr>
            <w:tcW w:w="1843" w:type="dxa"/>
            <w:vMerge/>
            <w:tcBorders>
              <w:top w:val="single" w:sz="4" w:space="0" w:color="auto"/>
              <w:left w:val="nil"/>
              <w:bottom w:val="single" w:sz="4" w:space="0" w:color="000000"/>
              <w:right w:val="single" w:sz="4" w:space="0" w:color="auto"/>
            </w:tcBorders>
            <w:vAlign w:val="center"/>
            <w:hideMark/>
          </w:tcPr>
          <w:p w:rsidR="00621AFB" w:rsidRPr="003B1220" w:rsidRDefault="00621AFB" w:rsidP="00621AFB">
            <w:pPr>
              <w:spacing w:before="120" w:after="120"/>
              <w:rPr>
                <w:noProof/>
                <w:sz w:val="18"/>
                <w:szCs w:val="18"/>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Η κατάσταση του νοικοκυριού του ατόμου</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Ε</w:t>
            </w:r>
          </w:p>
        </w:tc>
        <w:tc>
          <w:tcPr>
            <w:tcW w:w="1559"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31.12.ΕΕ</w:t>
            </w:r>
          </w:p>
        </w:tc>
      </w:tr>
      <w:tr w:rsidR="00621AFB" w:rsidRPr="003B1220" w:rsidTr="00564EB0">
        <w:trPr>
          <w:cantSplit/>
        </w:trPr>
        <w:tc>
          <w:tcPr>
            <w:tcW w:w="1696" w:type="dxa"/>
            <w:vMerge/>
            <w:tcBorders>
              <w:top w:val="single" w:sz="4" w:space="0" w:color="auto"/>
              <w:left w:val="single" w:sz="8" w:space="0" w:color="auto"/>
              <w:bottom w:val="single" w:sz="4" w:space="0" w:color="auto"/>
              <w:right w:val="single" w:sz="4" w:space="0" w:color="auto"/>
            </w:tcBorders>
            <w:vAlign w:val="center"/>
            <w:hideMark/>
          </w:tcPr>
          <w:p w:rsidR="00621AFB" w:rsidRPr="003B1220" w:rsidRDefault="00621AFB" w:rsidP="00621AFB">
            <w:pPr>
              <w:spacing w:before="120" w:after="120"/>
              <w:rPr>
                <w:noProof/>
                <w:sz w:val="18"/>
                <w:szCs w:val="18"/>
              </w:rPr>
            </w:pPr>
          </w:p>
        </w:tc>
        <w:tc>
          <w:tcPr>
            <w:tcW w:w="1843" w:type="dxa"/>
            <w:vMerge/>
            <w:tcBorders>
              <w:top w:val="single" w:sz="4" w:space="0" w:color="auto"/>
              <w:left w:val="nil"/>
              <w:bottom w:val="single" w:sz="4" w:space="0" w:color="auto"/>
              <w:right w:val="single" w:sz="4" w:space="0" w:color="auto"/>
            </w:tcBorders>
            <w:vAlign w:val="center"/>
            <w:hideMark/>
          </w:tcPr>
          <w:p w:rsidR="00621AFB" w:rsidRPr="003B1220" w:rsidRDefault="00621AFB" w:rsidP="00621AFB">
            <w:pPr>
              <w:spacing w:before="120" w:after="120"/>
              <w:rPr>
                <w:noProof/>
                <w:sz w:val="18"/>
                <w:szCs w:val="18"/>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621AFB" w:rsidRPr="003B1220" w:rsidRDefault="00621AFB" w:rsidP="00621AFB">
            <w:pPr>
              <w:spacing w:before="120" w:after="120"/>
              <w:rPr>
                <w:noProof/>
                <w:sz w:val="18"/>
                <w:szCs w:val="18"/>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Δ</w:t>
            </w:r>
          </w:p>
        </w:tc>
        <w:tc>
          <w:tcPr>
            <w:tcW w:w="1559" w:type="dxa"/>
            <w:tcBorders>
              <w:top w:val="nil"/>
              <w:left w:val="nil"/>
              <w:bottom w:val="single" w:sz="4" w:space="0" w:color="auto"/>
              <w:right w:val="single" w:sz="4" w:space="0" w:color="auto"/>
            </w:tcBorders>
            <w:shd w:val="clear" w:color="auto" w:fill="FFFFFF"/>
            <w:vAlign w:val="center"/>
            <w:hideMark/>
          </w:tcPr>
          <w:p w:rsidR="00621AFB" w:rsidRPr="003B1220" w:rsidRDefault="00621AFB" w:rsidP="00621AFB">
            <w:pPr>
              <w:spacing w:before="120" w:after="120"/>
              <w:jc w:val="center"/>
              <w:rPr>
                <w:noProof/>
                <w:sz w:val="18"/>
                <w:szCs w:val="18"/>
              </w:rPr>
            </w:pPr>
            <w:r w:rsidRPr="003B1220">
              <w:rPr>
                <w:sz w:val="18"/>
                <w:szCs w:val="18"/>
              </w:rPr>
              <w:t>31.12.ΕΕ</w:t>
            </w:r>
          </w:p>
        </w:tc>
      </w:tr>
      <w:tr w:rsidR="00621AFB" w:rsidRPr="003B1220" w:rsidTr="00564EB0">
        <w:tc>
          <w:tcPr>
            <w:tcW w:w="9776" w:type="dxa"/>
            <w:gridSpan w:val="5"/>
            <w:tcBorders>
              <w:top w:val="single" w:sz="4" w:space="0" w:color="auto"/>
              <w:left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rPr>
              <w:t>_______________________________________</w:t>
            </w:r>
          </w:p>
        </w:tc>
      </w:tr>
      <w:tr w:rsidR="00621AFB" w:rsidRPr="003B1220" w:rsidTr="00564EB0">
        <w:tc>
          <w:tcPr>
            <w:tcW w:w="9776" w:type="dxa"/>
            <w:gridSpan w:val="5"/>
            <w:tcBorders>
              <w:left w:val="single" w:sz="4" w:space="0" w:color="auto"/>
              <w:bottom w:val="single" w:sz="4" w:space="0" w:color="auto"/>
              <w:right w:val="single" w:sz="4" w:space="0" w:color="auto"/>
            </w:tcBorders>
            <w:tcMar>
              <w:top w:w="0" w:type="dxa"/>
              <w:left w:w="340" w:type="dxa"/>
              <w:bottom w:w="0" w:type="dxa"/>
              <w:right w:w="340" w:type="dxa"/>
            </w:tcMar>
            <w:hideMark/>
          </w:tcPr>
          <w:p w:rsidR="00621AFB" w:rsidRPr="003B1220" w:rsidRDefault="00621AFB" w:rsidP="00621AFB">
            <w:pPr>
              <w:spacing w:after="120"/>
              <w:rPr>
                <w:sz w:val="18"/>
                <w:szCs w:val="18"/>
              </w:rPr>
            </w:pPr>
            <w:r w:rsidRPr="003B1220">
              <w:rPr>
                <w:sz w:val="18"/>
                <w:szCs w:val="18"/>
                <w:vertAlign w:val="superscript"/>
              </w:rPr>
              <w:t>1</w:t>
            </w:r>
            <w:r w:rsidRPr="003B1220">
              <w:rPr>
                <w:sz w:val="18"/>
                <w:szCs w:val="18"/>
              </w:rPr>
              <w:t xml:space="preserve"> Παρέχεται σε προαιρετική βάση.</w:t>
            </w:r>
          </w:p>
        </w:tc>
      </w:tr>
    </w:tbl>
    <w:p w:rsidR="00621AFB" w:rsidRPr="003B1220" w:rsidRDefault="00621AFB" w:rsidP="00621AFB">
      <w:pPr>
        <w:spacing w:before="120" w:after="120" w:line="360" w:lineRule="auto"/>
        <w:outlineLvl w:val="0"/>
        <w:rPr>
          <w:b/>
          <w:i/>
          <w:iCs/>
          <w:noProof/>
          <w:szCs w:val="24"/>
          <w:lang w:eastAsia="en-US"/>
        </w:rPr>
      </w:pPr>
    </w:p>
    <w:p w:rsidR="00621AFB" w:rsidRPr="003B1220" w:rsidRDefault="00621AFB" w:rsidP="00621AFB">
      <w:pPr>
        <w:keepNext/>
        <w:widowControl/>
        <w:tabs>
          <w:tab w:val="left" w:pos="850"/>
        </w:tabs>
        <w:spacing w:before="120" w:after="120"/>
        <w:ind w:left="850" w:hanging="850"/>
        <w:jc w:val="both"/>
        <w:outlineLvl w:val="1"/>
        <w:rPr>
          <w:rFonts w:eastAsia="Calibri"/>
          <w:b/>
          <w:noProof/>
          <w:szCs w:val="22"/>
        </w:rPr>
      </w:pPr>
      <w:r w:rsidRPr="003B1220">
        <w:rPr>
          <w:b/>
        </w:rPr>
        <w:t>Υπόμνημα</w:t>
      </w:r>
    </w:p>
    <w:tbl>
      <w:tblPr>
        <w:tblW w:w="5660" w:type="dxa"/>
        <w:tblLook w:val="04A0" w:firstRow="1" w:lastRow="0" w:firstColumn="1" w:lastColumn="0" w:noHBand="0" w:noVBand="1"/>
      </w:tblPr>
      <w:tblGrid>
        <w:gridCol w:w="4644"/>
        <w:gridCol w:w="1016"/>
      </w:tblGrid>
      <w:tr w:rsidR="00621AFB" w:rsidRPr="003B1220" w:rsidTr="00621AFB">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rsidR="00621AFB" w:rsidRPr="003B1220" w:rsidRDefault="00621AFB" w:rsidP="00621AFB">
            <w:pPr>
              <w:keepNext/>
              <w:widowControl/>
              <w:tabs>
                <w:tab w:val="left" w:pos="850"/>
              </w:tabs>
              <w:spacing w:before="120" w:after="120"/>
              <w:ind w:left="850" w:hanging="850"/>
              <w:jc w:val="center"/>
              <w:outlineLvl w:val="1"/>
              <w:rPr>
                <w:rFonts w:eastAsia="Calibri"/>
                <w:b/>
                <w:noProof/>
                <w:sz w:val="20"/>
                <w:szCs w:val="22"/>
              </w:rPr>
            </w:pPr>
            <w:r w:rsidRPr="003B1220">
              <w:rPr>
                <w:b/>
                <w:sz w:val="20"/>
              </w:rPr>
              <w:t>Περιοδικότητα</w:t>
            </w:r>
          </w:p>
        </w:tc>
      </w:tr>
      <w:tr w:rsidR="00621AFB" w:rsidRPr="003B1220" w:rsidTr="00621AFB">
        <w:tc>
          <w:tcPr>
            <w:tcW w:w="4644" w:type="dxa"/>
            <w:tcBorders>
              <w:top w:val="nil"/>
              <w:left w:val="single" w:sz="8" w:space="0" w:color="auto"/>
              <w:bottom w:val="single" w:sz="4" w:space="0" w:color="auto"/>
              <w:right w:val="single" w:sz="4" w:space="0" w:color="auto"/>
            </w:tcBorders>
            <w:shd w:val="clear" w:color="000000" w:fill="FFFFFF"/>
            <w:vAlign w:val="center"/>
            <w:hideMark/>
          </w:tcPr>
          <w:p w:rsidR="00621AFB" w:rsidRPr="003B1220" w:rsidRDefault="00621AFB" w:rsidP="00621AFB">
            <w:pPr>
              <w:spacing w:before="120" w:after="120"/>
              <w:jc w:val="center"/>
              <w:rPr>
                <w:noProof/>
                <w:sz w:val="20"/>
                <w:szCs w:val="24"/>
              </w:rPr>
            </w:pPr>
            <w:r w:rsidRPr="003B1220">
              <w:rPr>
                <w:sz w:val="20"/>
              </w:rPr>
              <w:t>Τριμηνιαία</w:t>
            </w:r>
          </w:p>
        </w:tc>
        <w:tc>
          <w:tcPr>
            <w:tcW w:w="1016" w:type="dxa"/>
            <w:tcBorders>
              <w:top w:val="nil"/>
              <w:left w:val="nil"/>
              <w:bottom w:val="single" w:sz="4" w:space="0" w:color="auto"/>
              <w:right w:val="single" w:sz="8" w:space="0" w:color="auto"/>
            </w:tcBorders>
            <w:shd w:val="clear" w:color="000000" w:fill="FFFFFF"/>
            <w:vAlign w:val="center"/>
            <w:hideMark/>
          </w:tcPr>
          <w:p w:rsidR="00621AFB" w:rsidRPr="003B1220" w:rsidRDefault="00621AFB" w:rsidP="00621AFB">
            <w:pPr>
              <w:spacing w:before="120" w:after="120"/>
              <w:jc w:val="center"/>
              <w:rPr>
                <w:noProof/>
                <w:sz w:val="20"/>
                <w:szCs w:val="24"/>
              </w:rPr>
            </w:pPr>
            <w:r w:rsidRPr="003B1220">
              <w:rPr>
                <w:sz w:val="20"/>
              </w:rPr>
              <w:t>Τ</w:t>
            </w:r>
          </w:p>
        </w:tc>
      </w:tr>
      <w:tr w:rsidR="00621AFB" w:rsidRPr="003B1220" w:rsidTr="00621AFB">
        <w:tc>
          <w:tcPr>
            <w:tcW w:w="4644" w:type="dxa"/>
            <w:tcBorders>
              <w:top w:val="nil"/>
              <w:left w:val="single" w:sz="8" w:space="0" w:color="auto"/>
              <w:bottom w:val="single" w:sz="4" w:space="0" w:color="auto"/>
              <w:right w:val="single" w:sz="4" w:space="0" w:color="auto"/>
            </w:tcBorders>
            <w:shd w:val="clear" w:color="000000" w:fill="FFFFFF"/>
            <w:vAlign w:val="center"/>
            <w:hideMark/>
          </w:tcPr>
          <w:p w:rsidR="00621AFB" w:rsidRPr="003B1220" w:rsidRDefault="00621AFB" w:rsidP="00621AFB">
            <w:pPr>
              <w:spacing w:before="120" w:after="120"/>
              <w:jc w:val="center"/>
              <w:rPr>
                <w:noProof/>
                <w:sz w:val="20"/>
                <w:szCs w:val="24"/>
              </w:rPr>
            </w:pPr>
            <w:r w:rsidRPr="003B1220">
              <w:rPr>
                <w:sz w:val="20"/>
              </w:rPr>
              <w:t>Ανά 6 μήνες</w:t>
            </w:r>
          </w:p>
        </w:tc>
        <w:tc>
          <w:tcPr>
            <w:tcW w:w="1016" w:type="dxa"/>
            <w:tcBorders>
              <w:top w:val="nil"/>
              <w:left w:val="nil"/>
              <w:bottom w:val="single" w:sz="4" w:space="0" w:color="auto"/>
              <w:right w:val="single" w:sz="8" w:space="0" w:color="auto"/>
            </w:tcBorders>
            <w:shd w:val="clear" w:color="000000" w:fill="FFFFFF"/>
            <w:vAlign w:val="center"/>
            <w:hideMark/>
          </w:tcPr>
          <w:p w:rsidR="00621AFB" w:rsidRPr="003B1220" w:rsidRDefault="00621AFB" w:rsidP="00621AFB">
            <w:pPr>
              <w:spacing w:before="120" w:after="120"/>
              <w:jc w:val="center"/>
              <w:rPr>
                <w:noProof/>
                <w:sz w:val="20"/>
                <w:szCs w:val="24"/>
              </w:rPr>
            </w:pPr>
            <w:r w:rsidRPr="003B1220">
              <w:rPr>
                <w:sz w:val="20"/>
              </w:rPr>
              <w:t>6M</w:t>
            </w:r>
          </w:p>
        </w:tc>
      </w:tr>
      <w:tr w:rsidR="00621AFB" w:rsidRPr="003B1220" w:rsidTr="00621AFB">
        <w:tc>
          <w:tcPr>
            <w:tcW w:w="4644" w:type="dxa"/>
            <w:tcBorders>
              <w:top w:val="nil"/>
              <w:left w:val="single" w:sz="8" w:space="0" w:color="auto"/>
              <w:bottom w:val="single" w:sz="4" w:space="0" w:color="auto"/>
              <w:right w:val="single" w:sz="4" w:space="0" w:color="auto"/>
            </w:tcBorders>
            <w:shd w:val="clear" w:color="000000" w:fill="FFFFFF"/>
            <w:vAlign w:val="center"/>
            <w:hideMark/>
          </w:tcPr>
          <w:p w:rsidR="00621AFB" w:rsidRPr="003B1220" w:rsidRDefault="00621AFB" w:rsidP="00621AFB">
            <w:pPr>
              <w:spacing w:before="120" w:after="120"/>
              <w:jc w:val="center"/>
              <w:rPr>
                <w:noProof/>
                <w:sz w:val="20"/>
                <w:szCs w:val="24"/>
              </w:rPr>
            </w:pPr>
            <w:r w:rsidRPr="003B1220">
              <w:rPr>
                <w:sz w:val="20"/>
              </w:rPr>
              <w:t>ετήσια διάρκεια</w:t>
            </w:r>
          </w:p>
        </w:tc>
        <w:tc>
          <w:tcPr>
            <w:tcW w:w="1016" w:type="dxa"/>
            <w:tcBorders>
              <w:top w:val="nil"/>
              <w:left w:val="nil"/>
              <w:bottom w:val="single" w:sz="4" w:space="0" w:color="auto"/>
              <w:right w:val="single" w:sz="8" w:space="0" w:color="auto"/>
            </w:tcBorders>
            <w:shd w:val="clear" w:color="000000" w:fill="FFFFFF"/>
            <w:vAlign w:val="center"/>
            <w:hideMark/>
          </w:tcPr>
          <w:p w:rsidR="00621AFB" w:rsidRPr="003B1220" w:rsidRDefault="00621AFB" w:rsidP="00621AFB">
            <w:pPr>
              <w:spacing w:before="120" w:after="120"/>
              <w:jc w:val="center"/>
              <w:rPr>
                <w:noProof/>
                <w:sz w:val="20"/>
                <w:szCs w:val="24"/>
              </w:rPr>
            </w:pPr>
            <w:r w:rsidRPr="003B1220">
              <w:rPr>
                <w:sz w:val="20"/>
              </w:rPr>
              <w:t>Ε</w:t>
            </w:r>
          </w:p>
        </w:tc>
      </w:tr>
      <w:tr w:rsidR="00621AFB" w:rsidRPr="003B1220" w:rsidTr="00621AFB">
        <w:tc>
          <w:tcPr>
            <w:tcW w:w="4644" w:type="dxa"/>
            <w:tcBorders>
              <w:top w:val="nil"/>
              <w:left w:val="single" w:sz="8" w:space="0" w:color="auto"/>
              <w:bottom w:val="single" w:sz="4" w:space="0" w:color="auto"/>
              <w:right w:val="single" w:sz="4" w:space="0" w:color="auto"/>
            </w:tcBorders>
            <w:shd w:val="clear" w:color="000000" w:fill="FFFFFF"/>
            <w:vAlign w:val="center"/>
            <w:hideMark/>
          </w:tcPr>
          <w:p w:rsidR="00621AFB" w:rsidRPr="003B1220" w:rsidRDefault="00621AFB" w:rsidP="00621AFB">
            <w:pPr>
              <w:spacing w:before="120" w:after="120"/>
              <w:jc w:val="center"/>
              <w:rPr>
                <w:noProof/>
                <w:sz w:val="20"/>
                <w:szCs w:val="24"/>
              </w:rPr>
            </w:pPr>
            <w:r w:rsidRPr="003B1220">
              <w:rPr>
                <w:sz w:val="20"/>
              </w:rPr>
              <w:t>Πολυετής (έτη που λήγουν σε «1», «5», «8»)</w:t>
            </w:r>
          </w:p>
        </w:tc>
        <w:tc>
          <w:tcPr>
            <w:tcW w:w="1016" w:type="dxa"/>
            <w:tcBorders>
              <w:top w:val="nil"/>
              <w:left w:val="nil"/>
              <w:bottom w:val="single" w:sz="4" w:space="0" w:color="auto"/>
              <w:right w:val="single" w:sz="8" w:space="0" w:color="auto"/>
            </w:tcBorders>
            <w:shd w:val="clear" w:color="000000" w:fill="FFFFFF"/>
            <w:vAlign w:val="center"/>
            <w:hideMark/>
          </w:tcPr>
          <w:p w:rsidR="00621AFB" w:rsidRPr="003B1220" w:rsidRDefault="00621AFB" w:rsidP="00621AFB">
            <w:pPr>
              <w:spacing w:before="120" w:after="120"/>
              <w:jc w:val="center"/>
              <w:rPr>
                <w:noProof/>
                <w:sz w:val="20"/>
                <w:szCs w:val="24"/>
              </w:rPr>
            </w:pPr>
            <w:r w:rsidRPr="003B1220">
              <w:rPr>
                <w:sz w:val="20"/>
              </w:rPr>
              <w:t>Π</w:t>
            </w:r>
          </w:p>
        </w:tc>
      </w:tr>
      <w:tr w:rsidR="00621AFB" w:rsidRPr="003B1220" w:rsidTr="00621AFB">
        <w:tc>
          <w:tcPr>
            <w:tcW w:w="4644" w:type="dxa"/>
            <w:tcBorders>
              <w:top w:val="nil"/>
              <w:left w:val="single" w:sz="8" w:space="0" w:color="auto"/>
              <w:bottom w:val="single" w:sz="8" w:space="0" w:color="auto"/>
              <w:right w:val="single" w:sz="4" w:space="0" w:color="auto"/>
            </w:tcBorders>
            <w:shd w:val="clear" w:color="000000" w:fill="FFFFFF"/>
            <w:vAlign w:val="center"/>
            <w:hideMark/>
          </w:tcPr>
          <w:p w:rsidR="00621AFB" w:rsidRPr="003B1220" w:rsidRDefault="00621AFB" w:rsidP="00621AFB">
            <w:pPr>
              <w:spacing w:before="120" w:after="120"/>
              <w:jc w:val="center"/>
              <w:rPr>
                <w:noProof/>
                <w:sz w:val="20"/>
                <w:szCs w:val="24"/>
              </w:rPr>
            </w:pPr>
            <w:r w:rsidRPr="003B1220">
              <w:rPr>
                <w:sz w:val="20"/>
              </w:rPr>
              <w:t>Δεκαετής (έτη που λήγουν σε «1»)</w:t>
            </w:r>
          </w:p>
        </w:tc>
        <w:tc>
          <w:tcPr>
            <w:tcW w:w="1016" w:type="dxa"/>
            <w:tcBorders>
              <w:top w:val="nil"/>
              <w:left w:val="nil"/>
              <w:bottom w:val="single" w:sz="8" w:space="0" w:color="auto"/>
              <w:right w:val="single" w:sz="8" w:space="0" w:color="auto"/>
            </w:tcBorders>
            <w:shd w:val="clear" w:color="000000" w:fill="FFFFFF"/>
            <w:vAlign w:val="center"/>
            <w:hideMark/>
          </w:tcPr>
          <w:p w:rsidR="00621AFB" w:rsidRPr="003B1220" w:rsidRDefault="00621AFB" w:rsidP="00621AFB">
            <w:pPr>
              <w:spacing w:before="120" w:after="120"/>
              <w:jc w:val="center"/>
              <w:rPr>
                <w:noProof/>
                <w:sz w:val="20"/>
                <w:szCs w:val="24"/>
              </w:rPr>
            </w:pPr>
            <w:r w:rsidRPr="003B1220">
              <w:rPr>
                <w:sz w:val="20"/>
              </w:rPr>
              <w:t>Δ</w:t>
            </w:r>
          </w:p>
        </w:tc>
      </w:tr>
    </w:tbl>
    <w:p w:rsidR="00621AFB" w:rsidRPr="003B1220" w:rsidRDefault="00621AFB" w:rsidP="00621AFB">
      <w:pPr>
        <w:spacing w:before="120" w:after="120" w:line="360" w:lineRule="auto"/>
        <w:outlineLvl w:val="0"/>
        <w:rPr>
          <w:b/>
          <w:noProof/>
          <w:szCs w:val="24"/>
          <w:lang w:eastAsia="en-US"/>
        </w:rPr>
      </w:pPr>
    </w:p>
    <w:sectPr w:rsidR="00621AFB" w:rsidRPr="003B1220" w:rsidSect="003F63D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AFB" w:rsidRPr="003F63D7" w:rsidRDefault="00621AFB">
      <w:r w:rsidRPr="003F63D7">
        <w:separator/>
      </w:r>
    </w:p>
  </w:endnote>
  <w:endnote w:type="continuationSeparator" w:id="0">
    <w:p w:rsidR="00621AFB" w:rsidRPr="003F63D7" w:rsidRDefault="00621AFB">
      <w:r w:rsidRPr="003F63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AFB" w:rsidRPr="003F63D7" w:rsidRDefault="00621AF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AFB" w:rsidRPr="003F63D7" w:rsidRDefault="00621AF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AFB" w:rsidRPr="003F63D7" w:rsidRDefault="00621AF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AFB" w:rsidRPr="003F63D7" w:rsidRDefault="00621AFB">
      <w:r w:rsidRPr="003F63D7">
        <w:separator/>
      </w:r>
    </w:p>
  </w:footnote>
  <w:footnote w:type="continuationSeparator" w:id="0">
    <w:p w:rsidR="00621AFB" w:rsidRPr="003F63D7" w:rsidRDefault="00621AFB">
      <w:r w:rsidRPr="003F63D7">
        <w:continuationSeparator/>
      </w:r>
    </w:p>
  </w:footnote>
  <w:footnote w:id="1">
    <w:p w:rsidR="00621AFB" w:rsidRPr="006C3A5C" w:rsidRDefault="00621AFB" w:rsidP="00A37ED8">
      <w:pPr>
        <w:pStyle w:val="FootnoteText"/>
        <w:spacing w:line="240" w:lineRule="auto"/>
        <w:ind w:left="720" w:hanging="720"/>
        <w:rPr>
          <w:sz w:val="24"/>
          <w:szCs w:val="24"/>
          <w:lang w:val="el-GR"/>
        </w:rPr>
      </w:pPr>
      <w:r w:rsidRPr="00564EB0">
        <w:rPr>
          <w:rStyle w:val="FootnoteReference"/>
          <w:sz w:val="24"/>
          <w:szCs w:val="24"/>
        </w:rPr>
        <w:footnoteRef/>
      </w:r>
      <w:r w:rsidRPr="006C3A5C">
        <w:rPr>
          <w:sz w:val="24"/>
          <w:szCs w:val="24"/>
          <w:lang w:val="el-GR"/>
        </w:rPr>
        <w:tab/>
        <w:t>Ε</w:t>
      </w:r>
      <w:r w:rsidRPr="00564EB0">
        <w:rPr>
          <w:sz w:val="24"/>
          <w:szCs w:val="24"/>
          <w:lang w:val="el-GR"/>
        </w:rPr>
        <w:t>Ε</w:t>
      </w:r>
      <w:r w:rsidRPr="006C3A5C">
        <w:rPr>
          <w:sz w:val="24"/>
          <w:szCs w:val="24"/>
          <w:lang w:val="el-GR"/>
        </w:rPr>
        <w:t xml:space="preserve"> </w:t>
      </w:r>
      <w:r w:rsidRPr="00564EB0">
        <w:rPr>
          <w:sz w:val="24"/>
          <w:szCs w:val="24"/>
        </w:rPr>
        <w:t>C</w:t>
      </w:r>
      <w:r w:rsidRPr="006C3A5C">
        <w:rPr>
          <w:sz w:val="24"/>
          <w:szCs w:val="24"/>
          <w:lang w:val="el-GR"/>
        </w:rPr>
        <w:t xml:space="preserve"> 228</w:t>
      </w:r>
      <w:r w:rsidRPr="00564EB0">
        <w:rPr>
          <w:sz w:val="24"/>
          <w:szCs w:val="24"/>
          <w:lang w:val="el-GR"/>
        </w:rPr>
        <w:t xml:space="preserve"> της</w:t>
      </w:r>
      <w:r w:rsidRPr="006C3A5C">
        <w:rPr>
          <w:sz w:val="24"/>
          <w:szCs w:val="24"/>
          <w:lang w:val="el-GR"/>
        </w:rPr>
        <w:t xml:space="preserve"> 29.6.2023, </w:t>
      </w:r>
      <w:r w:rsidRPr="00564EB0">
        <w:rPr>
          <w:sz w:val="24"/>
          <w:szCs w:val="24"/>
          <w:lang w:val="el-GR"/>
        </w:rPr>
        <w:t>σ</w:t>
      </w:r>
      <w:r w:rsidRPr="006C3A5C">
        <w:rPr>
          <w:sz w:val="24"/>
          <w:szCs w:val="24"/>
          <w:lang w:val="el-GR"/>
        </w:rPr>
        <w:t>. 148.</w:t>
      </w:r>
    </w:p>
  </w:footnote>
  <w:footnote w:id="2">
    <w:p w:rsidR="00151BEE" w:rsidRPr="00151BEE" w:rsidRDefault="00151BEE" w:rsidP="00151BEE">
      <w:pPr>
        <w:pStyle w:val="FootnoteTextForceStyle"/>
        <w:ind w:left="709" w:hanging="709"/>
        <w:rPr>
          <w:szCs w:val="24"/>
        </w:rPr>
      </w:pPr>
      <w:r w:rsidRPr="00151BEE">
        <w:rPr>
          <w:szCs w:val="24"/>
          <w:vertAlign w:val="superscript"/>
        </w:rPr>
        <w:t>*</w:t>
      </w:r>
      <w:r w:rsidRPr="00151BEE">
        <w:rPr>
          <w:szCs w:val="24"/>
        </w:rPr>
        <w:t xml:space="preserve"> </w:t>
      </w:r>
      <w:r w:rsidRPr="00151BEE">
        <w:rPr>
          <w:szCs w:val="24"/>
        </w:rPr>
        <w:tab/>
        <w:t xml:space="preserve">Οι αλλαγές στο σύνολο του κειμένου προκύπτουν από την έγκριση της τροπολογίας </w:t>
      </w:r>
      <w:r w:rsidR="00D07E5A">
        <w:rPr>
          <w:szCs w:val="24"/>
        </w:rPr>
        <w:t>56</w:t>
      </w:r>
      <w:r w:rsidRPr="00151BEE">
        <w:rPr>
          <w:szCs w:val="24"/>
        </w:rPr>
        <w:t xml:space="preserve">. Το νέο ή τροποποιημένο κείμενο σημειώνεται με </w:t>
      </w:r>
      <w:r w:rsidRPr="00151BEE">
        <w:rPr>
          <w:b/>
          <w:i/>
          <w:szCs w:val="24"/>
        </w:rPr>
        <w:t>έντονους πλάγιους</w:t>
      </w:r>
      <w:r w:rsidRPr="00151BEE">
        <w:rPr>
          <w:szCs w:val="24"/>
        </w:rPr>
        <w:t xml:space="preserve"> χαρακτήρες· η διαγραφή κειμένου σημειώνεται με το σύμβολο ▌.</w:t>
      </w:r>
    </w:p>
  </w:footnote>
  <w:footnote w:id="3">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003B1220" w:rsidRPr="006C3A5C">
        <w:rPr>
          <w:szCs w:val="24"/>
        </w:rPr>
        <w:t>Ε</w:t>
      </w:r>
      <w:r w:rsidR="003B1220" w:rsidRPr="00564EB0">
        <w:rPr>
          <w:szCs w:val="24"/>
        </w:rPr>
        <w:t>Ε</w:t>
      </w:r>
      <w:r w:rsidR="003B1220" w:rsidRPr="006C3A5C">
        <w:rPr>
          <w:szCs w:val="24"/>
        </w:rPr>
        <w:t xml:space="preserve"> </w:t>
      </w:r>
      <w:r w:rsidR="003B1220" w:rsidRPr="00564EB0">
        <w:rPr>
          <w:szCs w:val="24"/>
        </w:rPr>
        <w:t>C</w:t>
      </w:r>
      <w:r w:rsidR="003B1220" w:rsidRPr="006C3A5C">
        <w:rPr>
          <w:szCs w:val="24"/>
        </w:rPr>
        <w:t xml:space="preserve"> 228</w:t>
      </w:r>
      <w:r w:rsidR="003B1220" w:rsidRPr="00564EB0">
        <w:rPr>
          <w:szCs w:val="24"/>
        </w:rPr>
        <w:t xml:space="preserve"> της</w:t>
      </w:r>
      <w:r w:rsidR="003B1220" w:rsidRPr="006C3A5C">
        <w:rPr>
          <w:szCs w:val="24"/>
        </w:rPr>
        <w:t xml:space="preserve"> 29.6.2023, </w:t>
      </w:r>
      <w:r w:rsidR="003B1220" w:rsidRPr="00564EB0">
        <w:rPr>
          <w:szCs w:val="24"/>
        </w:rPr>
        <w:t>σ</w:t>
      </w:r>
      <w:r w:rsidR="003B1220" w:rsidRPr="006C3A5C">
        <w:rPr>
          <w:szCs w:val="24"/>
        </w:rPr>
        <w:t>. 148.</w:t>
      </w:r>
    </w:p>
  </w:footnote>
  <w:footnote w:id="4">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ΕΕ C </w:t>
      </w:r>
      <w:r w:rsidR="00663112">
        <w:rPr>
          <w:szCs w:val="24"/>
        </w:rPr>
        <w:t>…</w:t>
      </w:r>
      <w:r w:rsidRPr="00564EB0">
        <w:rPr>
          <w:szCs w:val="24"/>
        </w:rPr>
        <w:t>.</w:t>
      </w:r>
    </w:p>
  </w:footnote>
  <w:footnote w:id="5">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(ΕΕ) 2019/1700 του Ευρωπαϊκού Κοινοβουλίου και του Συμβουλίου, της 10ης Οκτωβρίου 2019, για τη θέσπιση κοινού πλαισίου για τις ευρωπαϊκές στατιστικές σχετικά με τα άτομα και τα νοικοκυριά, με βάση στοιχεία που συλλέγονται από δείγματα σε ατομικό επίπεδο, για την τροποποίηση των κανονισμών (ΕΚ) αριθ. 808/2004, (ΕΚ) αριθ. 452/2008 και (ΕΚ) αριθ. 1338/2008 του Ευρωπαϊκού Κοινοβουλίου και του Συμβουλίου και για την κατάργηση του κανονισμού (ΕΚ) αριθ. 1177/2003 του Ευρωπαϊκού Κοινοβουλίου και του Συμβουλίου και του κανονισμού (ΕΚ) αριθ. 577/98 του Συμβουλίου (ΕΕ L 261</w:t>
      </w:r>
      <w:r w:rsidR="00151BEE">
        <w:rPr>
          <w:szCs w:val="24"/>
        </w:rPr>
        <w:t xml:space="preserve"> </w:t>
      </w:r>
      <w:r w:rsidRPr="00564EB0">
        <w:rPr>
          <w:szCs w:val="24"/>
        </w:rPr>
        <w:t>I της 14.10.2019, σ. 1).</w:t>
      </w:r>
    </w:p>
  </w:footnote>
  <w:footnote w:id="6">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(ΕΕ) αριθ. 1260/2013 του Ευρωπαϊκού Κοινοβουλίου και του Συμβουλίου, της 20ής Νοεμβρίου 2013, για τις ευρωπαϊκές δημογραφικές στατιστικές (ΕΕ L 330 της 10.12.2013, σ. 39).</w:t>
      </w:r>
    </w:p>
  </w:footnote>
  <w:footnote w:id="7">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(ΕΚ) αριθ. 223/2009 του Ευρωπαϊκού Κοινοβουλίου και του Συμβουλίου, της 11ης Μαρτίου 2009, σχετικά με τις ευρωπαϊκές στατιστικές και την κατάργηση του κανονισμού (ΕΚ, Ευρατόμ) αριθ. 1101/2008 του Ευρωπαϊκού Κοινοβουλίου και του Συμβουλίου σχετικά με τη διαβίβαση στη Στατιστική Υπηρεσία των Ευρωπαϊκών Κοινοτήτων πληροφοριών που καλύπτονται από το στατιστικό απόρρητο, του κανονισμού (ΕΚ) αριθ. 322/97 του Συμβουλίου σχετικά με τις κοινοτικές στατιστικές και της απόφασης 89/382/ΕΟΚ, Ευρατόμ του Συμβουλίου για τη σύσταση επιτροπής του στατιστικού προγράμματος των Ευρωπαϊκών Κοινοτήτων (ΕΕ L 87 της 31.3.2009, σ. 164).</w:t>
      </w:r>
    </w:p>
  </w:footnote>
  <w:footnote w:id="8">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SWD(2023)0013.</w:t>
      </w:r>
    </w:p>
  </w:footnote>
  <w:footnote w:id="9">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(ΕΚ) αριθ. 862/2007 του Ευρωπαϊκού Κοινοβουλίου και του Συμβουλίου, της 11ης Ιουλίου 2007, περί κοινοτικών στατιστικών για τη μετανάστευση και τη διεθνή προστασία και την κατάργηση του κανονισμού (ΕΟΚ) αριθ. 311/76 του Συμβουλίου περί τηρήσεως στατιστικών για τους αλλοδαπούς εργαζόμενους (ΕΕ L 199 της 31.7.2007, σ. 23).</w:t>
      </w:r>
    </w:p>
  </w:footnote>
  <w:footnote w:id="10">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(ΕΚ) αριθ. 763/2008 του Ευρωπαϊκού Κοινοβουλίου και του Συμβουλίου, της 9ης Ιουλίου 2008, σχετικά με τις απογραφές πληθυσμού και στέγασης (ΕΕ L 218 της 13.8.2008, σ. 14).</w:t>
      </w:r>
    </w:p>
  </w:footnote>
  <w:footnote w:id="11">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(ΕΚ) αριθ. 1059/2003 του Ευρωπαϊκού Κοινοβουλίου και του Συμβουλίου, της 26ης Μαΐου 2003, για τη θέσπιση μιας κοινής ονοματολογίας των εδαφικών στατιστικών μονάδων (NUTS) (ΕΕ L 154 της 21.6.2003, σ. 1).</w:t>
      </w:r>
    </w:p>
  </w:footnote>
  <w:footnote w:id="12">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 xml:space="preserve">Εκτελεστικός κανονισμός (ΕΕ) 2018/1799 της Επιτροπής, της 21ης Νοεμβρίου 2018, για την ανάληψη προσωρινής άμεσης στατιστικής δράσης σχετικά με τη διάδοση επιλεγμένων θεμάτων της απογραφής πληθυσμού και κατοικιών 2021 </w:t>
      </w:r>
      <w:proofErr w:type="spellStart"/>
      <w:r w:rsidRPr="00564EB0">
        <w:rPr>
          <w:szCs w:val="24"/>
        </w:rPr>
        <w:t>γεωκωδικοποιημένων</w:t>
      </w:r>
      <w:proofErr w:type="spellEnd"/>
      <w:r w:rsidRPr="00564EB0">
        <w:rPr>
          <w:szCs w:val="24"/>
        </w:rPr>
        <w:t xml:space="preserve"> σε </w:t>
      </w:r>
      <w:proofErr w:type="spellStart"/>
      <w:r w:rsidRPr="00564EB0">
        <w:rPr>
          <w:szCs w:val="24"/>
        </w:rPr>
        <w:t>κάνναβο</w:t>
      </w:r>
      <w:proofErr w:type="spellEnd"/>
      <w:r w:rsidRPr="00564EB0">
        <w:rPr>
          <w:szCs w:val="24"/>
        </w:rPr>
        <w:t xml:space="preserve"> 1 km2 (ΕΕ L 296 της 22.11.2018, σ. 19).</w:t>
      </w:r>
    </w:p>
  </w:footnote>
  <w:footnote w:id="13">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Οδηγία 2007/2/ΕΚ του Ευρωπαϊκού Κοινοβουλίου και του Συμβουλίου, της 14ης Μαρτίου 2007, για τη δημιουργία υποδομής χωρικών πληροφοριών στην Ευρωπαϊκή Κοινότητα (INSPIRE) (ΕΕ L 108 της 25.4.2007, σ. 1).</w:t>
      </w:r>
    </w:p>
  </w:footnote>
  <w:footnote w:id="14">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Οδηγία 2010/31/ΕΕ του Ευρωπαϊκού Κοινοβουλίου και του Συμβουλίου, της 19ης Μαΐου 2010, για την ενεργειακή απόδοση των κτιρίων (ΕΕ L 153 της 18.6.2010, σ. 13).</w:t>
      </w:r>
    </w:p>
  </w:footnote>
  <w:footnote w:id="15">
    <w:p w:rsidR="00621AFB" w:rsidRPr="00151BEE" w:rsidRDefault="00621AFB" w:rsidP="00151BEE">
      <w:pPr>
        <w:pStyle w:val="FootnoteTextForceStyle"/>
        <w:ind w:left="709" w:hanging="709"/>
        <w:rPr>
          <w:szCs w:val="24"/>
        </w:rPr>
      </w:pPr>
      <w:r w:rsidRPr="00564EB0">
        <w:rPr>
          <w:rStyle w:val="FootnoteReference"/>
          <w:szCs w:val="24"/>
        </w:rPr>
        <w:footnoteRef/>
      </w:r>
      <w:r w:rsidRPr="00564EB0">
        <w:rPr>
          <w:szCs w:val="24"/>
        </w:rPr>
        <w:tab/>
      </w:r>
      <w:r w:rsidR="00151BEE" w:rsidRPr="00151BEE">
        <w:rPr>
          <w:szCs w:val="24"/>
        </w:rPr>
        <w:t xml:space="preserve">Οδηγία (ΕΕ) 2024/1275 του Ευρωπαϊκού Κοινοβουλίου και του Συμβουλίου, της </w:t>
      </w:r>
      <w:proofErr w:type="spellStart"/>
      <w:r w:rsidR="00151BEE" w:rsidRPr="00151BEE">
        <w:rPr>
          <w:szCs w:val="24"/>
        </w:rPr>
        <w:t>24ης</w:t>
      </w:r>
      <w:proofErr w:type="spellEnd"/>
      <w:r w:rsidR="00151BEE" w:rsidRPr="00151BEE">
        <w:rPr>
          <w:szCs w:val="24"/>
        </w:rPr>
        <w:t xml:space="preserve"> Απριλίου 2024, για την ενεργειακή απόδοση των κτιρίων (ΕΕ </w:t>
      </w:r>
      <w:r w:rsidR="00151BEE" w:rsidRPr="00151BEE">
        <w:rPr>
          <w:szCs w:val="24"/>
          <w:lang w:val="fi-FI"/>
        </w:rPr>
        <w:t>L</w:t>
      </w:r>
      <w:r w:rsidR="00151BEE" w:rsidRPr="00151BEE">
        <w:rPr>
          <w:szCs w:val="24"/>
        </w:rPr>
        <w:t xml:space="preserve">, 2024/1275, 8.5.2024, </w:t>
      </w:r>
      <w:r w:rsidR="00151BEE" w:rsidRPr="00151BEE">
        <w:rPr>
          <w:szCs w:val="24"/>
          <w:lang w:val="fi-FI"/>
        </w:rPr>
        <w:t>ELI</w:t>
      </w:r>
      <w:r w:rsidR="00151BEE" w:rsidRPr="00151BEE">
        <w:rPr>
          <w:szCs w:val="24"/>
        </w:rPr>
        <w:t xml:space="preserve">: </w:t>
      </w:r>
      <w:r w:rsidR="00151BEE" w:rsidRPr="00151BEE">
        <w:rPr>
          <w:szCs w:val="24"/>
          <w:lang w:val="fi-FI"/>
        </w:rPr>
        <w:t>http</w:t>
      </w:r>
      <w:r w:rsidR="00151BEE" w:rsidRPr="00151BEE">
        <w:rPr>
          <w:szCs w:val="24"/>
        </w:rPr>
        <w:t>://</w:t>
      </w:r>
      <w:r w:rsidR="00151BEE" w:rsidRPr="00151BEE">
        <w:rPr>
          <w:szCs w:val="24"/>
          <w:lang w:val="fi-FI"/>
        </w:rPr>
        <w:t>data</w:t>
      </w:r>
      <w:r w:rsidR="00151BEE" w:rsidRPr="00151BEE">
        <w:rPr>
          <w:szCs w:val="24"/>
        </w:rPr>
        <w:t>.</w:t>
      </w:r>
      <w:r w:rsidR="00151BEE" w:rsidRPr="00151BEE">
        <w:rPr>
          <w:szCs w:val="24"/>
          <w:lang w:val="fi-FI"/>
        </w:rPr>
        <w:t>europa</w:t>
      </w:r>
      <w:r w:rsidR="00151BEE" w:rsidRPr="00151BEE">
        <w:rPr>
          <w:szCs w:val="24"/>
        </w:rPr>
        <w:t>.</w:t>
      </w:r>
      <w:proofErr w:type="spellStart"/>
      <w:r w:rsidR="00151BEE" w:rsidRPr="00151BEE">
        <w:rPr>
          <w:szCs w:val="24"/>
          <w:lang w:val="fi-FI"/>
        </w:rPr>
        <w:t>eu</w:t>
      </w:r>
      <w:proofErr w:type="spellEnd"/>
      <w:r w:rsidR="00151BEE" w:rsidRPr="00151BEE">
        <w:rPr>
          <w:szCs w:val="24"/>
        </w:rPr>
        <w:t>/</w:t>
      </w:r>
      <w:r w:rsidR="00151BEE" w:rsidRPr="00151BEE">
        <w:rPr>
          <w:szCs w:val="24"/>
          <w:lang w:val="fi-FI"/>
        </w:rPr>
        <w:t>eli</w:t>
      </w:r>
      <w:r w:rsidR="00151BEE" w:rsidRPr="00151BEE">
        <w:rPr>
          <w:szCs w:val="24"/>
        </w:rPr>
        <w:t>/</w:t>
      </w:r>
      <w:proofErr w:type="spellStart"/>
      <w:r w:rsidR="00151BEE" w:rsidRPr="00151BEE">
        <w:rPr>
          <w:szCs w:val="24"/>
          <w:lang w:val="fi-FI"/>
        </w:rPr>
        <w:t>dir</w:t>
      </w:r>
      <w:proofErr w:type="spellEnd"/>
      <w:r w:rsidR="00151BEE" w:rsidRPr="00151BEE">
        <w:rPr>
          <w:szCs w:val="24"/>
        </w:rPr>
        <w:t>/2024/1275/</w:t>
      </w:r>
      <w:proofErr w:type="spellStart"/>
      <w:r w:rsidR="00151BEE" w:rsidRPr="00151BEE">
        <w:rPr>
          <w:szCs w:val="24"/>
          <w:lang w:val="fi-FI"/>
        </w:rPr>
        <w:t>oj</w:t>
      </w:r>
      <w:proofErr w:type="spellEnd"/>
      <w:r w:rsidR="00151BEE">
        <w:rPr>
          <w:szCs w:val="24"/>
        </w:rPr>
        <w:t>)</w:t>
      </w:r>
      <w:r w:rsidRPr="00151BEE">
        <w:rPr>
          <w:szCs w:val="24"/>
        </w:rPr>
        <w:t>.</w:t>
      </w:r>
    </w:p>
  </w:footnote>
  <w:footnote w:id="16">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(ΕΕ) αριθ. 910/2014 του Ευρωπαϊκού Κοινοβουλίου και του Συμβουλίου, της 23ης Ιουλίου 2014, σχετικά με την ηλεκτρονική ταυτοποίηση και τις υπηρεσίες εμπιστοσύνης για τις ηλεκτρονικές συναλλαγές στην εσωτερική αγορά και την κατάργηση της οδηγίας 1999/93/ΕΚ (ΕΕ L 257 της 28.8.2014, σ. 73).</w:t>
      </w:r>
    </w:p>
  </w:footnote>
  <w:footnote w:id="17">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(ΕΕ) 2018/1724 του Ευρωπαϊκού Κοινοβουλίου και του Συμβουλίου, της 2ας Οκτωβρίου 2018, για τη δημιουργία ενιαίας ψηφιακής θύρας με σκοπό την παροχή πρόσβασης σε πληροφορίες, σε διαδικασίες και σε υπηρεσίες υποστήριξης και επίλυσης προβλημάτων και για την τροποποίηση του κανονισμού (ΕΕ) αριθ. 1024/2012 (ΕΕ L 295 της 21.11.2018, σ. 1).</w:t>
      </w:r>
    </w:p>
  </w:footnote>
  <w:footnote w:id="18">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(ΕΕ) 2019/817 του Ευρωπαϊκού Κοινοβουλίου και του Συμβουλίου, της 20ής Μαΐου 2019, για τη θέσπιση πλαισίου διαλειτουργικότητας μεταξύ των συστημάτων πληροφοριών της ΕΕ στον τομέα των συνόρων και θεωρήσεων και την τροποποίηση των κανονισμών (ΕΚ) αριθ. 767/2008, (ΕΕ) 2016/399, (ΕΕ) 2017/2226, (ΕΕ) 2018/1240, (ΕΕ) 2018/1726 και (ΕΕ) 2018/1861 του Ευρωπαϊκού Κοινοβουλίου και του Συμβουλίου, και των αποφάσεων 2004/512/ΕΚ και 2008/633/ΔΕΥ του Συμβουλίου (ΕΕ L 135 της 22.5.2019, σ. 27).</w:t>
      </w:r>
    </w:p>
  </w:footnote>
  <w:footnote w:id="19">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(ΕΕ) 2019/818 του Ευρωπαϊκού Κοινοβουλίου και του Συμβουλίου, της 20ής Μαΐου 2019, για τη θέσπιση πλαισίου διαλειτουργικότητας μεταξύ των συστημάτων πληροφοριών της ΕΕ στον τομέα της αστυνομικής και δικαστικής συνεργασίας, του ασύλου και της μετανάστευσης και για την τροποποίηση των κανονισμών (ΕΕ) 2018/1726, (ΕΕ) 2018/1862 και (ΕΕ) 2019/816 (ΕΕ L 135 της 22.5.2019, σ. 85).</w:t>
      </w:r>
    </w:p>
  </w:footnote>
  <w:footnote w:id="20">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w:t>
      </w:r>
    </w:p>
  </w:footnote>
  <w:footnote w:id="21">
    <w:p w:rsidR="00621AFB" w:rsidRPr="00564EB0" w:rsidRDefault="00621AFB" w:rsidP="00621AFB">
      <w:pPr>
        <w:pStyle w:val="FootnoteTextForceStyle"/>
        <w:ind w:left="709" w:hanging="709"/>
        <w:rPr>
          <w:szCs w:val="24"/>
        </w:rPr>
      </w:pPr>
      <w:r w:rsidRPr="00564EB0">
        <w:rPr>
          <w:rStyle w:val="FootnoteReference"/>
          <w:szCs w:val="24"/>
        </w:rPr>
        <w:footnoteRef/>
      </w:r>
      <w:r w:rsidRPr="00564EB0">
        <w:rPr>
          <w:szCs w:val="24"/>
        </w:rPr>
        <w:tab/>
      </w:r>
      <w:r w:rsidRPr="00564EB0">
        <w:rPr>
          <w:szCs w:val="24"/>
        </w:rPr>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w:t>
      </w:r>
    </w:p>
  </w:footnote>
  <w:footnote w:id="22">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Οδηγία 2002/58/ΕΚ του Ευρωπαϊκού Κοινοβουλίου και του Συμβουλίου, της 12ης Ιουλίου 2002, σχετικά με την επεξεργασία των δεδομένων προσωπικού χαρακτήρα και την προστασία της ιδιωτικής ζωής στον τομέα των ηλεκτρονικών επικοινωνιών (οδηγία για την προστασία ιδιωτικής ζωής στις ηλεκτρονικές επικοινωνίες) (ΕΕ L 201 της 31.7.2002, σ. 37).</w:t>
      </w:r>
    </w:p>
  </w:footnote>
  <w:footnote w:id="23">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ΕΕ L 123 της 12.5.2016, σ. 1.</w:t>
      </w:r>
    </w:p>
  </w:footnote>
  <w:footnote w:id="24">
    <w:p w:rsidR="00621AFB" w:rsidRPr="00564EB0" w:rsidRDefault="00621AFB" w:rsidP="00621AFB">
      <w:pPr>
        <w:pStyle w:val="FootnoteTextForceStyle"/>
        <w:ind w:left="709" w:hanging="709"/>
        <w:rPr>
          <w:b/>
          <w:i/>
          <w:szCs w:val="24"/>
        </w:rPr>
      </w:pPr>
      <w:r w:rsidRPr="00564EB0">
        <w:rPr>
          <w:b/>
          <w:i/>
          <w:szCs w:val="24"/>
          <w:vertAlign w:val="superscript"/>
        </w:rPr>
        <w:footnoteRef/>
      </w:r>
      <w:r w:rsidRPr="00564EB0">
        <w:rPr>
          <w:b/>
          <w:i/>
          <w:szCs w:val="24"/>
        </w:rPr>
        <w:tab/>
      </w:r>
      <w:r w:rsidRPr="00564EB0">
        <w:rPr>
          <w:b/>
          <w:i/>
          <w:szCs w:val="24"/>
        </w:rPr>
        <w:t>Κανονισμός (ΕΕ) 2021/690 του Ευρωπαϊκού Κοινοβουλίου και του Συμβουλίου, της 28ης Απριλίου 2021, για τη θέσπιση προγράμματος για την εσωτερική αγορά, την ανταγωνιστικότητα των επιχειρήσεων, συμπεριλαμβανομένων των μικρομεσαίων, τον τομέα των φυτών, των ζώων, των τροφίμων και των ζωοτροφών, και τις ευρωπαϊκές στατιστικές (Πρόγραμμα για την ενιαία αγορά) και για την κατάργηση των κανονισμών (ΕΕ) αριθ. 99/2013, (ΕΕ) αριθ. 1287/2013, (ΕΕ) αριθ. 254/2014 και (ΕΕ) αριθ. 652/2014 (ΕΕ L 153 της 3.5.2021, σ. 1).</w:t>
      </w:r>
    </w:p>
  </w:footnote>
  <w:footnote w:id="25">
    <w:p w:rsidR="00621AFB" w:rsidRPr="00564EB0" w:rsidRDefault="00621AFB" w:rsidP="00621AFB">
      <w:pPr>
        <w:pStyle w:val="FootnoteTextForceStyle"/>
        <w:ind w:left="709" w:hanging="709"/>
        <w:rPr>
          <w:b/>
          <w:i/>
          <w:szCs w:val="24"/>
        </w:rPr>
      </w:pPr>
      <w:r w:rsidRPr="00564EB0">
        <w:rPr>
          <w:rStyle w:val="FootnoteReference"/>
          <w:b/>
          <w:i/>
          <w:szCs w:val="24"/>
        </w:rPr>
        <w:footnoteRef/>
      </w:r>
      <w:r w:rsidRPr="00564EB0">
        <w:rPr>
          <w:b/>
          <w:i/>
          <w:szCs w:val="24"/>
        </w:rPr>
        <w:tab/>
      </w:r>
      <w:r w:rsidRPr="00564EB0">
        <w:rPr>
          <w:b/>
          <w:i/>
          <w:szCs w:val="24"/>
        </w:rPr>
        <w:t>Κανονισμός (ΕΕ) 2021/240 του Ευρωπαϊκού Κοινοβουλίου και του Συμβουλίου, της 10ης Φεβρουαρίου 2021, για τη θέσπιση Μέσου Τεχνικής Υποστήριξης (ΕΕ L 57 της 18.2.2021, σ. 1).</w:t>
      </w:r>
    </w:p>
  </w:footnote>
  <w:footnote w:id="26">
    <w:p w:rsidR="00621AFB" w:rsidRPr="00564EB0" w:rsidRDefault="00621AFB" w:rsidP="00621AFB">
      <w:pPr>
        <w:pStyle w:val="FootnoteTextForceStyle"/>
        <w:ind w:left="709" w:hanging="709"/>
        <w:rPr>
          <w:szCs w:val="24"/>
        </w:rPr>
      </w:pPr>
      <w:r w:rsidRPr="00564EB0">
        <w:rPr>
          <w:rStyle w:val="FootnoteReference"/>
          <w:szCs w:val="24"/>
        </w:rPr>
        <w:footnoteRef/>
      </w:r>
      <w:r w:rsidRPr="00564EB0">
        <w:rPr>
          <w:szCs w:val="24"/>
        </w:rPr>
        <w:tab/>
      </w:r>
      <w:r w:rsidRPr="00564EB0">
        <w:rPr>
          <w:szCs w:val="24"/>
        </w:rPr>
        <w:t>Κανονισμός (EU,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 (ΕΕ L 193 της 30.7.2018, σ. 1).</w:t>
      </w:r>
    </w:p>
  </w:footnote>
  <w:footnote w:id="27">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(ΕΕ, Ευρατόμ) αριθ. 883/2013 του Ευρωπαϊκού Κοινοβουλίου και του Συμβουλίου, της 11ης Σεπτεμβρίου 2013, σχετικά με τις έρευνες που πραγματοποιούνται από την Ευρωπαϊκή Υπηρεσία Καταπολέμησης της Απάτης (OLAF) και την κατάργηση του κανονισμού (ΕΚ) αριθ. 1073/1999 του Ευρωπαϊκού Κοινοβουλίου και του Συμβουλίου και του κανονισμού (Ευρατόμ) αριθ. 1074/1999 του Συμβουλίου (ΕΕ L 248 της 18.9.2013, σ. 1).</w:t>
      </w:r>
    </w:p>
  </w:footnote>
  <w:footnote w:id="28">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(ΕΚ, Ευρατόμ) αριθ. 2988/95 του Συμβουλίου, της 18ης Δεκεμβρίου 1995, σχετικά με την προστασία των οικονομικών συμφερόντων των Ευρωπαϊκών Κοινοτήτων (ΕΕ L 312 της 23.12.1995, σ. 1).</w:t>
      </w:r>
    </w:p>
  </w:footnote>
  <w:footnote w:id="29">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(Ευρατόμ, ΕΚ) αριθ. 2185/96 του Συμβουλίου, της 11ης Νοεμβρίου 1996, σχετικά με τους ελέγχους και εξακριβώσεις που διεξάγει επιτοπίως η Επιτροπή με σκοπό την προστασία των οικονομικών συμφερόντων των Ευρωπαϊκών Κοινοτήτων από απάτες και λοιπές παρατυπίες (ΕΕ L 292 της 15.11.1996, σ. 2).</w:t>
      </w:r>
    </w:p>
  </w:footnote>
  <w:footnote w:id="30">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(ΕΕ) 2017/1939 του Συμβουλίου, της 12ης Οκτωβρίου 2017, σχετικά με την εφαρμογή ενισχυμένης συνεργασίας για τη σύσταση της Ευρωπαϊκής Εισαγγελίας (ΕΕ L 283 της 31.10.2017, σ. 1).</w:t>
      </w:r>
    </w:p>
  </w:footnote>
  <w:footnote w:id="31">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Οδηγία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(ΕΕ L 198 της 28.7.2017, σ. 29).</w:t>
      </w:r>
    </w:p>
  </w:footnote>
  <w:footnote w:id="32">
    <w:p w:rsidR="00621AFB" w:rsidRPr="00564EB0" w:rsidRDefault="00621AFB" w:rsidP="00621AFB">
      <w:pPr>
        <w:pStyle w:val="FootnoteTextForceStyle"/>
        <w:ind w:left="709" w:hanging="709"/>
        <w:rPr>
          <w:szCs w:val="24"/>
        </w:rPr>
      </w:pPr>
      <w:r w:rsidRPr="00564EB0">
        <w:rPr>
          <w:szCs w:val="24"/>
          <w:vertAlign w:val="superscript"/>
        </w:rPr>
        <w:footnoteRef/>
      </w:r>
      <w:r w:rsidRPr="00564EB0">
        <w:rPr>
          <w:szCs w:val="24"/>
        </w:rPr>
        <w:tab/>
      </w:r>
      <w:r w:rsidRPr="00564EB0">
        <w:rPr>
          <w:szCs w:val="24"/>
        </w:rPr>
        <w:t>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footnote>
  <w:footnote w:id="33">
    <w:p w:rsidR="00621AFB" w:rsidRPr="00564EB0" w:rsidRDefault="00621AFB" w:rsidP="00621AFB">
      <w:pPr>
        <w:pStyle w:val="FootnoteText"/>
        <w:ind w:left="709" w:hanging="709"/>
        <w:rPr>
          <w:sz w:val="24"/>
          <w:szCs w:val="24"/>
          <w:lang w:val="el-GR"/>
        </w:rPr>
      </w:pPr>
      <w:r w:rsidRPr="00564EB0">
        <w:rPr>
          <w:rStyle w:val="FootnoteReference"/>
          <w:sz w:val="24"/>
          <w:szCs w:val="24"/>
          <w:lang w:val="el-GR"/>
        </w:rPr>
        <w:t>+</w:t>
      </w:r>
      <w:r w:rsidRPr="00564EB0">
        <w:rPr>
          <w:sz w:val="24"/>
          <w:szCs w:val="24"/>
          <w:lang w:val="el-GR"/>
        </w:rPr>
        <w:tab/>
      </w:r>
      <w:bookmarkStart w:id="9" w:name="_Hlk159427958"/>
      <w:r w:rsidRPr="00564EB0">
        <w:rPr>
          <w:sz w:val="24"/>
          <w:szCs w:val="24"/>
          <w:lang w:val="el-GR"/>
        </w:rPr>
        <w:t>ΕΕ: να συμπληρωθούν στην υποσημείωση ο αριθμός του κανονισμού που περιλαμβάνεται στο έγγραφο 2023/0008(</w:t>
      </w:r>
      <w:r w:rsidRPr="00564EB0">
        <w:rPr>
          <w:sz w:val="24"/>
          <w:szCs w:val="24"/>
        </w:rPr>
        <w:t>COD</w:t>
      </w:r>
      <w:r w:rsidRPr="00564EB0">
        <w:rPr>
          <w:sz w:val="24"/>
          <w:szCs w:val="24"/>
          <w:lang w:val="el-GR"/>
        </w:rPr>
        <w:t>)</w:t>
      </w:r>
      <w:bookmarkEnd w:id="9"/>
      <w:r w:rsidRPr="00564EB0">
        <w:rPr>
          <w:sz w:val="24"/>
          <w:szCs w:val="24"/>
          <w:lang w:val="el-GR"/>
        </w:rPr>
        <w:t xml:space="preserve"> και ο αριθμός, η ημερομηνία, ο τίτλος και τα στοιχεία αναφοράς στην ΕΕ του εν λόγω κανονισμού.</w:t>
      </w:r>
    </w:p>
  </w:footnote>
  <w:footnote w:id="34">
    <w:p w:rsidR="00621AFB" w:rsidRPr="00564EB0" w:rsidRDefault="00621AFB" w:rsidP="00621AFB">
      <w:pPr>
        <w:pStyle w:val="FootnoteText"/>
        <w:ind w:left="709" w:hanging="709"/>
        <w:rPr>
          <w:sz w:val="24"/>
          <w:szCs w:val="24"/>
          <w:lang w:val="el-GR"/>
        </w:rPr>
      </w:pPr>
      <w:r w:rsidRPr="00564EB0">
        <w:rPr>
          <w:rStyle w:val="FootnoteReference"/>
          <w:sz w:val="24"/>
          <w:szCs w:val="24"/>
          <w:lang w:val="el-GR"/>
        </w:rPr>
        <w:t>+</w:t>
      </w:r>
      <w:r w:rsidRPr="00564EB0">
        <w:rPr>
          <w:sz w:val="24"/>
          <w:szCs w:val="24"/>
          <w:lang w:val="el-GR"/>
        </w:rPr>
        <w:tab/>
      </w:r>
      <w:r w:rsidRPr="00564EB0">
        <w:rPr>
          <w:sz w:val="24"/>
          <w:szCs w:val="24"/>
          <w:lang w:val="el-GR"/>
        </w:rPr>
        <w:t>ΕΕ: να συμπληρωθούν στην υποσημείωση ο αριθμός του κανονισμού που περιλαμβάνεται στο έγγραφο 2023/0008 (</w:t>
      </w:r>
      <w:r w:rsidRPr="00564EB0">
        <w:rPr>
          <w:sz w:val="24"/>
          <w:szCs w:val="24"/>
        </w:rPr>
        <w:t>COD</w:t>
      </w:r>
      <w:r w:rsidRPr="00564EB0">
        <w:rPr>
          <w:sz w:val="24"/>
          <w:szCs w:val="24"/>
          <w:lang w:val="el-GR"/>
        </w:rPr>
        <w:t>) και ο αριθμός, η ημερομηνία, ο τίτλος και τα στοιχεία αναφοράς στην ΕΕ του εν λόγω κανονισμού.</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AFB" w:rsidRPr="003F63D7" w:rsidRDefault="00621AF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AFB" w:rsidRPr="003F63D7" w:rsidRDefault="00621AF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AFB" w:rsidRPr="003F63D7" w:rsidRDefault="00621AF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60B22924">
      <w:start w:val="1"/>
      <w:numFmt w:val="decimal"/>
      <w:lvlText w:val="%1."/>
      <w:lvlJc w:val="left"/>
      <w:pPr>
        <w:ind w:left="930" w:hanging="570"/>
      </w:pPr>
      <w:rPr>
        <w:rFonts w:hint="default"/>
      </w:rPr>
    </w:lvl>
    <w:lvl w:ilvl="1" w:tplc="A10AA082" w:tentative="1">
      <w:start w:val="1"/>
      <w:numFmt w:val="lowerLetter"/>
      <w:lvlText w:val="%2."/>
      <w:lvlJc w:val="left"/>
      <w:pPr>
        <w:ind w:left="1440" w:hanging="360"/>
      </w:pPr>
    </w:lvl>
    <w:lvl w:ilvl="2" w:tplc="2FDA097E" w:tentative="1">
      <w:start w:val="1"/>
      <w:numFmt w:val="lowerRoman"/>
      <w:lvlText w:val="%3."/>
      <w:lvlJc w:val="right"/>
      <w:pPr>
        <w:ind w:left="2160" w:hanging="180"/>
      </w:pPr>
    </w:lvl>
    <w:lvl w:ilvl="3" w:tplc="9216EF16" w:tentative="1">
      <w:start w:val="1"/>
      <w:numFmt w:val="decimal"/>
      <w:lvlText w:val="%4."/>
      <w:lvlJc w:val="left"/>
      <w:pPr>
        <w:ind w:left="2880" w:hanging="360"/>
      </w:pPr>
    </w:lvl>
    <w:lvl w:ilvl="4" w:tplc="DBDC42DA" w:tentative="1">
      <w:start w:val="1"/>
      <w:numFmt w:val="lowerLetter"/>
      <w:lvlText w:val="%5."/>
      <w:lvlJc w:val="left"/>
      <w:pPr>
        <w:ind w:left="3600" w:hanging="360"/>
      </w:pPr>
    </w:lvl>
    <w:lvl w:ilvl="5" w:tplc="2C785314" w:tentative="1">
      <w:start w:val="1"/>
      <w:numFmt w:val="lowerRoman"/>
      <w:lvlText w:val="%6."/>
      <w:lvlJc w:val="right"/>
      <w:pPr>
        <w:ind w:left="4320" w:hanging="180"/>
      </w:pPr>
    </w:lvl>
    <w:lvl w:ilvl="6" w:tplc="B6EE3CEE" w:tentative="1">
      <w:start w:val="1"/>
      <w:numFmt w:val="decimal"/>
      <w:lvlText w:val="%7."/>
      <w:lvlJc w:val="left"/>
      <w:pPr>
        <w:ind w:left="5040" w:hanging="360"/>
      </w:pPr>
    </w:lvl>
    <w:lvl w:ilvl="7" w:tplc="E3F4BA1A" w:tentative="1">
      <w:start w:val="1"/>
      <w:numFmt w:val="lowerLetter"/>
      <w:lvlText w:val="%8."/>
      <w:lvlJc w:val="left"/>
      <w:pPr>
        <w:ind w:left="5760" w:hanging="360"/>
      </w:pPr>
    </w:lvl>
    <w:lvl w:ilvl="8" w:tplc="2146C310"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EL"/>
    <w:docVar w:name="dvnumam" w:val="83"/>
    <w:docVar w:name="dvpe" w:val="746.665"/>
    <w:docVar w:name="dvrapporteur" w:val="Εισηγήτρια: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ις ευρωπαϊκές στατιστικές σχετικά με τον πληθυσμό και τη στέγαση, την τροποποίηση του κανονισμού (ΕΚ) αριθ. 862/2007 και την κατάργηση των κανονισμών (ΕΚ) αριθ. 763/2008 και (ΕΕ) αριθ. 1260/2013(COM(2023)0031 – C9-0010/2023 – 2023/0008(COD))"/>
  </w:docVars>
  <w:rsids>
    <w:rsidRoot w:val="0043143A"/>
    <w:rsid w:val="00002272"/>
    <w:rsid w:val="00064002"/>
    <w:rsid w:val="000677B9"/>
    <w:rsid w:val="000831BA"/>
    <w:rsid w:val="000A42CC"/>
    <w:rsid w:val="000E7DD9"/>
    <w:rsid w:val="0010095E"/>
    <w:rsid w:val="00125B37"/>
    <w:rsid w:val="00151BEE"/>
    <w:rsid w:val="00187494"/>
    <w:rsid w:val="001F32AE"/>
    <w:rsid w:val="002767FF"/>
    <w:rsid w:val="002B18FE"/>
    <w:rsid w:val="002B5493"/>
    <w:rsid w:val="00343214"/>
    <w:rsid w:val="00361C00"/>
    <w:rsid w:val="00395FA1"/>
    <w:rsid w:val="003B1220"/>
    <w:rsid w:val="003E15D4"/>
    <w:rsid w:val="003F63D7"/>
    <w:rsid w:val="00411CCE"/>
    <w:rsid w:val="0041666E"/>
    <w:rsid w:val="00421060"/>
    <w:rsid w:val="0043143A"/>
    <w:rsid w:val="00471C19"/>
    <w:rsid w:val="004867E3"/>
    <w:rsid w:val="00494A28"/>
    <w:rsid w:val="004C0004"/>
    <w:rsid w:val="004C5D52"/>
    <w:rsid w:val="0050519A"/>
    <w:rsid w:val="005072A1"/>
    <w:rsid w:val="00514517"/>
    <w:rsid w:val="00545827"/>
    <w:rsid w:val="00560270"/>
    <w:rsid w:val="00564EB0"/>
    <w:rsid w:val="005C2568"/>
    <w:rsid w:val="006037C0"/>
    <w:rsid w:val="00621AFB"/>
    <w:rsid w:val="00663112"/>
    <w:rsid w:val="006631B6"/>
    <w:rsid w:val="00680577"/>
    <w:rsid w:val="006B081D"/>
    <w:rsid w:val="006C3A5C"/>
    <w:rsid w:val="006F74FA"/>
    <w:rsid w:val="00731ADD"/>
    <w:rsid w:val="00734777"/>
    <w:rsid w:val="00747932"/>
    <w:rsid w:val="00751A4A"/>
    <w:rsid w:val="00756632"/>
    <w:rsid w:val="00762C74"/>
    <w:rsid w:val="00782C39"/>
    <w:rsid w:val="00786EC0"/>
    <w:rsid w:val="007D1690"/>
    <w:rsid w:val="007E22AD"/>
    <w:rsid w:val="00817416"/>
    <w:rsid w:val="00842779"/>
    <w:rsid w:val="00865F67"/>
    <w:rsid w:val="00881A7B"/>
    <w:rsid w:val="008840E5"/>
    <w:rsid w:val="00887B3E"/>
    <w:rsid w:val="00896F94"/>
    <w:rsid w:val="008C2AC6"/>
    <w:rsid w:val="00930C23"/>
    <w:rsid w:val="0093193B"/>
    <w:rsid w:val="009509D8"/>
    <w:rsid w:val="00950B64"/>
    <w:rsid w:val="00981893"/>
    <w:rsid w:val="00985DCE"/>
    <w:rsid w:val="009A24AD"/>
    <w:rsid w:val="009B1103"/>
    <w:rsid w:val="009E0ED8"/>
    <w:rsid w:val="00A1687D"/>
    <w:rsid w:val="00A37ED8"/>
    <w:rsid w:val="00A43E52"/>
    <w:rsid w:val="00A4678D"/>
    <w:rsid w:val="00A778C7"/>
    <w:rsid w:val="00A943B6"/>
    <w:rsid w:val="00AB441E"/>
    <w:rsid w:val="00AB6293"/>
    <w:rsid w:val="00AE0928"/>
    <w:rsid w:val="00AF3B82"/>
    <w:rsid w:val="00B12E95"/>
    <w:rsid w:val="00B22876"/>
    <w:rsid w:val="00B558F0"/>
    <w:rsid w:val="00B95E96"/>
    <w:rsid w:val="00BD48FE"/>
    <w:rsid w:val="00BD7BD8"/>
    <w:rsid w:val="00BE6ADC"/>
    <w:rsid w:val="00C05BFE"/>
    <w:rsid w:val="00C23CD4"/>
    <w:rsid w:val="00C61C0C"/>
    <w:rsid w:val="00C941CB"/>
    <w:rsid w:val="00CC2357"/>
    <w:rsid w:val="00CF071A"/>
    <w:rsid w:val="00D058B8"/>
    <w:rsid w:val="00D07E5A"/>
    <w:rsid w:val="00D56C11"/>
    <w:rsid w:val="00D834A0"/>
    <w:rsid w:val="00D872DF"/>
    <w:rsid w:val="00D91E21"/>
    <w:rsid w:val="00DA7FCD"/>
    <w:rsid w:val="00E365E1"/>
    <w:rsid w:val="00E6207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103EEEB-CFF8-46D6-83E8-1A757190D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B1103"/>
    <w:rPr>
      <w:b/>
      <w:kern w:val="28"/>
      <w:sz w:val="28"/>
      <w:lang w:val="fr-FR" w:eastAsia="fr-FR"/>
    </w:rPr>
  </w:style>
  <w:style w:type="character" w:customStyle="1" w:styleId="Heading2Char">
    <w:name w:val="Heading 2 Char"/>
    <w:basedOn w:val="DefaultParagraphFont"/>
    <w:link w:val="Heading2"/>
    <w:semiHidden/>
    <w:rsid w:val="009B1103"/>
    <w:rPr>
      <w:sz w:val="24"/>
      <w:lang w:val="fr-FR" w:eastAsia="fr-FR"/>
    </w:rPr>
  </w:style>
  <w:style w:type="character" w:customStyle="1" w:styleId="Heading3Char">
    <w:name w:val="Heading 3 Char"/>
    <w:basedOn w:val="DefaultParagraphFont"/>
    <w:link w:val="Heading3"/>
    <w:semiHidden/>
    <w:rsid w:val="009B1103"/>
    <w:rPr>
      <w:rFonts w:ascii="Arial" w:hAnsi="Arial"/>
      <w:sz w:val="24"/>
      <w:lang w:val="fr-FR" w:eastAsia="fr-FR"/>
    </w:rPr>
  </w:style>
  <w:style w:type="character" w:customStyle="1" w:styleId="Heading4Char">
    <w:name w:val="Heading 4 Char"/>
    <w:basedOn w:val="DefaultParagraphFont"/>
    <w:link w:val="Heading4"/>
    <w:semiHidden/>
    <w:rsid w:val="009B1103"/>
    <w:rPr>
      <w:sz w:val="24"/>
      <w:lang w:val="en-US" w:eastAsia="fr-FR"/>
    </w:rPr>
  </w:style>
  <w:style w:type="character" w:customStyle="1" w:styleId="Heading5Char">
    <w:name w:val="Heading 5 Char"/>
    <w:basedOn w:val="DefaultParagraphFont"/>
    <w:link w:val="Heading5"/>
    <w:semiHidden/>
    <w:rsid w:val="009B1103"/>
    <w:rPr>
      <w:sz w:val="24"/>
      <w:lang w:val="en-US" w:eastAsia="fr-FR"/>
    </w:rPr>
  </w:style>
  <w:style w:type="character" w:customStyle="1" w:styleId="Heading6Char">
    <w:name w:val="Heading 6 Char"/>
    <w:basedOn w:val="DefaultParagraphFont"/>
    <w:link w:val="Heading6"/>
    <w:semiHidden/>
    <w:rsid w:val="009B1103"/>
    <w:rPr>
      <w:i/>
      <w:sz w:val="22"/>
      <w:lang w:val="el-GR"/>
    </w:rPr>
  </w:style>
  <w:style w:type="character" w:customStyle="1" w:styleId="Heading7Char">
    <w:name w:val="Heading 7 Char"/>
    <w:basedOn w:val="DefaultParagraphFont"/>
    <w:link w:val="Heading7"/>
    <w:semiHidden/>
    <w:rsid w:val="009B1103"/>
    <w:rPr>
      <w:rFonts w:ascii="Arial" w:hAnsi="Arial"/>
      <w:sz w:val="24"/>
      <w:lang w:val="el-GR"/>
    </w:rPr>
  </w:style>
  <w:style w:type="character" w:customStyle="1" w:styleId="Heading8Char">
    <w:name w:val="Heading 8 Char"/>
    <w:basedOn w:val="DefaultParagraphFont"/>
    <w:link w:val="Heading8"/>
    <w:semiHidden/>
    <w:rsid w:val="009B1103"/>
    <w:rPr>
      <w:rFonts w:ascii="Arial" w:hAnsi="Arial"/>
      <w:i/>
      <w:sz w:val="24"/>
      <w:lang w:val="el-GR"/>
    </w:rPr>
  </w:style>
  <w:style w:type="character" w:customStyle="1" w:styleId="Heading9Char">
    <w:name w:val="Heading 9 Char"/>
    <w:basedOn w:val="DefaultParagraphFont"/>
    <w:link w:val="Heading9"/>
    <w:semiHidden/>
    <w:rsid w:val="009B1103"/>
    <w:rPr>
      <w:rFonts w:ascii="Arial" w:hAnsi="Arial"/>
      <w:b/>
      <w:i/>
      <w:sz w:val="18"/>
      <w:lang w:val="el-GR"/>
    </w:rPr>
  </w:style>
  <w:style w:type="paragraph" w:styleId="TOCHeading">
    <w:name w:val="TOC Heading"/>
    <w:basedOn w:val="Normal"/>
    <w:next w:val="Normal"/>
    <w:unhideWhenUsed/>
    <w:qFormat/>
    <w:rsid w:val="009B1103"/>
    <w:pPr>
      <w:widowControl/>
      <w:spacing w:after="240"/>
    </w:pPr>
    <w:rPr>
      <w:lang w:val="en-GB"/>
    </w:rPr>
  </w:style>
  <w:style w:type="paragraph" w:customStyle="1" w:styleId="EPFooter2">
    <w:name w:val="EPFooter2"/>
    <w:basedOn w:val="Normal"/>
    <w:next w:val="Normal"/>
    <w:rsid w:val="009B110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B1103"/>
    <w:pPr>
      <w:keepNext/>
      <w:spacing w:after="240"/>
      <w:jc w:val="right"/>
    </w:pPr>
    <w:rPr>
      <w:rFonts w:ascii="Arial" w:hAnsi="Arial"/>
      <w:b/>
    </w:rPr>
  </w:style>
  <w:style w:type="paragraph" w:customStyle="1" w:styleId="Normal6a">
    <w:name w:val="Normal6a"/>
    <w:basedOn w:val="Normal"/>
    <w:rsid w:val="009B1103"/>
    <w:pPr>
      <w:spacing w:after="120"/>
    </w:pPr>
  </w:style>
  <w:style w:type="paragraph" w:customStyle="1" w:styleId="PageHeading">
    <w:name w:val="PageHeading"/>
    <w:basedOn w:val="Normal"/>
    <w:rsid w:val="009B1103"/>
    <w:pPr>
      <w:keepNext/>
      <w:spacing w:after="480"/>
      <w:jc w:val="center"/>
    </w:pPr>
    <w:rPr>
      <w:rFonts w:ascii="Arial" w:hAnsi="Arial" w:cs="Arial"/>
      <w:b/>
    </w:rPr>
  </w:style>
  <w:style w:type="paragraph" w:customStyle="1" w:styleId="NormalBold">
    <w:name w:val="NormalBold"/>
    <w:basedOn w:val="Normal"/>
    <w:link w:val="NormalBoldChar"/>
    <w:rsid w:val="009B1103"/>
    <w:rPr>
      <w:b/>
    </w:rPr>
  </w:style>
  <w:style w:type="paragraph" w:customStyle="1" w:styleId="NormalBold12a">
    <w:name w:val="NormalBold12a"/>
    <w:basedOn w:val="Normal"/>
    <w:rsid w:val="009B1103"/>
    <w:pPr>
      <w:spacing w:after="240"/>
    </w:pPr>
    <w:rPr>
      <w:b/>
    </w:rPr>
  </w:style>
  <w:style w:type="paragraph" w:customStyle="1" w:styleId="AmJustText">
    <w:name w:val="AmJustText"/>
    <w:basedOn w:val="Normal"/>
    <w:rsid w:val="009B1103"/>
    <w:pPr>
      <w:spacing w:after="240"/>
    </w:pPr>
    <w:rPr>
      <w:i/>
    </w:rPr>
  </w:style>
  <w:style w:type="paragraph" w:customStyle="1" w:styleId="NormalHanging12a">
    <w:name w:val="NormalHanging12a"/>
    <w:basedOn w:val="Normal"/>
    <w:rsid w:val="009B1103"/>
    <w:pPr>
      <w:spacing w:after="240"/>
      <w:ind w:left="567" w:hanging="567"/>
    </w:pPr>
  </w:style>
  <w:style w:type="paragraph" w:customStyle="1" w:styleId="CoverNormal24a">
    <w:name w:val="CoverNormal24a"/>
    <w:basedOn w:val="Normal"/>
    <w:rsid w:val="009B1103"/>
    <w:pPr>
      <w:spacing w:after="480"/>
      <w:ind w:left="1417"/>
    </w:pPr>
  </w:style>
  <w:style w:type="paragraph" w:customStyle="1" w:styleId="CoverNormal">
    <w:name w:val="CoverNormal"/>
    <w:basedOn w:val="Normal"/>
    <w:rsid w:val="009B1103"/>
    <w:pPr>
      <w:ind w:left="1418"/>
    </w:pPr>
  </w:style>
  <w:style w:type="paragraph" w:customStyle="1" w:styleId="AmCrossRef">
    <w:name w:val="AmCrossRef"/>
    <w:basedOn w:val="Normal"/>
    <w:rsid w:val="009B1103"/>
    <w:pPr>
      <w:spacing w:before="240" w:after="240"/>
      <w:jc w:val="center"/>
    </w:pPr>
    <w:rPr>
      <w:i/>
    </w:rPr>
  </w:style>
  <w:style w:type="paragraph" w:customStyle="1" w:styleId="AmJustTitle">
    <w:name w:val="AmJustTitle"/>
    <w:basedOn w:val="Normal"/>
    <w:next w:val="AmJustText"/>
    <w:rsid w:val="009B1103"/>
    <w:pPr>
      <w:keepNext/>
      <w:spacing w:before="240" w:after="240"/>
      <w:jc w:val="center"/>
    </w:pPr>
    <w:rPr>
      <w:i/>
    </w:rPr>
  </w:style>
  <w:style w:type="paragraph" w:customStyle="1" w:styleId="CoverReference">
    <w:name w:val="CoverReference"/>
    <w:basedOn w:val="Normal"/>
    <w:rsid w:val="009B1103"/>
    <w:pPr>
      <w:spacing w:before="1080"/>
      <w:jc w:val="right"/>
    </w:pPr>
    <w:rPr>
      <w:rFonts w:ascii="Arial" w:hAnsi="Arial" w:cs="Arial"/>
      <w:b/>
    </w:rPr>
  </w:style>
  <w:style w:type="paragraph" w:customStyle="1" w:styleId="CoverDocType">
    <w:name w:val="CoverDocType"/>
    <w:basedOn w:val="Normal"/>
    <w:rsid w:val="009B1103"/>
    <w:pPr>
      <w:ind w:left="1418"/>
    </w:pPr>
    <w:rPr>
      <w:rFonts w:ascii="Arial" w:hAnsi="Arial"/>
      <w:b/>
      <w:sz w:val="48"/>
    </w:rPr>
  </w:style>
  <w:style w:type="paragraph" w:customStyle="1" w:styleId="CoverDocType24a">
    <w:name w:val="CoverDocType24a"/>
    <w:basedOn w:val="Normal"/>
    <w:rsid w:val="009B1103"/>
    <w:pPr>
      <w:spacing w:after="480"/>
      <w:ind w:left="1418"/>
    </w:pPr>
    <w:rPr>
      <w:rFonts w:ascii="Arial" w:hAnsi="Arial"/>
      <w:b/>
      <w:sz w:val="48"/>
    </w:rPr>
  </w:style>
  <w:style w:type="paragraph" w:customStyle="1" w:styleId="CoverDate">
    <w:name w:val="CoverDate"/>
    <w:basedOn w:val="Normal"/>
    <w:rsid w:val="009B1103"/>
    <w:pPr>
      <w:spacing w:before="240" w:after="1200"/>
    </w:pPr>
  </w:style>
  <w:style w:type="paragraph" w:styleId="Header">
    <w:name w:val="header"/>
    <w:basedOn w:val="Normal"/>
    <w:link w:val="HeaderChar"/>
    <w:rsid w:val="009B1103"/>
    <w:pPr>
      <w:tabs>
        <w:tab w:val="center" w:pos="4513"/>
        <w:tab w:val="right" w:pos="9026"/>
      </w:tabs>
    </w:pPr>
  </w:style>
  <w:style w:type="character" w:customStyle="1" w:styleId="HeaderChar">
    <w:name w:val="Header Char"/>
    <w:basedOn w:val="DefaultParagraphFont"/>
    <w:link w:val="Header"/>
    <w:rsid w:val="009B1103"/>
    <w:rPr>
      <w:sz w:val="24"/>
      <w:lang w:val="el-GR"/>
    </w:rPr>
  </w:style>
  <w:style w:type="paragraph" w:customStyle="1" w:styleId="AmOrLang">
    <w:name w:val="AmOrLang"/>
    <w:basedOn w:val="Normal"/>
    <w:rsid w:val="009B1103"/>
    <w:pPr>
      <w:spacing w:before="240" w:after="240"/>
      <w:jc w:val="right"/>
    </w:pPr>
  </w:style>
  <w:style w:type="paragraph" w:customStyle="1" w:styleId="AmColumnHeading">
    <w:name w:val="AmColumnHeading"/>
    <w:basedOn w:val="Normal"/>
    <w:rsid w:val="009B1103"/>
    <w:pPr>
      <w:spacing w:after="240"/>
      <w:jc w:val="center"/>
    </w:pPr>
    <w:rPr>
      <w:i/>
    </w:rPr>
  </w:style>
  <w:style w:type="paragraph" w:customStyle="1" w:styleId="AmNumberTabs">
    <w:name w:val="AmNumberTabs"/>
    <w:basedOn w:val="Normal"/>
    <w:rsid w:val="009B11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B1103"/>
    <w:pPr>
      <w:spacing w:before="240"/>
    </w:pPr>
    <w:rPr>
      <w:b/>
    </w:rPr>
  </w:style>
  <w:style w:type="paragraph" w:customStyle="1" w:styleId="EPBody">
    <w:name w:val="EPBody"/>
    <w:basedOn w:val="Normal"/>
    <w:rsid w:val="009B1103"/>
    <w:pPr>
      <w:jc w:val="center"/>
    </w:pPr>
    <w:rPr>
      <w:rFonts w:ascii="Arial" w:hAnsi="Arial" w:cs="Arial"/>
      <w:i/>
      <w:sz w:val="22"/>
      <w:szCs w:val="22"/>
    </w:rPr>
  </w:style>
  <w:style w:type="paragraph" w:customStyle="1" w:styleId="EPFooter">
    <w:name w:val="EPFooter"/>
    <w:basedOn w:val="Normal"/>
    <w:rsid w:val="009B1103"/>
    <w:pPr>
      <w:tabs>
        <w:tab w:val="center" w:pos="4535"/>
        <w:tab w:val="right" w:pos="9071"/>
      </w:tabs>
      <w:spacing w:before="240" w:after="240"/>
    </w:pPr>
    <w:rPr>
      <w:color w:val="010000"/>
      <w:sz w:val="22"/>
    </w:rPr>
  </w:style>
  <w:style w:type="paragraph" w:customStyle="1" w:styleId="EPComma">
    <w:name w:val="EPComma"/>
    <w:basedOn w:val="Normal"/>
    <w:rsid w:val="009B1103"/>
    <w:pPr>
      <w:spacing w:before="480" w:after="240"/>
    </w:pPr>
  </w:style>
  <w:style w:type="paragraph" w:customStyle="1" w:styleId="Lgendesigne">
    <w:name w:val="Légende signe"/>
    <w:basedOn w:val="Normal"/>
    <w:rsid w:val="009B1103"/>
    <w:pPr>
      <w:tabs>
        <w:tab w:val="right" w:pos="454"/>
        <w:tab w:val="left" w:pos="737"/>
      </w:tabs>
      <w:ind w:left="737" w:hanging="737"/>
    </w:pPr>
    <w:rPr>
      <w:snapToGrid w:val="0"/>
      <w:sz w:val="18"/>
      <w:lang w:eastAsia="en-US"/>
    </w:rPr>
  </w:style>
  <w:style w:type="paragraph" w:customStyle="1" w:styleId="Lgendetitre">
    <w:name w:val="Légende titre"/>
    <w:basedOn w:val="Normal"/>
    <w:rsid w:val="009B1103"/>
    <w:pPr>
      <w:spacing w:before="240" w:after="240"/>
    </w:pPr>
    <w:rPr>
      <w:b/>
      <w:i/>
      <w:snapToGrid w:val="0"/>
      <w:lang w:eastAsia="en-US"/>
    </w:rPr>
  </w:style>
  <w:style w:type="paragraph" w:customStyle="1" w:styleId="Lgendestandard">
    <w:name w:val="Légende standard"/>
    <w:basedOn w:val="Normal"/>
    <w:rsid w:val="009B1103"/>
    <w:rPr>
      <w:sz w:val="18"/>
    </w:rPr>
  </w:style>
  <w:style w:type="character" w:customStyle="1" w:styleId="Normal6Char">
    <w:name w:val="Normal6 Char"/>
    <w:link w:val="Normal6"/>
    <w:locked/>
    <w:rsid w:val="009B1103"/>
    <w:rPr>
      <w:sz w:val="24"/>
      <w:lang w:val="el-GR"/>
    </w:rPr>
  </w:style>
  <w:style w:type="paragraph" w:customStyle="1" w:styleId="Normal6">
    <w:name w:val="Normal6"/>
    <w:basedOn w:val="Normal"/>
    <w:link w:val="Normal6Char"/>
    <w:rsid w:val="009B1103"/>
    <w:pPr>
      <w:spacing w:after="120"/>
    </w:pPr>
  </w:style>
  <w:style w:type="character" w:customStyle="1" w:styleId="NormalBoldChar">
    <w:name w:val="NormalBold Char"/>
    <w:link w:val="NormalBold"/>
    <w:locked/>
    <w:rsid w:val="009B1103"/>
    <w:rPr>
      <w:b/>
      <w:sz w:val="24"/>
      <w:lang w:val="el-GR"/>
    </w:rPr>
  </w:style>
  <w:style w:type="paragraph" w:customStyle="1" w:styleId="Normal12Italic">
    <w:name w:val="Normal12Italic"/>
    <w:basedOn w:val="Normal"/>
    <w:rsid w:val="009B1103"/>
    <w:pPr>
      <w:spacing w:after="240"/>
    </w:pPr>
    <w:rPr>
      <w:i/>
      <w:noProof/>
    </w:rPr>
  </w:style>
  <w:style w:type="paragraph" w:customStyle="1" w:styleId="JustificationTitle">
    <w:name w:val="JustificationTitle"/>
    <w:basedOn w:val="Normal"/>
    <w:next w:val="Normal"/>
    <w:rsid w:val="009B1103"/>
    <w:pPr>
      <w:keepNext/>
      <w:spacing w:before="240" w:after="240"/>
      <w:jc w:val="center"/>
    </w:pPr>
    <w:rPr>
      <w:i/>
      <w:noProof/>
    </w:rPr>
  </w:style>
  <w:style w:type="paragraph" w:customStyle="1" w:styleId="ColumnHeading">
    <w:name w:val="ColumnHeading"/>
    <w:basedOn w:val="Normal"/>
    <w:rsid w:val="009B1103"/>
    <w:pPr>
      <w:spacing w:after="240"/>
      <w:jc w:val="center"/>
    </w:pPr>
    <w:rPr>
      <w:i/>
    </w:rPr>
  </w:style>
  <w:style w:type="paragraph" w:customStyle="1" w:styleId="AMNumberTabs0">
    <w:name w:val="AMNumberTabs"/>
    <w:basedOn w:val="Normal"/>
    <w:rsid w:val="009B11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B1103"/>
    <w:pPr>
      <w:jc w:val="right"/>
    </w:pPr>
    <w:rPr>
      <w:lang w:val="el-GR"/>
    </w:rPr>
  </w:style>
  <w:style w:type="paragraph" w:styleId="Footer">
    <w:name w:val="footer"/>
    <w:basedOn w:val="Normal"/>
    <w:link w:val="FooterChar"/>
    <w:rsid w:val="009B1103"/>
    <w:pPr>
      <w:tabs>
        <w:tab w:val="center" w:pos="4513"/>
        <w:tab w:val="right" w:pos="9026"/>
      </w:tabs>
    </w:pPr>
  </w:style>
  <w:style w:type="character" w:customStyle="1" w:styleId="FooterChar">
    <w:name w:val="Footer Char"/>
    <w:basedOn w:val="DefaultParagraphFont"/>
    <w:link w:val="Footer"/>
    <w:rsid w:val="009B1103"/>
    <w:rPr>
      <w:sz w:val="24"/>
      <w:lang w:val="el-GR"/>
    </w:rPr>
  </w:style>
  <w:style w:type="paragraph" w:styleId="BalloonText">
    <w:name w:val="Balloon Text"/>
    <w:basedOn w:val="Normal"/>
    <w:link w:val="BalloonTextChar"/>
    <w:unhideWhenUsed/>
    <w:rsid w:val="009B1103"/>
    <w:rPr>
      <w:rFonts w:ascii="Segoe UI" w:hAnsi="Segoe UI" w:cs="Segoe UI"/>
      <w:sz w:val="18"/>
      <w:szCs w:val="18"/>
    </w:rPr>
  </w:style>
  <w:style w:type="character" w:customStyle="1" w:styleId="BalloonTextChar">
    <w:name w:val="Balloon Text Char"/>
    <w:basedOn w:val="DefaultParagraphFont"/>
    <w:link w:val="BalloonText"/>
    <w:rsid w:val="009B1103"/>
    <w:rPr>
      <w:rFonts w:ascii="Segoe UI" w:hAnsi="Segoe UI" w:cs="Segoe UI"/>
      <w:sz w:val="18"/>
      <w:szCs w:val="18"/>
      <w:lang w:val="el-GR"/>
    </w:rPr>
  </w:style>
  <w:style w:type="character" w:styleId="CommentReference">
    <w:name w:val="annotation reference"/>
    <w:basedOn w:val="DefaultParagraphFont"/>
    <w:rsid w:val="009B1103"/>
    <w:rPr>
      <w:sz w:val="16"/>
      <w:szCs w:val="16"/>
    </w:rPr>
  </w:style>
  <w:style w:type="paragraph" w:styleId="CommentText">
    <w:name w:val="annotation text"/>
    <w:basedOn w:val="Normal"/>
    <w:link w:val="CommentTextChar"/>
    <w:rsid w:val="009B1103"/>
    <w:rPr>
      <w:sz w:val="20"/>
    </w:rPr>
  </w:style>
  <w:style w:type="character" w:customStyle="1" w:styleId="CommentTextChar">
    <w:name w:val="Comment Text Char"/>
    <w:basedOn w:val="DefaultParagraphFont"/>
    <w:link w:val="CommentText"/>
    <w:rsid w:val="009B1103"/>
    <w:rPr>
      <w:lang w:val="el-GR"/>
    </w:rPr>
  </w:style>
  <w:style w:type="paragraph" w:styleId="CommentSubject">
    <w:name w:val="annotation subject"/>
    <w:basedOn w:val="CommentText"/>
    <w:next w:val="CommentText"/>
    <w:link w:val="CommentSubjectChar"/>
    <w:unhideWhenUsed/>
    <w:rsid w:val="009B1103"/>
    <w:rPr>
      <w:b/>
      <w:bCs/>
    </w:rPr>
  </w:style>
  <w:style w:type="character" w:customStyle="1" w:styleId="CommentSubjectChar">
    <w:name w:val="Comment Subject Char"/>
    <w:basedOn w:val="CommentTextChar"/>
    <w:link w:val="CommentSubject"/>
    <w:rsid w:val="009B1103"/>
    <w:rPr>
      <w:b/>
      <w:bCs/>
      <w:lang w:val="el-GR"/>
    </w:rPr>
  </w:style>
  <w:style w:type="paragraph" w:customStyle="1" w:styleId="Normal12a">
    <w:name w:val="Normal12a"/>
    <w:basedOn w:val="Normal"/>
    <w:rsid w:val="009B1103"/>
    <w:pPr>
      <w:spacing w:after="240"/>
    </w:pPr>
  </w:style>
  <w:style w:type="paragraph" w:customStyle="1" w:styleId="RollCallVotes">
    <w:name w:val="RollCallVotes"/>
    <w:basedOn w:val="Normal"/>
    <w:rsid w:val="009B1103"/>
    <w:pPr>
      <w:spacing w:before="120" w:after="120"/>
      <w:jc w:val="center"/>
    </w:pPr>
    <w:rPr>
      <w:b/>
      <w:bCs/>
      <w:snapToGrid w:val="0"/>
      <w:sz w:val="16"/>
      <w:lang w:eastAsia="en-US"/>
    </w:rPr>
  </w:style>
  <w:style w:type="paragraph" w:customStyle="1" w:styleId="RollCallTabs">
    <w:name w:val="RollCallTabs"/>
    <w:basedOn w:val="Normal"/>
    <w:qFormat/>
    <w:rsid w:val="009B1103"/>
    <w:pPr>
      <w:tabs>
        <w:tab w:val="center" w:pos="284"/>
        <w:tab w:val="left" w:pos="426"/>
      </w:tabs>
    </w:pPr>
    <w:rPr>
      <w:snapToGrid w:val="0"/>
      <w:lang w:eastAsia="en-US"/>
    </w:rPr>
  </w:style>
  <w:style w:type="paragraph" w:customStyle="1" w:styleId="RollCallSymbols14pt">
    <w:name w:val="RollCallSymbols14pt"/>
    <w:basedOn w:val="Normal"/>
    <w:rsid w:val="009B1103"/>
    <w:pPr>
      <w:spacing w:before="120" w:after="120"/>
      <w:jc w:val="center"/>
    </w:pPr>
    <w:rPr>
      <w:rFonts w:ascii="Arial" w:hAnsi="Arial"/>
      <w:b/>
      <w:bCs/>
      <w:snapToGrid w:val="0"/>
      <w:sz w:val="28"/>
      <w:lang w:eastAsia="en-US"/>
    </w:rPr>
  </w:style>
  <w:style w:type="paragraph" w:customStyle="1" w:styleId="RollCallTable">
    <w:name w:val="RollCallTable"/>
    <w:basedOn w:val="Normal"/>
    <w:rsid w:val="009B1103"/>
    <w:pPr>
      <w:spacing w:before="120" w:after="120"/>
    </w:pPr>
    <w:rPr>
      <w:snapToGrid w:val="0"/>
      <w:sz w:val="16"/>
      <w:lang w:eastAsia="en-US"/>
    </w:rPr>
  </w:style>
  <w:style w:type="paragraph" w:customStyle="1" w:styleId="Memos">
    <w:name w:val="Memos"/>
    <w:basedOn w:val="NoSpacing"/>
    <w:link w:val="MemosChar"/>
    <w:autoRedefine/>
    <w:qFormat/>
    <w:rsid w:val="009B1103"/>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9B1103"/>
    <w:rPr>
      <w:rFonts w:eastAsiaTheme="minorHAnsi"/>
      <w:sz w:val="28"/>
      <w:szCs w:val="32"/>
      <w:u w:val="single"/>
      <w:lang w:val="el-GR" w:eastAsia="en-US"/>
    </w:rPr>
  </w:style>
  <w:style w:type="paragraph" w:customStyle="1" w:styleId="PageHeadingNotTOC">
    <w:name w:val="PageHeadingNotTOC"/>
    <w:basedOn w:val="Normal"/>
    <w:rsid w:val="009B1103"/>
    <w:pPr>
      <w:keepNext/>
      <w:spacing w:after="480"/>
      <w:jc w:val="center"/>
    </w:pPr>
    <w:rPr>
      <w:rFonts w:ascii="Arial" w:hAnsi="Arial" w:cs="Arial"/>
      <w:b/>
    </w:rPr>
  </w:style>
  <w:style w:type="paragraph" w:customStyle="1" w:styleId="AmHeadingPA">
    <w:name w:val="AmHeadingPA"/>
    <w:basedOn w:val="Normal"/>
    <w:next w:val="Normal"/>
    <w:rsid w:val="009B1103"/>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9B1103"/>
    <w:pPr>
      <w:spacing w:after="480"/>
    </w:pPr>
  </w:style>
  <w:style w:type="character" w:customStyle="1" w:styleId="Normal24aChar">
    <w:name w:val="Normal24a Char"/>
    <w:basedOn w:val="DefaultParagraphFont"/>
    <w:link w:val="Normal24a"/>
    <w:rsid w:val="009B1103"/>
    <w:rPr>
      <w:sz w:val="24"/>
      <w:lang w:val="el-GR"/>
    </w:rPr>
  </w:style>
  <w:style w:type="paragraph" w:styleId="NoSpacing">
    <w:name w:val="No Spacing"/>
    <w:uiPriority w:val="1"/>
    <w:qFormat/>
    <w:rsid w:val="009B1103"/>
    <w:pPr>
      <w:widowControl w:val="0"/>
    </w:pPr>
    <w:rPr>
      <w:sz w:val="24"/>
      <w:lang w:val="el-GR"/>
    </w:rPr>
  </w:style>
  <w:style w:type="paragraph" w:customStyle="1" w:styleId="FootnoteTextForceStyle">
    <w:name w:val="Footnote Text ForceStyle"/>
    <w:rsid w:val="00621AFB"/>
    <w:pPr>
      <w:keepLines/>
      <w:widowControl w:val="0"/>
      <w:ind w:left="850" w:hanging="850"/>
    </w:pPr>
    <w:rPr>
      <w:sz w:val="24"/>
      <w:lang w:val="el-G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28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FEE63-3B2E-4773-9E49-20DB924E3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12000</Words>
  <Characters>72423</Characters>
  <Application>Microsoft Office Word</Application>
  <DocSecurity>0</DocSecurity>
  <Lines>603</Lines>
  <Paragraphs>168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LUKSITE Marija</cp:lastModifiedBy>
  <cp:revision>2</cp:revision>
  <cp:lastPrinted>2004-11-19T15:42:00Z</cp:lastPrinted>
  <dcterms:created xsi:type="dcterms:W3CDTF">2024-10-17T10:11:00Z</dcterms:created>
  <dcterms:modified xsi:type="dcterms:W3CDTF">2024-10-17T10:11:00Z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P9_TA(2024)0361_</vt:lpwstr>
  </property>
  <property fmtid="{D5CDD505-2E9C-101B-9397-08002B2CF9AE}" pid="4" name="&lt;Type&gt;">
    <vt:lpwstr>RR</vt:lpwstr>
  </property>
</Properties>
</file>