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0B46A1" w14:paraId="1A72CFB4" w14:textId="77777777" w:rsidTr="0010095E">
        <w:trPr>
          <w:trHeight w:hRule="exact" w:val="1418"/>
        </w:trPr>
        <w:tc>
          <w:tcPr>
            <w:tcW w:w="6804" w:type="dxa"/>
            <w:shd w:val="clear" w:color="auto" w:fill="auto"/>
            <w:vAlign w:val="center"/>
          </w:tcPr>
          <w:p w14:paraId="2BD2F8B3" w14:textId="77777777" w:rsidR="00751A4A" w:rsidRPr="000B46A1" w:rsidRDefault="005C2488" w:rsidP="0010095E">
            <w:pPr>
              <w:pStyle w:val="EPName"/>
            </w:pPr>
            <w:r w:rsidRPr="000B46A1">
              <w:t>European Parliament</w:t>
            </w:r>
          </w:p>
          <w:p w14:paraId="579BB56E" w14:textId="77777777" w:rsidR="00751A4A" w:rsidRPr="000B46A1" w:rsidRDefault="00817416" w:rsidP="00756632">
            <w:pPr>
              <w:pStyle w:val="EPTerm"/>
              <w:rPr>
                <w:rStyle w:val="HideTWBExt"/>
                <w:noProof w:val="0"/>
                <w:vanish w:val="0"/>
                <w:color w:val="auto"/>
              </w:rPr>
            </w:pPr>
            <w:r w:rsidRPr="000B46A1">
              <w:t>2019-2024</w:t>
            </w:r>
          </w:p>
        </w:tc>
        <w:tc>
          <w:tcPr>
            <w:tcW w:w="2268" w:type="dxa"/>
            <w:shd w:val="clear" w:color="auto" w:fill="auto"/>
          </w:tcPr>
          <w:p w14:paraId="0B8C24F7" w14:textId="77777777" w:rsidR="00751A4A" w:rsidRPr="000B46A1" w:rsidRDefault="00187494" w:rsidP="0010095E">
            <w:pPr>
              <w:pStyle w:val="EPLogo"/>
            </w:pPr>
            <w:r w:rsidRPr="000B46A1">
              <w:rPr>
                <w:noProof/>
              </w:rPr>
              <w:drawing>
                <wp:inline distT="0" distB="0" distL="0" distR="0" wp14:anchorId="141BFBD5" wp14:editId="1098E84F">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4196FA2B" w14:textId="77777777" w:rsidR="00D058B8" w:rsidRPr="000B46A1" w:rsidRDefault="00D058B8" w:rsidP="004C5D52">
      <w:pPr>
        <w:pStyle w:val="LineTop"/>
      </w:pPr>
    </w:p>
    <w:p w14:paraId="58080BED" w14:textId="77777777" w:rsidR="00680577" w:rsidRPr="000B46A1" w:rsidRDefault="005C2488" w:rsidP="00680577">
      <w:pPr>
        <w:pStyle w:val="EPBodyTA1"/>
      </w:pPr>
      <w:r w:rsidRPr="000B46A1">
        <w:t>TEXTS ADOPTED</w:t>
      </w:r>
    </w:p>
    <w:p w14:paraId="47BE67CD" w14:textId="77777777" w:rsidR="00D058B8" w:rsidRPr="000B46A1" w:rsidRDefault="00D058B8" w:rsidP="00D058B8">
      <w:pPr>
        <w:pStyle w:val="LineBottom"/>
      </w:pPr>
    </w:p>
    <w:p w14:paraId="6EA1021B" w14:textId="737B2DCE" w:rsidR="005C2488" w:rsidRPr="000B46A1" w:rsidRDefault="005C2488" w:rsidP="005C2488">
      <w:pPr>
        <w:pStyle w:val="ATHeading1"/>
      </w:pPr>
      <w:bookmarkStart w:id="0" w:name="TANumber"/>
      <w:r w:rsidRPr="000B46A1">
        <w:t>P9_</w:t>
      </w:r>
      <w:proofErr w:type="gramStart"/>
      <w:r w:rsidRPr="000B46A1">
        <w:t>TA(</w:t>
      </w:r>
      <w:proofErr w:type="gramEnd"/>
      <w:r w:rsidRPr="000B46A1">
        <w:t>2024)</w:t>
      </w:r>
      <w:bookmarkEnd w:id="0"/>
      <w:r w:rsidR="00E171E3">
        <w:t>0361</w:t>
      </w:r>
    </w:p>
    <w:p w14:paraId="31DAAF75" w14:textId="3D95EDD0" w:rsidR="005C2488" w:rsidRPr="000B46A1" w:rsidRDefault="005C2488" w:rsidP="005C2488">
      <w:pPr>
        <w:pStyle w:val="ATHeading2"/>
      </w:pPr>
      <w:bookmarkStart w:id="1" w:name="title"/>
      <w:r w:rsidRPr="000B46A1">
        <w:t>Statistics on population and housing</w:t>
      </w:r>
      <w:bookmarkEnd w:id="1"/>
    </w:p>
    <w:p w14:paraId="2D89F9D7" w14:textId="77777777" w:rsidR="005C2488" w:rsidRPr="000B46A1" w:rsidRDefault="005C2488" w:rsidP="005C2488">
      <w:pPr>
        <w:rPr>
          <w:i/>
          <w:vanish/>
        </w:rPr>
      </w:pPr>
      <w:r w:rsidRPr="000B46A1">
        <w:rPr>
          <w:i/>
        </w:rPr>
        <w:fldChar w:fldCharType="begin"/>
      </w:r>
      <w:r w:rsidRPr="000B46A1">
        <w:rPr>
          <w:i/>
        </w:rPr>
        <w:instrText xml:space="preserve"> TC"(</w:instrText>
      </w:r>
      <w:bookmarkStart w:id="2" w:name="DocNumber"/>
      <w:r w:rsidRPr="000B46A1">
        <w:rPr>
          <w:i/>
        </w:rPr>
        <w:instrText>A9-0284/2023</w:instrText>
      </w:r>
      <w:bookmarkEnd w:id="2"/>
      <w:r w:rsidRPr="000B46A1">
        <w:rPr>
          <w:i/>
        </w:rPr>
        <w:instrText xml:space="preserve"> - Rapporteur: Irena </w:instrText>
      </w:r>
      <w:proofErr w:type="spellStart"/>
      <w:r w:rsidRPr="000B46A1">
        <w:rPr>
          <w:i/>
        </w:rPr>
        <w:instrText>Joveva</w:instrText>
      </w:r>
      <w:proofErr w:type="spellEnd"/>
      <w:r w:rsidRPr="000B46A1">
        <w:rPr>
          <w:i/>
        </w:rPr>
        <w:instrText>)"\</w:instrText>
      </w:r>
      <w:proofErr w:type="spellStart"/>
      <w:r w:rsidRPr="000B46A1">
        <w:rPr>
          <w:i/>
        </w:rPr>
        <w:instrText>l3</w:instrText>
      </w:r>
      <w:proofErr w:type="spellEnd"/>
      <w:r w:rsidRPr="000B46A1">
        <w:rPr>
          <w:i/>
        </w:rPr>
        <w:instrText xml:space="preserve"> \n&gt; \* MERGEFORMAT </w:instrText>
      </w:r>
      <w:r w:rsidRPr="000B46A1">
        <w:rPr>
          <w:i/>
        </w:rPr>
        <w:fldChar w:fldCharType="end"/>
      </w:r>
    </w:p>
    <w:p w14:paraId="21427AE2" w14:textId="77777777" w:rsidR="005C2488" w:rsidRPr="000B46A1" w:rsidRDefault="005C2488" w:rsidP="005C2488">
      <w:pPr>
        <w:rPr>
          <w:vanish/>
        </w:rPr>
      </w:pPr>
      <w:bookmarkStart w:id="3" w:name="Commission"/>
      <w:r w:rsidRPr="000B46A1">
        <w:rPr>
          <w:vanish/>
        </w:rPr>
        <w:t>Committee for Employment and Social Affairs</w:t>
      </w:r>
      <w:bookmarkEnd w:id="3"/>
    </w:p>
    <w:p w14:paraId="0E70F869" w14:textId="77777777" w:rsidR="005C2488" w:rsidRPr="000B46A1" w:rsidRDefault="005C2488" w:rsidP="005C2488">
      <w:pPr>
        <w:rPr>
          <w:vanish/>
        </w:rPr>
      </w:pPr>
      <w:bookmarkStart w:id="4" w:name="PE"/>
      <w:r w:rsidRPr="000B46A1">
        <w:rPr>
          <w:vanish/>
        </w:rPr>
        <w:t>PE746.665</w:t>
      </w:r>
      <w:bookmarkEnd w:id="4"/>
    </w:p>
    <w:p w14:paraId="745E7DAE" w14:textId="44CFAF6B" w:rsidR="005C2488" w:rsidRPr="000B46A1" w:rsidRDefault="005C2488" w:rsidP="00F81A5B">
      <w:pPr>
        <w:pStyle w:val="ATHeading3"/>
      </w:pPr>
      <w:bookmarkStart w:id="5" w:name="Sujet"/>
      <w:r w:rsidRPr="000B46A1">
        <w:t xml:space="preserve">European Parliament legislative resolution of </w:t>
      </w:r>
      <w:r w:rsidR="001857A4" w:rsidRPr="000B46A1">
        <w:t xml:space="preserve">24 </w:t>
      </w:r>
      <w:r w:rsidRPr="000B46A1">
        <w:t>April 2024 on the proposal for a regulation of the European Parliament and of the Council on European statistics on population and housing, amending Regulation (EC) No 862/2007 and repealing Regulations (EC) No 763/2008 and (EU) No 1260/2013</w:t>
      </w:r>
      <w:bookmarkEnd w:id="5"/>
      <w:r w:rsidRPr="000B46A1">
        <w:t xml:space="preserve"> </w:t>
      </w:r>
      <w:bookmarkStart w:id="6" w:name="References"/>
      <w:r w:rsidRPr="000B46A1">
        <w:t>(COM(2023)0031 – C9-0010/2023 – 2023/0008(COD))</w:t>
      </w:r>
      <w:bookmarkEnd w:id="6"/>
    </w:p>
    <w:p w14:paraId="680865DC" w14:textId="77777777" w:rsidR="00EE7159" w:rsidRPr="000B46A1" w:rsidRDefault="00EE7159" w:rsidP="00F81A5B">
      <w:pPr>
        <w:pStyle w:val="NormalBold"/>
        <w:spacing w:before="240"/>
      </w:pPr>
      <w:bookmarkStart w:id="7" w:name="TextBodyBegin"/>
      <w:bookmarkEnd w:id="7"/>
      <w:r w:rsidRPr="000B46A1">
        <w:t>(Ordinary legislative procedure: first reading)</w:t>
      </w:r>
    </w:p>
    <w:p w14:paraId="25388742" w14:textId="77777777" w:rsidR="00EE7159" w:rsidRPr="000B46A1" w:rsidRDefault="00EE7159" w:rsidP="00EE7159">
      <w:pPr>
        <w:pStyle w:val="EPComma"/>
      </w:pPr>
      <w:r w:rsidRPr="000B46A1">
        <w:rPr>
          <w:i/>
        </w:rPr>
        <w:t>The European Parliament</w:t>
      </w:r>
      <w:r w:rsidRPr="000B46A1">
        <w:t>,</w:t>
      </w:r>
    </w:p>
    <w:p w14:paraId="04A9BCC2" w14:textId="77777777" w:rsidR="00EE7159" w:rsidRPr="000B46A1" w:rsidRDefault="00EE7159" w:rsidP="00C07AE0">
      <w:pPr>
        <w:pStyle w:val="NormalHanging12a"/>
        <w:widowControl/>
      </w:pPr>
      <w:r w:rsidRPr="000B46A1">
        <w:t>–</w:t>
      </w:r>
      <w:r w:rsidRPr="000B46A1">
        <w:tab/>
        <w:t>having regard to the Commission proposal to Parliament and the Council (</w:t>
      </w:r>
      <w:proofErr w:type="gramStart"/>
      <w:r w:rsidRPr="000B46A1">
        <w:t>COM(</w:t>
      </w:r>
      <w:proofErr w:type="gramEnd"/>
      <w:r w:rsidRPr="000B46A1">
        <w:t>2023)0031),</w:t>
      </w:r>
    </w:p>
    <w:p w14:paraId="7EBB006A" w14:textId="77777777" w:rsidR="00EE7159" w:rsidRPr="000B46A1" w:rsidRDefault="00EE7159" w:rsidP="00C07AE0">
      <w:pPr>
        <w:pStyle w:val="NormalHanging12a"/>
        <w:widowControl/>
      </w:pPr>
      <w:r w:rsidRPr="000B46A1">
        <w:t>–</w:t>
      </w:r>
      <w:r w:rsidRPr="000B46A1">
        <w:tab/>
        <w:t>having regard to Article 294(2) and Article 338(1) of the Treaty on the Functioning of the European Union, pursuant to which the Commission submitted the proposal to Parliament (C9</w:t>
      </w:r>
      <w:r w:rsidRPr="000B46A1">
        <w:noBreakHyphen/>
        <w:t>0010/2023),</w:t>
      </w:r>
    </w:p>
    <w:p w14:paraId="670BED93" w14:textId="344F19D1" w:rsidR="00EE7159" w:rsidRPr="000B46A1" w:rsidRDefault="00EE7159" w:rsidP="00C07AE0">
      <w:pPr>
        <w:pStyle w:val="NormalHanging12a"/>
        <w:widowControl/>
      </w:pPr>
      <w:r w:rsidRPr="000B46A1">
        <w:t>–</w:t>
      </w:r>
      <w:r w:rsidRPr="000B46A1">
        <w:tab/>
        <w:t>having regard to Article 294(3) of the Treaty on the Functioning of the European Union,</w:t>
      </w:r>
    </w:p>
    <w:p w14:paraId="599E44F6" w14:textId="490CE1A0" w:rsidR="0022272B" w:rsidRPr="000B46A1" w:rsidRDefault="0022272B" w:rsidP="00C07AE0">
      <w:pPr>
        <w:pStyle w:val="NormalHanging12a"/>
        <w:widowControl/>
      </w:pPr>
      <w:r w:rsidRPr="000B46A1">
        <w:t>–</w:t>
      </w:r>
      <w:r w:rsidRPr="000B46A1">
        <w:tab/>
        <w:t>having regard to the opinion of the European Economic and Social Committee of 27 April 2023</w:t>
      </w:r>
      <w:r w:rsidR="004F6A8B" w:rsidRPr="000B46A1">
        <w:rPr>
          <w:rStyle w:val="FootnoteReference"/>
        </w:rPr>
        <w:footnoteReference w:id="1"/>
      </w:r>
      <w:r w:rsidRPr="000B46A1">
        <w:t>,</w:t>
      </w:r>
    </w:p>
    <w:p w14:paraId="4FA5FF09" w14:textId="77777777" w:rsidR="00EE7159" w:rsidRPr="000B46A1" w:rsidRDefault="00EE7159" w:rsidP="00C07AE0">
      <w:pPr>
        <w:pStyle w:val="NormalHanging12a"/>
        <w:widowControl/>
      </w:pPr>
      <w:r w:rsidRPr="000B46A1">
        <w:t>–</w:t>
      </w:r>
      <w:r w:rsidRPr="000B46A1">
        <w:tab/>
        <w:t>having regard to Rule 59 of its Rules of Procedure,</w:t>
      </w:r>
    </w:p>
    <w:p w14:paraId="2E35E5EB" w14:textId="77777777" w:rsidR="00EE7159" w:rsidRPr="000B46A1" w:rsidRDefault="00EE7159" w:rsidP="00C07AE0">
      <w:pPr>
        <w:pStyle w:val="NormalHanging12a"/>
        <w:widowControl/>
      </w:pPr>
      <w:r w:rsidRPr="000B46A1">
        <w:t>–</w:t>
      </w:r>
      <w:r w:rsidRPr="000B46A1">
        <w:tab/>
        <w:t>having regard to the opinions of the Committee on Civil Liberties, Justice and Home Affairs and the Committee on Regional Development,</w:t>
      </w:r>
    </w:p>
    <w:p w14:paraId="64C2468E" w14:textId="77777777" w:rsidR="00EE7159" w:rsidRPr="000B46A1" w:rsidRDefault="00EE7159" w:rsidP="00C07AE0">
      <w:pPr>
        <w:pStyle w:val="NormalHanging12a"/>
        <w:widowControl/>
      </w:pPr>
      <w:r w:rsidRPr="000B46A1">
        <w:t>–</w:t>
      </w:r>
      <w:r w:rsidRPr="000B46A1">
        <w:tab/>
        <w:t>having regard to the report of the Committee on Employment and Social Affairs (A9-0284/2023),</w:t>
      </w:r>
    </w:p>
    <w:p w14:paraId="0C199BCB" w14:textId="77777777" w:rsidR="00EE7159" w:rsidRPr="000B46A1" w:rsidRDefault="00EE7159" w:rsidP="00C07AE0">
      <w:pPr>
        <w:pStyle w:val="NormalHanging12a"/>
        <w:widowControl/>
        <w:numPr>
          <w:ilvl w:val="0"/>
          <w:numId w:val="45"/>
        </w:numPr>
        <w:ind w:left="567" w:hanging="567"/>
      </w:pPr>
      <w:r w:rsidRPr="000B46A1">
        <w:t>Adopts its position at first reading hereinafter set out;</w:t>
      </w:r>
    </w:p>
    <w:p w14:paraId="4D7A64EE" w14:textId="77777777" w:rsidR="00EE7159" w:rsidRPr="000B46A1" w:rsidRDefault="00EE7159" w:rsidP="00C07AE0">
      <w:pPr>
        <w:pStyle w:val="NormalHanging12a"/>
        <w:widowControl/>
        <w:numPr>
          <w:ilvl w:val="0"/>
          <w:numId w:val="45"/>
        </w:numPr>
        <w:ind w:left="567" w:hanging="567"/>
      </w:pPr>
      <w:r w:rsidRPr="000B46A1">
        <w:lastRenderedPageBreak/>
        <w:t>Calls on the Commission to refer the matter to Parliament again if it replaces, substantially amends or intends to substantially amend its proposal;</w:t>
      </w:r>
    </w:p>
    <w:p w14:paraId="6B7EE26A" w14:textId="77777777" w:rsidR="00EE7159" w:rsidRPr="000B46A1" w:rsidRDefault="00EE7159" w:rsidP="00C07AE0">
      <w:pPr>
        <w:pStyle w:val="NormalHanging12a"/>
        <w:widowControl/>
      </w:pPr>
      <w:r w:rsidRPr="000B46A1">
        <w:t>3.</w:t>
      </w:r>
      <w:r w:rsidRPr="000B46A1">
        <w:tab/>
        <w:t>Instructs its President to forward its position to the Council, the Commission and the national parliaments.</w:t>
      </w:r>
    </w:p>
    <w:p w14:paraId="47B5048B" w14:textId="77777777" w:rsidR="00F81A5B" w:rsidRPr="000B46A1" w:rsidRDefault="00F81A5B" w:rsidP="00EE7159">
      <w:pPr>
        <w:sectPr w:rsidR="00F81A5B" w:rsidRPr="000B46A1" w:rsidSect="009B63E8">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pPr>
    </w:p>
    <w:p w14:paraId="57E376E5" w14:textId="288580CF" w:rsidR="00054513" w:rsidRPr="00054513" w:rsidRDefault="00054513" w:rsidP="00054513">
      <w:pPr>
        <w:pStyle w:val="AmNumberTabs"/>
        <w:keepNext/>
      </w:pPr>
      <w:r w:rsidRPr="00054513">
        <w:lastRenderedPageBreak/>
        <w:t>P9_TC1-</w:t>
      </w:r>
      <w:proofErr w:type="gramStart"/>
      <w:r w:rsidRPr="00054513">
        <w:t>COD(</w:t>
      </w:r>
      <w:proofErr w:type="gramEnd"/>
      <w:r>
        <w:t>2023</w:t>
      </w:r>
      <w:r w:rsidRPr="00054513">
        <w:t>)</w:t>
      </w:r>
      <w:r>
        <w:t>0008</w:t>
      </w:r>
    </w:p>
    <w:p w14:paraId="4C551BD6" w14:textId="1570CE0C" w:rsidR="00054513" w:rsidRPr="00054513" w:rsidRDefault="00054513" w:rsidP="00054513">
      <w:pPr>
        <w:pStyle w:val="AmNumberTabs"/>
        <w:keepNext/>
      </w:pPr>
      <w:r w:rsidRPr="00054513">
        <w:t xml:space="preserve">Position of the European Parliament adopted at first reading on </w:t>
      </w:r>
      <w:r>
        <w:t>24 April</w:t>
      </w:r>
      <w:r w:rsidRPr="00054513">
        <w:t xml:space="preserve"> 2024 with a vie</w:t>
      </w:r>
      <w:r>
        <w:t>w to the adoption of Regulation</w:t>
      </w:r>
      <w:r w:rsidRPr="00054513">
        <w:t xml:space="preserve"> (EU) 2024/… of the Europea</w:t>
      </w:r>
      <w:r>
        <w:t>n Parliament and of the Council</w:t>
      </w:r>
      <w:r w:rsidRPr="00054513">
        <w:rPr>
          <w:szCs w:val="24"/>
          <w:lang w:eastAsia="en-US"/>
        </w:rPr>
        <w:t xml:space="preserve"> </w:t>
      </w:r>
      <w:r w:rsidRPr="000B46A1">
        <w:rPr>
          <w:szCs w:val="24"/>
          <w:lang w:eastAsia="en-US"/>
        </w:rPr>
        <w:t>on European statistics on population and housing, amending Regulation (EC) No 862/2007 and repealing Regulations (EC) No 763/2008 and (EU) No 1260/2013</w:t>
      </w:r>
      <w:r w:rsidRPr="00E70000">
        <w:rPr>
          <w:rStyle w:val="FootnoteReference"/>
          <w:b w:val="0"/>
          <w:szCs w:val="24"/>
          <w:lang w:eastAsia="en-US"/>
        </w:rPr>
        <w:footnoteReference w:customMarkFollows="1" w:id="2"/>
        <w:t>*</w:t>
      </w:r>
    </w:p>
    <w:p w14:paraId="1D5F4BD4" w14:textId="591ADBD8" w:rsidR="00F81A5B" w:rsidRPr="000B46A1" w:rsidRDefault="00F81A5B" w:rsidP="00F81A5B">
      <w:pPr>
        <w:widowControl/>
        <w:spacing w:before="360" w:after="240" w:line="360" w:lineRule="auto"/>
        <w:jc w:val="center"/>
        <w:rPr>
          <w:szCs w:val="24"/>
          <w:lang w:eastAsia="en-US"/>
        </w:rPr>
      </w:pPr>
      <w:r w:rsidRPr="000B46A1">
        <w:rPr>
          <w:szCs w:val="24"/>
          <w:lang w:eastAsia="en-US"/>
        </w:rPr>
        <w:t>(Text with EEA relevance)</w:t>
      </w:r>
    </w:p>
    <w:p w14:paraId="6BECBF6E" w14:textId="77777777" w:rsidR="00F81A5B" w:rsidRPr="000B46A1" w:rsidRDefault="00F81A5B" w:rsidP="00F81A5B">
      <w:pPr>
        <w:keepNext/>
        <w:spacing w:before="600" w:after="120" w:line="360" w:lineRule="auto"/>
        <w:rPr>
          <w:szCs w:val="24"/>
          <w:lang w:eastAsia="en-US"/>
        </w:rPr>
      </w:pPr>
      <w:r w:rsidRPr="000B46A1">
        <w:rPr>
          <w:szCs w:val="24"/>
          <w:lang w:eastAsia="en-US"/>
        </w:rPr>
        <w:t>THE EUROPEAN PARLIAMENT AND THE COUNCIL OF THE EUROPEAN UNION,</w:t>
      </w:r>
    </w:p>
    <w:p w14:paraId="7478E0BC" w14:textId="77777777" w:rsidR="00F81A5B" w:rsidRPr="000B46A1" w:rsidRDefault="00F81A5B" w:rsidP="00F81A5B">
      <w:pPr>
        <w:spacing w:before="120" w:after="120" w:line="360" w:lineRule="auto"/>
        <w:rPr>
          <w:lang w:eastAsia="en-US"/>
        </w:rPr>
      </w:pPr>
      <w:r w:rsidRPr="000B46A1">
        <w:rPr>
          <w:lang w:eastAsia="en-US"/>
        </w:rPr>
        <w:t>Having regard to the Treaty on the Functioning of the European Union, and in particular Article 338(1) thereof,</w:t>
      </w:r>
    </w:p>
    <w:p w14:paraId="5C527D36" w14:textId="77777777" w:rsidR="00F81A5B" w:rsidRPr="000B46A1" w:rsidRDefault="00F81A5B" w:rsidP="00F81A5B">
      <w:pPr>
        <w:spacing w:before="120" w:after="120" w:line="360" w:lineRule="auto"/>
        <w:rPr>
          <w:lang w:eastAsia="en-US"/>
        </w:rPr>
      </w:pPr>
      <w:r w:rsidRPr="000B46A1">
        <w:rPr>
          <w:lang w:eastAsia="en-US"/>
        </w:rPr>
        <w:t>Having regard to the proposal from the European Commission,</w:t>
      </w:r>
    </w:p>
    <w:p w14:paraId="639A76A1" w14:textId="77777777" w:rsidR="00F81A5B" w:rsidRPr="000B46A1" w:rsidRDefault="00F81A5B" w:rsidP="00F81A5B">
      <w:pPr>
        <w:spacing w:before="120" w:after="120" w:line="360" w:lineRule="auto"/>
        <w:rPr>
          <w:lang w:eastAsia="en-US"/>
        </w:rPr>
      </w:pPr>
      <w:r w:rsidRPr="000B46A1">
        <w:rPr>
          <w:lang w:eastAsia="en-US"/>
        </w:rPr>
        <w:t>After transmission of the draft legislative act to the national parliaments,</w:t>
      </w:r>
    </w:p>
    <w:p w14:paraId="37C5DB8D" w14:textId="77777777" w:rsidR="00F81A5B" w:rsidRPr="000B46A1" w:rsidRDefault="00F81A5B" w:rsidP="00F81A5B">
      <w:pPr>
        <w:spacing w:before="120" w:after="120" w:line="360" w:lineRule="auto"/>
        <w:rPr>
          <w:lang w:eastAsia="en-US"/>
        </w:rPr>
      </w:pPr>
      <w:r w:rsidRPr="000B46A1">
        <w:rPr>
          <w:lang w:eastAsia="en-US"/>
        </w:rPr>
        <w:t>Having regard to the opinion of the European Economic and Social Committee</w:t>
      </w:r>
      <w:r w:rsidRPr="000B46A1">
        <w:rPr>
          <w:vertAlign w:val="superscript"/>
          <w:lang w:eastAsia="en-US"/>
        </w:rPr>
        <w:footnoteReference w:id="3"/>
      </w:r>
      <w:r w:rsidRPr="000B46A1">
        <w:rPr>
          <w:lang w:eastAsia="en-US"/>
        </w:rPr>
        <w:t>,</w:t>
      </w:r>
    </w:p>
    <w:p w14:paraId="3C847AA1" w14:textId="77777777" w:rsidR="00F81A5B" w:rsidRPr="000B46A1" w:rsidRDefault="00F81A5B" w:rsidP="00F81A5B">
      <w:pPr>
        <w:spacing w:before="120" w:after="120" w:line="360" w:lineRule="auto"/>
        <w:rPr>
          <w:lang w:eastAsia="en-US"/>
        </w:rPr>
      </w:pPr>
      <w:r w:rsidRPr="000B46A1">
        <w:rPr>
          <w:lang w:eastAsia="en-US"/>
        </w:rPr>
        <w:t>Having regard to the opinion of the Committee of the Regions</w:t>
      </w:r>
      <w:r w:rsidRPr="000B46A1">
        <w:rPr>
          <w:vertAlign w:val="superscript"/>
          <w:lang w:eastAsia="en-US"/>
        </w:rPr>
        <w:footnoteReference w:id="4"/>
      </w:r>
      <w:r w:rsidRPr="000B46A1">
        <w:rPr>
          <w:lang w:eastAsia="en-US"/>
        </w:rPr>
        <w:t>,</w:t>
      </w:r>
    </w:p>
    <w:p w14:paraId="41613420" w14:textId="008B0695" w:rsidR="00F81A5B" w:rsidRPr="000B46A1" w:rsidRDefault="00F81A5B" w:rsidP="00F81A5B">
      <w:pPr>
        <w:spacing w:before="120" w:after="120" w:line="360" w:lineRule="auto"/>
        <w:rPr>
          <w:lang w:eastAsia="en-US"/>
        </w:rPr>
      </w:pPr>
      <w:r w:rsidRPr="000B46A1">
        <w:rPr>
          <w:lang w:eastAsia="en-US"/>
        </w:rPr>
        <w:t>Acting in accordance with the ordinary legislative procedure,</w:t>
      </w:r>
    </w:p>
    <w:p w14:paraId="49198DF6" w14:textId="77777777" w:rsidR="00F81A5B" w:rsidRPr="000B46A1" w:rsidRDefault="00F81A5B" w:rsidP="00F81A5B">
      <w:pPr>
        <w:spacing w:before="120" w:after="120" w:line="360" w:lineRule="auto"/>
        <w:rPr>
          <w:lang w:eastAsia="en-US"/>
        </w:rPr>
      </w:pPr>
      <w:r w:rsidRPr="000B46A1">
        <w:rPr>
          <w:lang w:eastAsia="en-US"/>
        </w:rPr>
        <w:t>Whereas:</w:t>
      </w:r>
    </w:p>
    <w:p w14:paraId="7467E424" w14:textId="77777777" w:rsidR="00F81A5B" w:rsidRPr="000B46A1" w:rsidRDefault="00F81A5B" w:rsidP="00F81A5B">
      <w:pPr>
        <w:spacing w:before="120" w:after="120" w:line="360" w:lineRule="auto"/>
        <w:ind w:left="850" w:hanging="850"/>
        <w:rPr>
          <w:szCs w:val="24"/>
          <w:lang w:eastAsia="en-US"/>
        </w:rPr>
      </w:pPr>
      <w:r w:rsidRPr="000B46A1">
        <w:rPr>
          <w:szCs w:val="24"/>
          <w:lang w:eastAsia="en-US"/>
        </w:rPr>
        <w:t>(1)</w:t>
      </w:r>
      <w:r w:rsidRPr="000B46A1">
        <w:rPr>
          <w:szCs w:val="24"/>
          <w:lang w:eastAsia="en-US"/>
        </w:rPr>
        <w:tab/>
        <w:t xml:space="preserve">European statistics on population and housing </w:t>
      </w:r>
      <w:r w:rsidRPr="000B46A1">
        <w:rPr>
          <w:b/>
          <w:i/>
          <w:szCs w:val="24"/>
          <w:lang w:eastAsia="en-US"/>
        </w:rPr>
        <w:t xml:space="preserve">play a central role in policy-making and decision-making processes and, as such, </w:t>
      </w:r>
      <w:r w:rsidRPr="000B46A1">
        <w:rPr>
          <w:szCs w:val="24"/>
          <w:lang w:eastAsia="en-US"/>
        </w:rPr>
        <w:t xml:space="preserve">are required for the design, implementation and evaluation of Union policies, in particular those addressing the demographic change, the green and digital transformations, the </w:t>
      </w:r>
      <w:r w:rsidRPr="000B46A1">
        <w:rPr>
          <w:b/>
          <w:i/>
          <w:szCs w:val="24"/>
          <w:lang w:eastAsia="en-US"/>
        </w:rPr>
        <w:t xml:space="preserve">framework for the </w:t>
      </w:r>
      <w:r w:rsidRPr="000B46A1">
        <w:rPr>
          <w:szCs w:val="24"/>
          <w:lang w:eastAsia="en-US"/>
        </w:rPr>
        <w:t xml:space="preserve">promotion of energy efficiency, economic, social and territorial cohesion, </w:t>
      </w:r>
      <w:r w:rsidRPr="000B46A1">
        <w:rPr>
          <w:b/>
          <w:i/>
          <w:szCs w:val="24"/>
          <w:lang w:eastAsia="en-US"/>
        </w:rPr>
        <w:t xml:space="preserve">the implementation of the principles of the European Pillar of Social Rights </w:t>
      </w:r>
      <w:r w:rsidRPr="000B46A1">
        <w:rPr>
          <w:szCs w:val="24"/>
          <w:lang w:eastAsia="en-US"/>
        </w:rPr>
        <w:t>and achieving the Sustainable Development Goals of the United Nations (UN) 2030 Agenda</w:t>
      </w:r>
      <w:r w:rsidRPr="000B46A1">
        <w:rPr>
          <w:b/>
          <w:i/>
          <w:szCs w:val="24"/>
          <w:lang w:eastAsia="en-US"/>
        </w:rPr>
        <w:t xml:space="preserve"> in so far as they fall within the scope of this Regulation</w:t>
      </w:r>
      <w:r w:rsidRPr="000B46A1">
        <w:rPr>
          <w:szCs w:val="24"/>
          <w:lang w:eastAsia="en-US"/>
        </w:rPr>
        <w:t>.</w:t>
      </w:r>
    </w:p>
    <w:p w14:paraId="50A827BF" w14:textId="77777777" w:rsidR="00F81A5B" w:rsidRPr="000B46A1" w:rsidRDefault="00F81A5B" w:rsidP="00F81A5B">
      <w:pPr>
        <w:spacing w:before="120" w:after="120" w:line="360" w:lineRule="auto"/>
        <w:ind w:left="850" w:hanging="850"/>
        <w:rPr>
          <w:szCs w:val="24"/>
          <w:lang w:eastAsia="en-US"/>
        </w:rPr>
      </w:pPr>
      <w:r w:rsidRPr="000B46A1">
        <w:rPr>
          <w:szCs w:val="24"/>
          <w:lang w:eastAsia="en-US"/>
        </w:rPr>
        <w:t>(2)</w:t>
      </w:r>
      <w:r w:rsidRPr="000B46A1">
        <w:rPr>
          <w:szCs w:val="24"/>
          <w:lang w:eastAsia="en-US"/>
        </w:rPr>
        <w:tab/>
        <w:t xml:space="preserve">Statistics on population are an important denominator for a wide range of policy indicators and used as reference across European statistics, particularly for providing sampling frames for conducting representative surveys of persons and households, </w:t>
      </w:r>
      <w:r w:rsidRPr="000B46A1">
        <w:rPr>
          <w:szCs w:val="24"/>
          <w:lang w:eastAsia="en-US"/>
        </w:rPr>
        <w:lastRenderedPageBreak/>
        <w:t>under Regulation (EU) 2019/1700 of the European Parliament and of the Council</w:t>
      </w:r>
      <w:r w:rsidRPr="000B46A1">
        <w:rPr>
          <w:szCs w:val="24"/>
          <w:vertAlign w:val="superscript"/>
          <w:lang w:eastAsia="en-US"/>
        </w:rPr>
        <w:footnoteReference w:id="5"/>
      </w:r>
      <w:r w:rsidRPr="000B46A1">
        <w:rPr>
          <w:szCs w:val="24"/>
          <w:lang w:eastAsia="en-US"/>
        </w:rPr>
        <w:t>.</w:t>
      </w:r>
    </w:p>
    <w:p w14:paraId="5E09AF2A" w14:textId="77777777" w:rsidR="00F81A5B" w:rsidRPr="000B46A1" w:rsidRDefault="00F81A5B" w:rsidP="00F81A5B">
      <w:pPr>
        <w:spacing w:before="120" w:after="120" w:line="360" w:lineRule="auto"/>
        <w:ind w:left="850" w:hanging="850"/>
        <w:rPr>
          <w:szCs w:val="24"/>
          <w:lang w:eastAsia="en-US"/>
        </w:rPr>
      </w:pPr>
      <w:r w:rsidRPr="000B46A1">
        <w:rPr>
          <w:szCs w:val="24"/>
          <w:lang w:eastAsia="en-US"/>
        </w:rPr>
        <w:t>(3)</w:t>
      </w:r>
      <w:r w:rsidRPr="000B46A1">
        <w:rPr>
          <w:szCs w:val="24"/>
          <w:lang w:eastAsia="en-US"/>
        </w:rPr>
        <w:tab/>
        <w:t>The Economic and Financial Affairs Council regularly gives a mandate to the Economic Policy Committee to assess the long-term sustainability and quality of public finances based on population projections produced by Eurostat. The population projections are also used for policy analysis in the context of the European semester. The Commission (Eurostat) should have at disposal all the necessary statistics to produce and publish population projections according to the information needs of the Union.</w:t>
      </w:r>
    </w:p>
    <w:p w14:paraId="3491C3DD" w14:textId="77777777" w:rsidR="00F81A5B" w:rsidRPr="000B46A1" w:rsidRDefault="00F81A5B" w:rsidP="00F81A5B">
      <w:pPr>
        <w:spacing w:before="120" w:after="120" w:line="360" w:lineRule="auto"/>
        <w:ind w:left="850" w:hanging="850"/>
        <w:rPr>
          <w:szCs w:val="24"/>
          <w:lang w:eastAsia="en-US"/>
        </w:rPr>
      </w:pPr>
      <w:r w:rsidRPr="000B46A1">
        <w:rPr>
          <w:szCs w:val="24"/>
          <w:lang w:eastAsia="en-US"/>
        </w:rPr>
        <w:t>(4)</w:t>
      </w:r>
      <w:r w:rsidRPr="000B46A1">
        <w:rPr>
          <w:szCs w:val="24"/>
          <w:lang w:eastAsia="en-US"/>
        </w:rPr>
        <w:tab/>
        <w:t>Pursuant to Article 175(2) of the Treaty on the Functioning of the European Union (TFEU), the Commission is to report, every three years, on the progress made towards achieving economic, social and territorial cohesion to the European Parliament, the Council, the Economic and Social Committee and the Committee of the Regions. Regional and local data including for different territorial types, such as border regions, cities and their functional urban areas, metropolitan regions, rural regions, mountain and island regions are necessary for the preparation of those reports and for the regular monitoring of demographic developments and of possible future demographic challenges in the Union territory.</w:t>
      </w:r>
    </w:p>
    <w:p w14:paraId="5713B473" w14:textId="77777777" w:rsidR="00F81A5B" w:rsidRPr="000B46A1" w:rsidRDefault="00F81A5B" w:rsidP="00F81A5B">
      <w:pPr>
        <w:spacing w:before="120" w:after="120" w:line="360" w:lineRule="auto"/>
        <w:ind w:left="850" w:hanging="850"/>
        <w:rPr>
          <w:szCs w:val="24"/>
          <w:lang w:eastAsia="en-US"/>
        </w:rPr>
      </w:pPr>
      <w:r w:rsidRPr="000B46A1">
        <w:rPr>
          <w:szCs w:val="24"/>
          <w:lang w:eastAsia="en-US"/>
        </w:rPr>
        <w:t>(5)</w:t>
      </w:r>
      <w:r w:rsidRPr="000B46A1">
        <w:rPr>
          <w:szCs w:val="24"/>
          <w:lang w:eastAsia="en-US"/>
        </w:rPr>
        <w:tab/>
        <w:t>Pursuant to Article 16(4) of the Treaty on European Union (TEU), a qualified majority of the members of the Council is to be defined, inter alia, on the basis of the population of the Member States. For that purpose, pursuant to Article 4(1) of Regulation (EU) No 1260/2013 of the European Parliament and of the Council</w:t>
      </w:r>
      <w:r w:rsidRPr="000B46A1">
        <w:rPr>
          <w:szCs w:val="24"/>
          <w:vertAlign w:val="superscript"/>
          <w:lang w:eastAsia="en-US"/>
        </w:rPr>
        <w:footnoteReference w:id="6"/>
      </w:r>
      <w:r w:rsidRPr="000B46A1">
        <w:rPr>
          <w:szCs w:val="24"/>
          <w:lang w:eastAsia="en-US"/>
        </w:rPr>
        <w:t xml:space="preserve"> Member States are currently obliged to provide the Commission (Eurostat) with data on the total population at national level.</w:t>
      </w:r>
    </w:p>
    <w:p w14:paraId="29FE7E57" w14:textId="77777777" w:rsidR="00F81A5B" w:rsidRPr="000B46A1" w:rsidRDefault="00F81A5B" w:rsidP="00F81A5B">
      <w:pPr>
        <w:spacing w:before="120" w:after="120" w:line="360" w:lineRule="auto"/>
        <w:ind w:left="850" w:hanging="850"/>
        <w:rPr>
          <w:szCs w:val="24"/>
          <w:lang w:eastAsia="en-US"/>
        </w:rPr>
      </w:pPr>
      <w:r w:rsidRPr="000B46A1">
        <w:rPr>
          <w:szCs w:val="24"/>
          <w:lang w:eastAsia="en-US"/>
        </w:rPr>
        <w:t>(6)</w:t>
      </w:r>
      <w:r w:rsidRPr="000B46A1">
        <w:rPr>
          <w:szCs w:val="24"/>
          <w:lang w:eastAsia="en-US"/>
        </w:rPr>
        <w:tab/>
        <w:t xml:space="preserve">In 2017, the European Statistical System Committee (ESSC) endorsed the Budapest Memorandum, which stated the need for annual statistics on the size and on certain social, economic and demographic characteristics of the population and improved </w:t>
      </w:r>
      <w:r w:rsidRPr="000B46A1">
        <w:rPr>
          <w:szCs w:val="24"/>
          <w:lang w:eastAsia="en-US"/>
        </w:rPr>
        <w:lastRenderedPageBreak/>
        <w:t xml:space="preserve">statistics on migration. For the observance of the principles of equality and non-discrimination with regard to its citizens in all activities and the citizens’ rights as enshrined in the Charter of Fundamental Rights of the European Union and Articles 10 and 19 TFEU, </w:t>
      </w:r>
      <w:r w:rsidRPr="000B46A1">
        <w:rPr>
          <w:b/>
          <w:i/>
          <w:szCs w:val="24"/>
          <w:lang w:eastAsia="en-US"/>
        </w:rPr>
        <w:t xml:space="preserve">and for the purpose of monitoring progress towards the implementation of the principles of the European Pillar of Social Rights, </w:t>
      </w:r>
      <w:r w:rsidRPr="000B46A1">
        <w:rPr>
          <w:szCs w:val="24"/>
          <w:lang w:eastAsia="en-US"/>
        </w:rPr>
        <w:t>the Union needs reliable and comparable statistics. Regulation (EU) 2019/1700 provides a framework for data collections from samples that allow to collect data on equality and non-discrimination in so far as this is feasible on samples and to analyse some aspects of equality and discrimination by producing socio-economic indicators and information on experience of discrimination. In addition, the Fundamental Rights Agency (FRA) and the European Institute for Gender Equality (EIGE) carry out specific studies and dedicated surveys that can further extend the availability of equality statistics at Union level</w:t>
      </w:r>
      <w:r w:rsidRPr="000B46A1">
        <w:rPr>
          <w:b/>
          <w:i/>
          <w:szCs w:val="24"/>
          <w:lang w:eastAsia="en-US"/>
        </w:rPr>
        <w:t>. In addition, the European Foundation for the Improvement of Living and Working Conditions (</w:t>
      </w:r>
      <w:proofErr w:type="spellStart"/>
      <w:r w:rsidRPr="000B46A1">
        <w:rPr>
          <w:b/>
          <w:i/>
          <w:szCs w:val="24"/>
          <w:lang w:eastAsia="en-US"/>
        </w:rPr>
        <w:t>Eurofound</w:t>
      </w:r>
      <w:proofErr w:type="spellEnd"/>
      <w:r w:rsidRPr="000B46A1">
        <w:rPr>
          <w:b/>
          <w:i/>
          <w:szCs w:val="24"/>
          <w:lang w:eastAsia="en-US"/>
        </w:rPr>
        <w:t>) provides data and information collected by means of surveys on living and working conditions</w:t>
      </w:r>
      <w:r w:rsidRPr="000B46A1">
        <w:rPr>
          <w:szCs w:val="24"/>
          <w:lang w:eastAsia="en-US"/>
        </w:rPr>
        <w:t>. Cooperation and coordination between Member States, the Commission (Eurostat) and those agencies should be further enhanced to meet growing user demands for reliable and comprehensive data on equality and diversity in the Union.</w:t>
      </w:r>
    </w:p>
    <w:p w14:paraId="23418BED" w14:textId="77777777" w:rsidR="00F81A5B" w:rsidRPr="000B46A1" w:rsidRDefault="00F81A5B" w:rsidP="00F81A5B">
      <w:pPr>
        <w:spacing w:before="120" w:after="120" w:line="360" w:lineRule="auto"/>
        <w:ind w:left="850" w:hanging="850"/>
        <w:rPr>
          <w:szCs w:val="24"/>
          <w:lang w:eastAsia="en-US"/>
        </w:rPr>
      </w:pPr>
      <w:r w:rsidRPr="000B46A1">
        <w:rPr>
          <w:b/>
          <w:i/>
          <w:szCs w:val="24"/>
          <w:lang w:eastAsia="en-US"/>
        </w:rPr>
        <w:t>(6a)</w:t>
      </w:r>
      <w:r w:rsidRPr="000B46A1">
        <w:rPr>
          <w:szCs w:val="24"/>
          <w:lang w:eastAsia="en-US"/>
        </w:rPr>
        <w:tab/>
      </w:r>
      <w:r w:rsidRPr="000B46A1">
        <w:rPr>
          <w:b/>
          <w:i/>
          <w:szCs w:val="24"/>
          <w:lang w:eastAsia="en-US"/>
        </w:rPr>
        <w:t>The Budapest Memorandum also called for an improved statistics on migration and the development and implementation of common population and migration-related definitions, taking into account the need to establish concepts and definitions that are statistically sound, relevant and applicable in light of emerging types of migration. Past and ongoing events, such as the withdrawal of the United Kingdom from the Union and, the consequences of the Russian war of aggression against Ukraine and other humanitarian crises underline the importance of timely and detailed migration and international protection statistics, which are essential to establishing an overview of migratory flows to, within and from the Union.</w:t>
      </w:r>
    </w:p>
    <w:p w14:paraId="24A1BF0B" w14:textId="77777777" w:rsidR="00F81A5B" w:rsidRPr="000B46A1" w:rsidRDefault="00F81A5B" w:rsidP="00F81A5B">
      <w:pPr>
        <w:spacing w:before="120" w:after="120" w:line="360" w:lineRule="auto"/>
        <w:ind w:left="850" w:hanging="850"/>
        <w:rPr>
          <w:szCs w:val="24"/>
          <w:lang w:eastAsia="en-US"/>
        </w:rPr>
      </w:pPr>
      <w:r w:rsidRPr="000B46A1">
        <w:rPr>
          <w:szCs w:val="24"/>
          <w:lang w:eastAsia="en-US"/>
        </w:rPr>
        <w:t>(7)</w:t>
      </w:r>
      <w:r w:rsidRPr="000B46A1">
        <w:rPr>
          <w:szCs w:val="24"/>
          <w:lang w:eastAsia="en-US"/>
        </w:rPr>
        <w:tab/>
        <w:t xml:space="preserve">To achieve the targets of the European Green Deal, the development and evaluation of effective policies require enhanced statistics relating to the energy use and efficiency of housing, detailed geographical data on the distribution of the population as well as deeper studies of the relationship between population and housing. The COVID-19 pandemic manifested the need for reliable, high frequency and timely statistics on deaths in the Union. While data needs were met with a voluntary data </w:t>
      </w:r>
      <w:r w:rsidRPr="000B46A1">
        <w:rPr>
          <w:szCs w:val="24"/>
          <w:lang w:eastAsia="en-US"/>
        </w:rPr>
        <w:lastRenderedPageBreak/>
        <w:t>collection from Member States to the Commission (Eurostat), the Union needs an adequate mechanism for mandatory collection of such data within the European Statistical System (ESS), subject to the necessary frequency, timeliness and detail.</w:t>
      </w:r>
    </w:p>
    <w:p w14:paraId="6C2AC875" w14:textId="77777777" w:rsidR="00F81A5B" w:rsidRPr="000B46A1" w:rsidRDefault="00F81A5B" w:rsidP="00F81A5B">
      <w:pPr>
        <w:spacing w:before="120" w:after="120" w:line="360" w:lineRule="auto"/>
        <w:ind w:left="850" w:hanging="850"/>
        <w:rPr>
          <w:szCs w:val="24"/>
          <w:lang w:eastAsia="en-US"/>
        </w:rPr>
      </w:pPr>
      <w:r w:rsidRPr="000B46A1">
        <w:rPr>
          <w:b/>
          <w:i/>
          <w:szCs w:val="24"/>
          <w:lang w:eastAsia="en-US"/>
        </w:rPr>
        <w:t>(7a)</w:t>
      </w:r>
      <w:r w:rsidRPr="000B46A1">
        <w:rPr>
          <w:szCs w:val="24"/>
          <w:lang w:eastAsia="en-US"/>
        </w:rPr>
        <w:tab/>
      </w:r>
      <w:r w:rsidRPr="000B46A1">
        <w:rPr>
          <w:b/>
          <w:i/>
          <w:szCs w:val="24"/>
          <w:lang w:eastAsia="en-US"/>
        </w:rPr>
        <w:t>To monitor progress in the implementation of the principles of the European Pillar of Social Rights, of the headline targets of the related Action Plan and of the European Child Guarantee at the national level and to assess the distributional impact of climate change and policies in general, the Union needs an adequate mechanism for the mandatory collection of such data within the ESS, subject to the necessary frequency, timeliness and detail.</w:t>
      </w:r>
    </w:p>
    <w:p w14:paraId="40592AF0" w14:textId="77777777" w:rsidR="00F81A5B" w:rsidRPr="000B46A1" w:rsidRDefault="00F81A5B" w:rsidP="00F81A5B">
      <w:pPr>
        <w:spacing w:before="120" w:after="120" w:line="360" w:lineRule="auto"/>
        <w:ind w:left="850" w:hanging="850"/>
        <w:rPr>
          <w:szCs w:val="24"/>
          <w:lang w:eastAsia="en-US"/>
        </w:rPr>
      </w:pPr>
      <w:r w:rsidRPr="000B46A1">
        <w:rPr>
          <w:szCs w:val="24"/>
          <w:lang w:eastAsia="en-US"/>
        </w:rPr>
        <w:t>(8)</w:t>
      </w:r>
      <w:r w:rsidRPr="000B46A1">
        <w:rPr>
          <w:szCs w:val="24"/>
          <w:lang w:eastAsia="en-US"/>
        </w:rPr>
        <w:tab/>
        <w:t>UN Economic and Social Council, on the proposal of the UN Statistical Commission, every ten years adopts resolutions regarding the World population and housing census and invites UN member countries to conduct population and housing censuses in line with international and regional recommendations and by upholding the integrity, reliability, accuracy and value of the population and housing census results. European statistics on population and housing should take into account these recommendations.</w:t>
      </w:r>
    </w:p>
    <w:p w14:paraId="37D10B89" w14:textId="77777777" w:rsidR="00F81A5B" w:rsidRPr="000B46A1" w:rsidRDefault="00F81A5B" w:rsidP="00F81A5B">
      <w:pPr>
        <w:spacing w:before="120" w:after="120" w:line="360" w:lineRule="auto"/>
        <w:ind w:left="850" w:hanging="850"/>
        <w:rPr>
          <w:szCs w:val="24"/>
          <w:lang w:eastAsia="en-US"/>
        </w:rPr>
      </w:pPr>
      <w:r w:rsidRPr="000B46A1">
        <w:rPr>
          <w:szCs w:val="24"/>
          <w:lang w:eastAsia="en-US"/>
        </w:rPr>
        <w:t>(9)</w:t>
      </w:r>
      <w:r w:rsidRPr="000B46A1">
        <w:rPr>
          <w:szCs w:val="24"/>
          <w:lang w:eastAsia="en-US"/>
        </w:rPr>
        <w:tab/>
      </w:r>
      <w:r w:rsidRPr="000B46A1">
        <w:rPr>
          <w:b/>
          <w:i/>
          <w:szCs w:val="24"/>
          <w:lang w:eastAsia="en-US"/>
        </w:rPr>
        <w:t xml:space="preserve">Streamlining reporting obligations and reducing administrative burden is a central objective of the Commission. The Commission communication of 16 March 2023, entitled ‘Long-term competitiveness of the EU: looking beyond 2030’ aims to rationalise and simplify reporting requirements by 25 % for undertakings and administrations, while not undermining the related policy objectives. </w:t>
      </w:r>
      <w:r w:rsidRPr="000B46A1">
        <w:rPr>
          <w:szCs w:val="24"/>
          <w:lang w:eastAsia="en-US"/>
        </w:rPr>
        <w:t>Regulation (EC) No 223/2009 of the European Parliament and of the Council</w:t>
      </w:r>
      <w:r w:rsidRPr="000B46A1">
        <w:rPr>
          <w:szCs w:val="24"/>
          <w:vertAlign w:val="superscript"/>
          <w:lang w:eastAsia="en-US"/>
        </w:rPr>
        <w:footnoteReference w:id="7"/>
      </w:r>
      <w:r w:rsidRPr="000B46A1">
        <w:rPr>
          <w:szCs w:val="24"/>
          <w:lang w:eastAsia="en-US"/>
        </w:rPr>
        <w:t xml:space="preserve"> established a legal framework for the development, production and dissemination of European statistics, based on common statistical principles. That Regulation sets out the quality criteria and refers to the need to minimise the response burden on survey respondents and to contribute to the more general objective of reducing the administrative burden. A new legal framework for European statistics on population and housing should </w:t>
      </w:r>
      <w:r w:rsidRPr="000B46A1">
        <w:rPr>
          <w:szCs w:val="24"/>
          <w:lang w:eastAsia="en-US"/>
        </w:rPr>
        <w:lastRenderedPageBreak/>
        <w:t xml:space="preserve">implement </w:t>
      </w:r>
      <w:r w:rsidRPr="000B46A1">
        <w:rPr>
          <w:b/>
          <w:i/>
          <w:szCs w:val="24"/>
          <w:lang w:eastAsia="en-US"/>
        </w:rPr>
        <w:t xml:space="preserve">and build upon </w:t>
      </w:r>
      <w:r w:rsidRPr="000B46A1">
        <w:rPr>
          <w:szCs w:val="24"/>
          <w:lang w:eastAsia="en-US"/>
        </w:rPr>
        <w:t xml:space="preserve">the quality criteria set out in that Regulation and </w:t>
      </w:r>
      <w:r w:rsidRPr="000B46A1">
        <w:rPr>
          <w:b/>
          <w:i/>
          <w:szCs w:val="24"/>
          <w:lang w:eastAsia="en-US"/>
        </w:rPr>
        <w:t>reduce the administrative burden</w:t>
      </w:r>
      <w:r w:rsidRPr="000B46A1">
        <w:rPr>
          <w:szCs w:val="24"/>
          <w:lang w:eastAsia="en-US"/>
        </w:rPr>
        <w:t xml:space="preserve"> by embracing effective and efficient reuse of available data sources including administrative data.</w:t>
      </w:r>
    </w:p>
    <w:p w14:paraId="69B45225" w14:textId="77777777" w:rsidR="00F81A5B" w:rsidRPr="000B46A1" w:rsidRDefault="00F81A5B" w:rsidP="00F81A5B">
      <w:pPr>
        <w:spacing w:before="120" w:after="120" w:line="360" w:lineRule="auto"/>
        <w:ind w:left="850" w:hanging="850"/>
        <w:rPr>
          <w:szCs w:val="24"/>
          <w:lang w:eastAsia="en-US"/>
        </w:rPr>
      </w:pPr>
      <w:r w:rsidRPr="000B46A1">
        <w:rPr>
          <w:szCs w:val="24"/>
          <w:lang w:eastAsia="en-US"/>
        </w:rPr>
        <w:t>(10)</w:t>
      </w:r>
      <w:r w:rsidRPr="000B46A1">
        <w:rPr>
          <w:szCs w:val="24"/>
          <w:lang w:eastAsia="en-US"/>
        </w:rPr>
        <w:tab/>
        <w:t>The evaluation of existing statistics</w:t>
      </w:r>
      <w:r w:rsidRPr="000B46A1">
        <w:rPr>
          <w:szCs w:val="24"/>
          <w:vertAlign w:val="superscript"/>
          <w:lang w:eastAsia="en-US"/>
        </w:rPr>
        <w:footnoteReference w:id="8"/>
      </w:r>
      <w:r w:rsidRPr="000B46A1">
        <w:rPr>
          <w:szCs w:val="24"/>
          <w:lang w:eastAsia="en-US"/>
        </w:rPr>
        <w:t xml:space="preserve"> on the population and housing censuses in the Union, statistics on international migration flows, migrant stocks and acquisitions of citizenship and demography statistics has shown that the current legal framework comprising Regulations (EC) No 862/2007</w:t>
      </w:r>
      <w:r w:rsidRPr="000B46A1">
        <w:rPr>
          <w:szCs w:val="24"/>
          <w:vertAlign w:val="superscript"/>
          <w:lang w:eastAsia="en-US"/>
        </w:rPr>
        <w:footnoteReference w:id="9"/>
      </w:r>
      <w:r w:rsidRPr="000B46A1">
        <w:rPr>
          <w:szCs w:val="24"/>
          <w:lang w:eastAsia="en-US"/>
        </w:rPr>
        <w:t>, (EC) No 763/2008</w:t>
      </w:r>
      <w:r w:rsidRPr="000B46A1">
        <w:rPr>
          <w:szCs w:val="24"/>
          <w:vertAlign w:val="superscript"/>
          <w:lang w:eastAsia="en-US"/>
        </w:rPr>
        <w:footnoteReference w:id="10"/>
      </w:r>
      <w:r w:rsidRPr="000B46A1">
        <w:rPr>
          <w:szCs w:val="24"/>
          <w:lang w:eastAsia="en-US"/>
        </w:rPr>
        <w:t xml:space="preserve"> and (EU) No 1260/2013 of the European Parliament and the Council has led to significant overall improvements of statistics compared to the 2005 situation without the current legal framework in force. That framework, however, has potential for a lack of consistency and comparability, which should be addressed.</w:t>
      </w:r>
    </w:p>
    <w:p w14:paraId="45C04B4E" w14:textId="77777777" w:rsidR="00F81A5B" w:rsidRPr="000B46A1" w:rsidRDefault="00F81A5B" w:rsidP="00F81A5B">
      <w:pPr>
        <w:spacing w:before="120" w:after="120" w:line="360" w:lineRule="auto"/>
        <w:ind w:left="850" w:hanging="850"/>
        <w:rPr>
          <w:szCs w:val="24"/>
          <w:lang w:eastAsia="en-US"/>
        </w:rPr>
      </w:pPr>
      <w:r w:rsidRPr="000B46A1">
        <w:rPr>
          <w:szCs w:val="24"/>
          <w:lang w:eastAsia="en-US"/>
        </w:rPr>
        <w:t>(11)</w:t>
      </w:r>
      <w:r w:rsidRPr="000B46A1">
        <w:rPr>
          <w:szCs w:val="24"/>
          <w:lang w:eastAsia="en-US"/>
        </w:rPr>
        <w:tab/>
      </w:r>
      <w:r w:rsidRPr="000B46A1">
        <w:rPr>
          <w:b/>
          <w:i/>
          <w:szCs w:val="24"/>
          <w:lang w:eastAsia="en-US"/>
        </w:rPr>
        <w:t xml:space="preserve">Climate change, the digital transformation, </w:t>
      </w:r>
      <w:r w:rsidRPr="000B46A1">
        <w:rPr>
          <w:szCs w:val="24"/>
          <w:lang w:eastAsia="en-US"/>
        </w:rPr>
        <w:t>the evolving demographic situation and recent migration trends have created demands for timelier, more frequent, and more detailed European statistics on population</w:t>
      </w:r>
      <w:r w:rsidRPr="000B46A1">
        <w:rPr>
          <w:b/>
          <w:i/>
          <w:szCs w:val="24"/>
          <w:lang w:eastAsia="en-US"/>
        </w:rPr>
        <w:t>, socio-economic developments</w:t>
      </w:r>
      <w:r w:rsidRPr="000B46A1">
        <w:rPr>
          <w:szCs w:val="24"/>
          <w:lang w:eastAsia="en-US"/>
        </w:rPr>
        <w:t>, vital events and housing including details of topics or groups that have become politically and societally relevant during the past decade. In addition, the existing legal framework is not flexible enough to adapt to evolving policy needs and to enable the use of new sources at national and Union level. Furthermore, the structure of the existing legal framework in the form of three separate regulations, adopted at different times, has led to intrinsic inconsistencies of the statistics. Finally, as Regulation (EU) No 1260/2013 will cease to apply on 31 August 2028, a new legal basis is required for the demographic statistics collected under that Regulation. It is therefore necessary to replace the current legal framework by a new, more consistent and flexible one that should amend relevant parts of Regulation (EC) No 862/2007 and to repeal Regulations (EC) No 763/2008 and (EU) No 1260/2013.</w:t>
      </w:r>
    </w:p>
    <w:p w14:paraId="7D15BE75" w14:textId="77777777" w:rsidR="00F81A5B" w:rsidRPr="000B46A1" w:rsidRDefault="00F81A5B" w:rsidP="00F81A5B">
      <w:pPr>
        <w:spacing w:before="120" w:after="120" w:line="360" w:lineRule="auto"/>
        <w:ind w:left="850" w:hanging="850"/>
        <w:rPr>
          <w:szCs w:val="24"/>
          <w:lang w:eastAsia="en-US"/>
        </w:rPr>
      </w:pPr>
      <w:r w:rsidRPr="000B46A1">
        <w:rPr>
          <w:szCs w:val="24"/>
          <w:lang w:eastAsia="en-US"/>
        </w:rPr>
        <w:t>(12)</w:t>
      </w:r>
      <w:r w:rsidRPr="000B46A1">
        <w:rPr>
          <w:szCs w:val="24"/>
          <w:lang w:eastAsia="en-US"/>
        </w:rPr>
        <w:tab/>
        <w:t xml:space="preserve">Article 3 of Regulation (EC) No 862/2007 covers statistics on the country of citizenship and place of birth of the resident population (migrant stocks), on changes </w:t>
      </w:r>
      <w:r w:rsidRPr="000B46A1">
        <w:rPr>
          <w:szCs w:val="24"/>
          <w:lang w:eastAsia="en-US"/>
        </w:rPr>
        <w:lastRenderedPageBreak/>
        <w:t>of residence between countries (international migration flows) and on acquisitions of citizenship of the resident population, whereas the other statistics under that Regulation concern administrative and judicial procedures relating to immigration legislation and international protection. Statistics as referred to in Article 3 of that Regulation are therefore closely linked and should be consistent with the statistics on the resident population and its demographic changes provided under Regulations (EC) No 763/2008 and (EU) No 1260/2013. To ensure intrinsic consistency, those statistics should therefore be integrated into a single legal basis while deleting Article 3 from Regulation (EC) No 862/2007.</w:t>
      </w:r>
    </w:p>
    <w:p w14:paraId="46388783" w14:textId="77777777" w:rsidR="00F81A5B" w:rsidRPr="000B46A1" w:rsidRDefault="00F81A5B" w:rsidP="00F81A5B">
      <w:pPr>
        <w:spacing w:before="120" w:after="120" w:line="360" w:lineRule="auto"/>
        <w:ind w:left="850" w:hanging="850"/>
        <w:rPr>
          <w:szCs w:val="24"/>
          <w:lang w:eastAsia="en-US"/>
        </w:rPr>
      </w:pPr>
      <w:r w:rsidRPr="000B46A1">
        <w:rPr>
          <w:szCs w:val="24"/>
          <w:lang w:eastAsia="en-US"/>
        </w:rPr>
        <w:t>(13)</w:t>
      </w:r>
      <w:r w:rsidRPr="000B46A1">
        <w:rPr>
          <w:szCs w:val="24"/>
          <w:lang w:eastAsia="en-US"/>
        </w:rPr>
        <w:tab/>
        <w:t>The rapidly changing nature of some population and housing characteristics, in particular in relation to demographic</w:t>
      </w:r>
      <w:r w:rsidRPr="000B46A1">
        <w:rPr>
          <w:b/>
          <w:i/>
          <w:szCs w:val="24"/>
          <w:lang w:eastAsia="en-US"/>
        </w:rPr>
        <w:t>, socio-economic</w:t>
      </w:r>
      <w:r w:rsidRPr="000B46A1">
        <w:rPr>
          <w:szCs w:val="24"/>
          <w:lang w:eastAsia="en-US"/>
        </w:rPr>
        <w:t xml:space="preserve"> and migration phenomena, and the corresponding need for a prompt targeting and adaptation of policies means that there is a need for statistics to be available on a timely basis soon after the reference period. The periodicity and timeliness of statistics should be therefore tangibly advanced</w:t>
      </w:r>
      <w:r w:rsidRPr="000B46A1">
        <w:rPr>
          <w:b/>
          <w:i/>
          <w:szCs w:val="24"/>
          <w:lang w:eastAsia="en-US"/>
        </w:rPr>
        <w:t>, where possible through the use of administrative data and administrative records. To that end, the Member States should provide adequate resources for their national statistical institutes</w:t>
      </w:r>
      <w:r w:rsidRPr="000B46A1">
        <w:rPr>
          <w:szCs w:val="24"/>
          <w:lang w:eastAsia="en-US"/>
        </w:rPr>
        <w:t>.</w:t>
      </w:r>
    </w:p>
    <w:p w14:paraId="01B393EC" w14:textId="77777777" w:rsidR="00F81A5B" w:rsidRPr="000B46A1" w:rsidRDefault="00F81A5B" w:rsidP="00F81A5B">
      <w:pPr>
        <w:spacing w:before="120" w:after="120" w:line="360" w:lineRule="auto"/>
        <w:ind w:left="850" w:hanging="850"/>
        <w:rPr>
          <w:szCs w:val="24"/>
          <w:lang w:eastAsia="en-US"/>
        </w:rPr>
      </w:pPr>
      <w:r w:rsidRPr="000B46A1">
        <w:rPr>
          <w:szCs w:val="24"/>
          <w:lang w:eastAsia="en-US"/>
        </w:rPr>
        <w:t>(14)</w:t>
      </w:r>
      <w:r w:rsidRPr="000B46A1">
        <w:rPr>
          <w:szCs w:val="24"/>
          <w:lang w:eastAsia="en-US"/>
        </w:rPr>
        <w:tab/>
        <w:t>Regulation (EC) No 1059/2003 of the European Parliament and of the Council</w:t>
      </w:r>
      <w:r w:rsidRPr="000B46A1">
        <w:rPr>
          <w:szCs w:val="24"/>
          <w:vertAlign w:val="superscript"/>
          <w:lang w:eastAsia="en-US"/>
        </w:rPr>
        <w:footnoteReference w:id="11"/>
      </w:r>
      <w:r w:rsidRPr="000B46A1">
        <w:rPr>
          <w:szCs w:val="24"/>
          <w:lang w:eastAsia="en-US"/>
        </w:rPr>
        <w:t xml:space="preserve"> establishes a grid-based methodology for the definition of territorial typologies based on the population distribution by 1 km</w:t>
      </w:r>
      <w:r w:rsidRPr="000B46A1">
        <w:rPr>
          <w:szCs w:val="24"/>
          <w:vertAlign w:val="superscript"/>
          <w:lang w:eastAsia="en-US"/>
        </w:rPr>
        <w:t xml:space="preserve">2 </w:t>
      </w:r>
      <w:r w:rsidRPr="000B46A1">
        <w:rPr>
          <w:szCs w:val="24"/>
          <w:lang w:eastAsia="en-US"/>
        </w:rPr>
        <w:t>grid cells. Commission Implementing Regulation (EU) 2018/1799</w:t>
      </w:r>
      <w:r w:rsidRPr="000B46A1">
        <w:rPr>
          <w:szCs w:val="24"/>
          <w:vertAlign w:val="superscript"/>
          <w:lang w:eastAsia="en-US"/>
        </w:rPr>
        <w:footnoteReference w:id="12"/>
      </w:r>
      <w:r w:rsidRPr="000B46A1">
        <w:rPr>
          <w:szCs w:val="24"/>
          <w:lang w:eastAsia="en-US"/>
        </w:rPr>
        <w:t xml:space="preserve"> as a temporary direct statistical action accompanying the 2021 population and housing censuses provides for key census outputs on a pan-European 1 km</w:t>
      </w:r>
      <w:r w:rsidRPr="000B46A1">
        <w:rPr>
          <w:szCs w:val="24"/>
          <w:vertAlign w:val="superscript"/>
          <w:lang w:eastAsia="en-US"/>
        </w:rPr>
        <w:t>2</w:t>
      </w:r>
      <w:r w:rsidRPr="000B46A1">
        <w:rPr>
          <w:szCs w:val="24"/>
          <w:lang w:eastAsia="en-US"/>
        </w:rPr>
        <w:t xml:space="preserve"> grid. A legal framework should ensure the continued dissemination of georeferenced population statistics based on grids and its extension to housing statistics.</w:t>
      </w:r>
    </w:p>
    <w:p w14:paraId="613E645A" w14:textId="77777777" w:rsidR="00F81A5B" w:rsidRPr="000B46A1" w:rsidRDefault="00F81A5B" w:rsidP="00F81A5B">
      <w:pPr>
        <w:spacing w:before="120" w:after="120" w:line="360" w:lineRule="auto"/>
        <w:ind w:left="850" w:hanging="850"/>
        <w:rPr>
          <w:szCs w:val="24"/>
          <w:lang w:eastAsia="en-US"/>
        </w:rPr>
      </w:pPr>
      <w:r w:rsidRPr="000B46A1">
        <w:rPr>
          <w:szCs w:val="24"/>
          <w:lang w:eastAsia="en-US"/>
        </w:rPr>
        <w:t>(15)</w:t>
      </w:r>
      <w:r w:rsidRPr="000B46A1">
        <w:rPr>
          <w:szCs w:val="24"/>
          <w:lang w:eastAsia="en-US"/>
        </w:rPr>
        <w:tab/>
        <w:t>Territorial units and statistical grids should be defined in accordance with Regulation (EC) No 1059/2003.</w:t>
      </w:r>
    </w:p>
    <w:p w14:paraId="319CC390" w14:textId="77777777" w:rsidR="00F81A5B" w:rsidRPr="000B46A1" w:rsidRDefault="00F81A5B" w:rsidP="00F81A5B">
      <w:pPr>
        <w:spacing w:before="120" w:after="120" w:line="360" w:lineRule="auto"/>
        <w:ind w:left="850" w:hanging="850"/>
        <w:rPr>
          <w:szCs w:val="24"/>
          <w:lang w:eastAsia="en-US"/>
        </w:rPr>
      </w:pPr>
      <w:r w:rsidRPr="000B46A1">
        <w:rPr>
          <w:szCs w:val="24"/>
          <w:lang w:eastAsia="en-US"/>
        </w:rPr>
        <w:lastRenderedPageBreak/>
        <w:t>(16)</w:t>
      </w:r>
      <w:r w:rsidRPr="000B46A1">
        <w:rPr>
          <w:szCs w:val="24"/>
          <w:lang w:eastAsia="en-US"/>
        </w:rPr>
        <w:tab/>
        <w:t>For geocoding of location, the statistical units theme in accordance with Annex III to Directive 2007/2/EC of the European Parliament and of the Council</w:t>
      </w:r>
      <w:r w:rsidRPr="000B46A1">
        <w:rPr>
          <w:szCs w:val="24"/>
          <w:vertAlign w:val="superscript"/>
          <w:lang w:eastAsia="en-US"/>
        </w:rPr>
        <w:footnoteReference w:id="13"/>
      </w:r>
      <w:r w:rsidRPr="000B46A1">
        <w:rPr>
          <w:szCs w:val="24"/>
          <w:lang w:eastAsia="en-US"/>
        </w:rPr>
        <w:t xml:space="preserve"> should be used.</w:t>
      </w:r>
    </w:p>
    <w:p w14:paraId="6607473F" w14:textId="77777777" w:rsidR="00F81A5B" w:rsidRPr="000B46A1" w:rsidRDefault="00F81A5B" w:rsidP="00F81A5B">
      <w:pPr>
        <w:spacing w:before="120" w:after="120" w:line="360" w:lineRule="auto"/>
        <w:ind w:left="850" w:hanging="850"/>
        <w:rPr>
          <w:szCs w:val="24"/>
          <w:lang w:eastAsia="en-US"/>
        </w:rPr>
      </w:pPr>
      <w:r w:rsidRPr="000B46A1">
        <w:rPr>
          <w:szCs w:val="24"/>
          <w:lang w:eastAsia="en-US"/>
        </w:rPr>
        <w:t>(17)</w:t>
      </w:r>
      <w:r w:rsidRPr="000B46A1">
        <w:rPr>
          <w:szCs w:val="24"/>
          <w:lang w:eastAsia="en-US"/>
        </w:rPr>
        <w:tab/>
        <w:t xml:space="preserve">The current legal framework for European statistics on population and housing needs to be updated to ensure that the presently separate statistical processes are adequately integrated in a common framework which allows the ESS to respond effectively to new information needs of the Union and encourage statistical innovations. Statistical output must </w:t>
      </w:r>
      <w:r w:rsidRPr="000B46A1">
        <w:rPr>
          <w:b/>
          <w:i/>
          <w:szCs w:val="24"/>
          <w:lang w:eastAsia="en-US"/>
        </w:rPr>
        <w:t>be enhanced</w:t>
      </w:r>
      <w:r w:rsidRPr="000B46A1">
        <w:rPr>
          <w:szCs w:val="24"/>
          <w:lang w:eastAsia="en-US"/>
        </w:rPr>
        <w:t xml:space="preserve"> to remain relevant in the face of demographic, migratory, social and economic changes </w:t>
      </w:r>
      <w:r w:rsidRPr="000B46A1">
        <w:rPr>
          <w:b/>
          <w:i/>
          <w:szCs w:val="24"/>
          <w:lang w:eastAsia="en-US"/>
        </w:rPr>
        <w:t>and challenges, supporting policy and decision-making</w:t>
      </w:r>
      <w:r w:rsidRPr="000B46A1">
        <w:rPr>
          <w:szCs w:val="24"/>
          <w:lang w:eastAsia="en-US"/>
        </w:rPr>
        <w:t>.</w:t>
      </w:r>
    </w:p>
    <w:p w14:paraId="40453738" w14:textId="08D3EF22" w:rsidR="00F81A5B" w:rsidRPr="000B46A1" w:rsidRDefault="00F81A5B" w:rsidP="00F81A5B">
      <w:pPr>
        <w:spacing w:before="120" w:after="120" w:line="360" w:lineRule="auto"/>
        <w:ind w:left="850" w:hanging="850"/>
        <w:rPr>
          <w:szCs w:val="24"/>
          <w:lang w:eastAsia="en-US"/>
        </w:rPr>
      </w:pPr>
      <w:r w:rsidRPr="000B46A1">
        <w:rPr>
          <w:szCs w:val="24"/>
          <w:lang w:eastAsia="en-US"/>
        </w:rPr>
        <w:t>(18)</w:t>
      </w:r>
      <w:r w:rsidRPr="000B46A1">
        <w:rPr>
          <w:szCs w:val="24"/>
          <w:lang w:eastAsia="en-US"/>
        </w:rPr>
        <w:tab/>
        <w:t>The enhanced regular (annual and infra-annual) statistics on population and housing based on administrative sources should be complemented with information from coordinated population and housing censuses in the Union conducted every ten years in accordance with the UN principles and recommendations. Equally important, population and housing censuses provide a unique opportunity for official statistics to be visible, both in terms of operations and results.</w:t>
      </w:r>
    </w:p>
    <w:p w14:paraId="3A64386F" w14:textId="77777777" w:rsidR="00F81A5B" w:rsidRPr="000B46A1" w:rsidRDefault="00F81A5B" w:rsidP="00F81A5B">
      <w:pPr>
        <w:spacing w:before="120" w:after="120" w:line="360" w:lineRule="auto"/>
        <w:ind w:left="850" w:hanging="850"/>
        <w:rPr>
          <w:szCs w:val="24"/>
          <w:lang w:eastAsia="en-US"/>
        </w:rPr>
      </w:pPr>
      <w:r w:rsidRPr="000B46A1">
        <w:rPr>
          <w:szCs w:val="24"/>
          <w:lang w:eastAsia="en-US"/>
        </w:rPr>
        <w:t>(19)</w:t>
      </w:r>
      <w:r w:rsidRPr="000B46A1">
        <w:rPr>
          <w:szCs w:val="24"/>
          <w:lang w:eastAsia="en-US"/>
        </w:rPr>
        <w:tab/>
        <w:t>The Union censuses should become more cost-effective through making full use of the rich set of administrative data available across the Member States or a combination of different sources including sources related to the Internet of Things and the provision of digital services</w:t>
      </w:r>
      <w:r w:rsidRPr="000B46A1">
        <w:rPr>
          <w:b/>
          <w:i/>
          <w:szCs w:val="24"/>
          <w:lang w:eastAsia="en-US"/>
        </w:rPr>
        <w:t xml:space="preserve"> on the basis of the conclusion of protocols between the national statistical institutes of the Member States and providers of data from private databases</w:t>
      </w:r>
      <w:r w:rsidRPr="000B46A1">
        <w:rPr>
          <w:szCs w:val="24"/>
          <w:lang w:eastAsia="en-US"/>
        </w:rPr>
        <w:t xml:space="preserve">. They should </w:t>
      </w:r>
      <w:r w:rsidRPr="000B46A1">
        <w:rPr>
          <w:b/>
          <w:i/>
          <w:szCs w:val="24"/>
          <w:lang w:eastAsia="en-US"/>
        </w:rPr>
        <w:t>respect the privacy of personal data by establishing the needed safeguards for personal data collection to avoid any potential misuse and guarantee fundamental rights. They should also be</w:t>
      </w:r>
      <w:r w:rsidRPr="000B46A1">
        <w:rPr>
          <w:szCs w:val="24"/>
          <w:lang w:eastAsia="en-US"/>
        </w:rPr>
        <w:t xml:space="preserve"> used to re-establish the demographic baseline and include surveys of the coverage of administrative data sources.</w:t>
      </w:r>
    </w:p>
    <w:p w14:paraId="31D5D30A" w14:textId="73CFC051" w:rsidR="00F81A5B" w:rsidRPr="000B46A1" w:rsidRDefault="00F81A5B" w:rsidP="00F81A5B">
      <w:pPr>
        <w:spacing w:before="120" w:after="120" w:line="360" w:lineRule="auto"/>
        <w:ind w:left="850" w:hanging="850"/>
        <w:rPr>
          <w:szCs w:val="24"/>
          <w:lang w:eastAsia="en-US"/>
        </w:rPr>
      </w:pPr>
      <w:r w:rsidRPr="000B46A1">
        <w:rPr>
          <w:szCs w:val="24"/>
          <w:lang w:eastAsia="en-US"/>
        </w:rPr>
        <w:t>(20)</w:t>
      </w:r>
      <w:r w:rsidRPr="000B46A1">
        <w:rPr>
          <w:szCs w:val="24"/>
          <w:lang w:eastAsia="en-US"/>
        </w:rPr>
        <w:tab/>
        <w:t xml:space="preserve">Member States and the Commission (Eurostat) should have sustainable access to the widest possible range of data sources to produce European statistics on population and housing of high quality and in a cost-effective manner. In this regard, it is crucial that national statistical authorities get timely access and are </w:t>
      </w:r>
      <w:r w:rsidRPr="000B46A1">
        <w:rPr>
          <w:b/>
          <w:i/>
          <w:szCs w:val="24"/>
          <w:lang w:eastAsia="en-US"/>
        </w:rPr>
        <w:t>allowed</w:t>
      </w:r>
      <w:r w:rsidRPr="000B46A1">
        <w:rPr>
          <w:szCs w:val="24"/>
          <w:lang w:eastAsia="en-US"/>
        </w:rPr>
        <w:t xml:space="preserve"> to use promptly </w:t>
      </w:r>
      <w:r w:rsidRPr="000B46A1">
        <w:rPr>
          <w:szCs w:val="24"/>
          <w:lang w:eastAsia="en-US"/>
        </w:rPr>
        <w:lastRenderedPageBreak/>
        <w:t>the administrative data owned by public administrations at national, regional and local level, in accordance with Article 17a of Regulation (EC) No 223/2009. For example, statistics on energy efficiency of buildings can be based on administrative data relating to the issuance of energy certificates of buildings under Directive 2010/31/EU of the European Parliament and of the Council</w:t>
      </w:r>
      <w:r w:rsidRPr="000B46A1">
        <w:rPr>
          <w:szCs w:val="24"/>
          <w:vertAlign w:val="superscript"/>
          <w:lang w:eastAsia="en-US"/>
        </w:rPr>
        <w:footnoteReference w:id="14"/>
      </w:r>
      <w:r w:rsidRPr="000B46A1">
        <w:rPr>
          <w:szCs w:val="24"/>
          <w:lang w:eastAsia="en-US"/>
        </w:rPr>
        <w:t xml:space="preserve">. </w:t>
      </w:r>
      <w:r w:rsidRPr="000B46A1">
        <w:rPr>
          <w:b/>
          <w:i/>
          <w:szCs w:val="24"/>
          <w:lang w:eastAsia="en-US"/>
        </w:rPr>
        <w:t xml:space="preserve">National statistical authorities should be able to fully reuse, in a regular and timely manner, administrative data from the interoperable databases for the energy performance of buildings that are available nationally according to Directive </w:t>
      </w:r>
      <w:r w:rsidR="002F26E5">
        <w:rPr>
          <w:b/>
          <w:i/>
          <w:szCs w:val="24"/>
          <w:lang w:eastAsia="en-US"/>
        </w:rPr>
        <w:t xml:space="preserve">(EU) </w:t>
      </w:r>
      <w:r w:rsidR="00E0724A" w:rsidRPr="00E0724A">
        <w:rPr>
          <w:b/>
          <w:i/>
          <w:szCs w:val="24"/>
          <w:lang w:eastAsia="en-US"/>
        </w:rPr>
        <w:t>2024/1275</w:t>
      </w:r>
      <w:r w:rsidRPr="000B46A1">
        <w:rPr>
          <w:b/>
          <w:i/>
          <w:szCs w:val="24"/>
          <w:lang w:eastAsia="en-US"/>
        </w:rPr>
        <w:t xml:space="preserve"> of the European Parliament and of the Council</w:t>
      </w:r>
      <w:r w:rsidRPr="000B46A1">
        <w:rPr>
          <w:b/>
          <w:i/>
          <w:szCs w:val="24"/>
          <w:vertAlign w:val="superscript"/>
          <w:lang w:eastAsia="en-US"/>
        </w:rPr>
        <w:footnoteReference w:id="15"/>
      </w:r>
      <w:r w:rsidRPr="000B46A1">
        <w:rPr>
          <w:b/>
          <w:i/>
          <w:szCs w:val="24"/>
          <w:lang w:eastAsia="en-US"/>
        </w:rPr>
        <w:t xml:space="preserve">. </w:t>
      </w:r>
      <w:r w:rsidRPr="000B46A1">
        <w:rPr>
          <w:szCs w:val="24"/>
          <w:lang w:eastAsia="en-US"/>
        </w:rPr>
        <w:t xml:space="preserve">The national statistical </w:t>
      </w:r>
      <w:r w:rsidRPr="000B46A1">
        <w:rPr>
          <w:b/>
          <w:i/>
          <w:szCs w:val="24"/>
          <w:lang w:eastAsia="en-US"/>
        </w:rPr>
        <w:t>authorities</w:t>
      </w:r>
      <w:r w:rsidRPr="000B46A1">
        <w:rPr>
          <w:szCs w:val="24"/>
          <w:lang w:eastAsia="en-US"/>
        </w:rPr>
        <w:t xml:space="preserve"> also need to be involved in decisions concerning the design and redevelopment of relevant administrative data sources to ensure that they can be further reused for compilation of official statistics.</w:t>
      </w:r>
    </w:p>
    <w:p w14:paraId="730E02DE" w14:textId="7FC0EB55" w:rsidR="00F81A5B" w:rsidRPr="000B46A1" w:rsidRDefault="00F81A5B" w:rsidP="00F81A5B">
      <w:pPr>
        <w:spacing w:before="120" w:after="120" w:line="360" w:lineRule="auto"/>
        <w:ind w:left="850" w:hanging="850"/>
        <w:rPr>
          <w:szCs w:val="24"/>
          <w:lang w:eastAsia="en-US"/>
        </w:rPr>
      </w:pPr>
      <w:r w:rsidRPr="000B46A1">
        <w:rPr>
          <w:szCs w:val="24"/>
          <w:lang w:eastAsia="en-US"/>
        </w:rPr>
        <w:t>(21)</w:t>
      </w:r>
      <w:r w:rsidRPr="000B46A1">
        <w:rPr>
          <w:szCs w:val="24"/>
          <w:lang w:eastAsia="en-US"/>
        </w:rPr>
        <w:tab/>
        <w:t xml:space="preserve">In recent years, comprehensive Union level databases and interoperability systems related to residence, vital events, citizenship and migratory and cross-border movements of population such as those established by Regulations (EU) </w:t>
      </w:r>
      <w:r w:rsidR="00551F12">
        <w:rPr>
          <w:szCs w:val="24"/>
          <w:lang w:eastAsia="en-US"/>
        </w:rPr>
        <w:t xml:space="preserve">No </w:t>
      </w:r>
      <w:r w:rsidRPr="000B46A1">
        <w:rPr>
          <w:szCs w:val="24"/>
          <w:lang w:eastAsia="en-US"/>
        </w:rPr>
        <w:t>910/2014</w:t>
      </w:r>
      <w:r w:rsidRPr="000B46A1">
        <w:rPr>
          <w:szCs w:val="24"/>
          <w:vertAlign w:val="superscript"/>
          <w:lang w:eastAsia="en-US"/>
        </w:rPr>
        <w:footnoteReference w:id="16"/>
      </w:r>
      <w:r w:rsidRPr="000B46A1">
        <w:rPr>
          <w:szCs w:val="24"/>
          <w:lang w:eastAsia="en-US"/>
        </w:rPr>
        <w:t>, (EU) 2018/1724</w:t>
      </w:r>
      <w:r w:rsidRPr="000B46A1">
        <w:rPr>
          <w:szCs w:val="24"/>
          <w:vertAlign w:val="superscript"/>
          <w:lang w:eastAsia="en-US"/>
        </w:rPr>
        <w:footnoteReference w:id="17"/>
      </w:r>
      <w:r w:rsidRPr="000B46A1">
        <w:rPr>
          <w:szCs w:val="24"/>
          <w:lang w:eastAsia="en-US"/>
        </w:rPr>
        <w:t>, (EU) 2019/817</w:t>
      </w:r>
      <w:r w:rsidRPr="000B46A1">
        <w:rPr>
          <w:szCs w:val="24"/>
          <w:vertAlign w:val="superscript"/>
          <w:lang w:eastAsia="en-US"/>
        </w:rPr>
        <w:footnoteReference w:id="18"/>
      </w:r>
      <w:r w:rsidRPr="000B46A1">
        <w:rPr>
          <w:szCs w:val="24"/>
          <w:lang w:eastAsia="en-US"/>
        </w:rPr>
        <w:t xml:space="preserve"> and (EU) 2019/818</w:t>
      </w:r>
      <w:r w:rsidRPr="000B46A1">
        <w:rPr>
          <w:szCs w:val="24"/>
          <w:vertAlign w:val="superscript"/>
          <w:lang w:eastAsia="en-US"/>
        </w:rPr>
        <w:footnoteReference w:id="19"/>
      </w:r>
      <w:r w:rsidRPr="000B46A1">
        <w:rPr>
          <w:szCs w:val="24"/>
          <w:lang w:eastAsia="en-US"/>
        </w:rPr>
        <w:t xml:space="preserve"> of the European Parliament and of the Council have been developed. They provide valuable </w:t>
      </w:r>
      <w:r w:rsidRPr="000B46A1">
        <w:rPr>
          <w:szCs w:val="24"/>
          <w:lang w:eastAsia="en-US"/>
        </w:rPr>
        <w:lastRenderedPageBreak/>
        <w:t>information that can be re-used for the compilation and quality assurance of European statistics on population and housing.</w:t>
      </w:r>
    </w:p>
    <w:p w14:paraId="7B90EF7D" w14:textId="77777777" w:rsidR="00F81A5B" w:rsidRPr="000B46A1" w:rsidRDefault="00F81A5B" w:rsidP="00F81A5B">
      <w:pPr>
        <w:spacing w:before="120" w:after="120" w:line="360" w:lineRule="auto"/>
        <w:ind w:left="850" w:hanging="850"/>
        <w:rPr>
          <w:szCs w:val="24"/>
          <w:lang w:eastAsia="en-US"/>
        </w:rPr>
      </w:pPr>
      <w:r w:rsidRPr="000B46A1">
        <w:rPr>
          <w:szCs w:val="24"/>
          <w:lang w:eastAsia="en-US"/>
        </w:rPr>
        <w:t>(22)</w:t>
      </w:r>
      <w:r w:rsidRPr="000B46A1">
        <w:rPr>
          <w:szCs w:val="24"/>
          <w:lang w:eastAsia="en-US"/>
        </w:rPr>
        <w:tab/>
        <w:t>In that respect, it is essential to enable the Commission (Eurostat) to re-use those data for statistical purposes only subject to strictly applying rules of data protection and data privacy pursuant to Regulation (EU) 2018/1725 of the European Parliament and of the Council</w:t>
      </w:r>
      <w:r w:rsidRPr="000B46A1">
        <w:rPr>
          <w:szCs w:val="24"/>
          <w:vertAlign w:val="superscript"/>
          <w:lang w:eastAsia="en-US"/>
        </w:rPr>
        <w:footnoteReference w:id="20"/>
      </w:r>
      <w:r w:rsidRPr="000B46A1">
        <w:rPr>
          <w:szCs w:val="24"/>
          <w:lang w:eastAsia="en-US"/>
        </w:rPr>
        <w:t>. This should apply in particular to the statistical data stored in the central repository for reporting and statistics (CRRS) in accordance with the purpose of the CRRS set out in Article 39(1) of Regulation (EU) 2019/817 as well as in Article 39(1) of Regulation (EU) 2019/818 and in accordance with the Regulations establishing the systems whose statistical data is stored in the CRRS. In particular, considering that the CRRS is to provide cross-system statistical data and analytical reporting for policy, operational and data quality purposes, the Commission (Eurostat) should cooperate with the European Union Agency for the Operational Management of Large-Scale IT Systems in the Area of Freedom, Security and Justice (</w:t>
      </w:r>
      <w:proofErr w:type="spellStart"/>
      <w:r w:rsidRPr="000B46A1">
        <w:rPr>
          <w:szCs w:val="24"/>
          <w:lang w:eastAsia="en-US"/>
        </w:rPr>
        <w:t>eu</w:t>
      </w:r>
      <w:proofErr w:type="spellEnd"/>
      <w:r w:rsidRPr="000B46A1">
        <w:rPr>
          <w:szCs w:val="24"/>
          <w:lang w:eastAsia="en-US"/>
        </w:rPr>
        <w:t>-LISA), to the extent possible, with a view to providing the required European statistics.</w:t>
      </w:r>
    </w:p>
    <w:p w14:paraId="02407D88" w14:textId="77777777" w:rsidR="00F81A5B" w:rsidRPr="000B46A1" w:rsidRDefault="00F81A5B" w:rsidP="00F81A5B">
      <w:pPr>
        <w:spacing w:before="120" w:after="120" w:line="360" w:lineRule="auto"/>
        <w:ind w:left="850" w:hanging="850"/>
        <w:rPr>
          <w:szCs w:val="24"/>
          <w:lang w:eastAsia="en-US"/>
        </w:rPr>
      </w:pPr>
      <w:r w:rsidRPr="000B46A1">
        <w:rPr>
          <w:szCs w:val="24"/>
          <w:lang w:eastAsia="en-US"/>
        </w:rPr>
        <w:t>(23)</w:t>
      </w:r>
      <w:r w:rsidRPr="000B46A1">
        <w:rPr>
          <w:szCs w:val="24"/>
          <w:lang w:eastAsia="en-US"/>
        </w:rPr>
        <w:tab/>
        <w:t xml:space="preserve">Privately held data </w:t>
      </w:r>
      <w:r w:rsidRPr="000B46A1">
        <w:rPr>
          <w:b/>
          <w:i/>
          <w:szCs w:val="24"/>
          <w:lang w:eastAsia="en-US"/>
        </w:rPr>
        <w:t xml:space="preserve">refers to the vast amount of data held by private entities obtained as a result of their activity, which could be used by statistical authorities and the Commission (Eurostat) to produce official statistics. Such data </w:t>
      </w:r>
      <w:r w:rsidRPr="000B46A1">
        <w:rPr>
          <w:szCs w:val="24"/>
          <w:lang w:eastAsia="en-US"/>
        </w:rPr>
        <w:t>can improve the coverage, timeliness and crisis response capacities of European statistics on population and housing or ▌ enable statistical innovation. Such data have the potential to complement existing demography and migration statistics, bring statistical innovation and even serve for production of early estimates</w:t>
      </w:r>
      <w:r w:rsidRPr="000B46A1">
        <w:rPr>
          <w:b/>
          <w:i/>
          <w:szCs w:val="24"/>
          <w:lang w:eastAsia="en-US"/>
        </w:rPr>
        <w:t xml:space="preserve"> while ensuring the protection of the rights and freedoms of data holders</w:t>
      </w:r>
      <w:r w:rsidRPr="000B46A1">
        <w:rPr>
          <w:szCs w:val="24"/>
          <w:lang w:eastAsia="en-US"/>
        </w:rPr>
        <w:t>. The national statistical institutes and other competent national authorities and the Commission (Eurostat) should have access to and use such data</w:t>
      </w:r>
      <w:r w:rsidRPr="000B46A1">
        <w:rPr>
          <w:b/>
          <w:i/>
          <w:szCs w:val="24"/>
          <w:lang w:eastAsia="en-US"/>
        </w:rPr>
        <w:t xml:space="preserve"> and cooperate with the private data holders in accordance with Regulation (EC) No 223/2009</w:t>
      </w:r>
      <w:r w:rsidRPr="000B46A1">
        <w:rPr>
          <w:szCs w:val="24"/>
          <w:lang w:eastAsia="en-US"/>
        </w:rPr>
        <w:t>.</w:t>
      </w:r>
    </w:p>
    <w:p w14:paraId="7F1C8C44" w14:textId="77777777" w:rsidR="00F81A5B" w:rsidRPr="000B46A1" w:rsidRDefault="00F81A5B" w:rsidP="00F81A5B">
      <w:pPr>
        <w:spacing w:before="120" w:after="120" w:line="360" w:lineRule="auto"/>
        <w:ind w:left="850" w:hanging="850"/>
        <w:rPr>
          <w:szCs w:val="24"/>
          <w:lang w:eastAsia="en-US"/>
        </w:rPr>
      </w:pPr>
      <w:r w:rsidRPr="000B46A1">
        <w:rPr>
          <w:szCs w:val="24"/>
          <w:lang w:eastAsia="en-US"/>
        </w:rPr>
        <w:t>(24)</w:t>
      </w:r>
      <w:r w:rsidRPr="000B46A1">
        <w:rPr>
          <w:szCs w:val="24"/>
          <w:lang w:eastAsia="en-US"/>
        </w:rPr>
        <w:tab/>
        <w:t xml:space="preserve">To ensure the comparability of European statistics on population and housing at </w:t>
      </w:r>
      <w:r w:rsidRPr="000B46A1">
        <w:rPr>
          <w:szCs w:val="24"/>
          <w:lang w:eastAsia="en-US"/>
        </w:rPr>
        <w:lastRenderedPageBreak/>
        <w:t xml:space="preserve">Union level, it is essential that common population definitions are used and implemented in a harmonised way. To implement the single harmonised population base consistently, robustly and cost-effectively while ensuring timely results, it should be possible to apply </w:t>
      </w:r>
      <w:r w:rsidRPr="000B46A1">
        <w:rPr>
          <w:b/>
          <w:i/>
          <w:szCs w:val="24"/>
          <w:lang w:eastAsia="en-US"/>
        </w:rPr>
        <w:t>scientifically based modelling techniques and statistical methods</w:t>
      </w:r>
      <w:r w:rsidRPr="000B46A1">
        <w:rPr>
          <w:szCs w:val="24"/>
          <w:lang w:eastAsia="en-US"/>
        </w:rPr>
        <w:t xml:space="preserve"> such as ‘signs of life’, </w:t>
      </w:r>
      <w:r w:rsidRPr="000B46A1">
        <w:rPr>
          <w:b/>
          <w:i/>
          <w:szCs w:val="24"/>
          <w:lang w:eastAsia="en-US"/>
        </w:rPr>
        <w:t>where appropriate</w:t>
      </w:r>
      <w:r w:rsidRPr="000B46A1">
        <w:rPr>
          <w:szCs w:val="24"/>
          <w:lang w:eastAsia="en-US"/>
        </w:rPr>
        <w:t>.</w:t>
      </w:r>
    </w:p>
    <w:p w14:paraId="053DFFF3" w14:textId="77777777" w:rsidR="00F81A5B" w:rsidRPr="000B46A1" w:rsidRDefault="00F81A5B" w:rsidP="00F81A5B">
      <w:pPr>
        <w:spacing w:before="120" w:after="120" w:line="360" w:lineRule="auto"/>
        <w:ind w:left="850" w:hanging="850"/>
        <w:rPr>
          <w:szCs w:val="24"/>
          <w:lang w:eastAsia="en-US"/>
        </w:rPr>
      </w:pPr>
      <w:r w:rsidRPr="000B46A1">
        <w:rPr>
          <w:szCs w:val="24"/>
          <w:lang w:eastAsia="en-US"/>
        </w:rPr>
        <w:t>(25)</w:t>
      </w:r>
      <w:r w:rsidRPr="000B46A1">
        <w:rPr>
          <w:szCs w:val="24"/>
          <w:lang w:eastAsia="en-US"/>
        </w:rPr>
        <w:tab/>
        <w:t>Member States should provide their data and metadata in electronic form in an appropriate technical format to be provided by the Commission (Eurostat). International standards, such as the Statistical Data and Metadata Exchange initiative, and statistical or technical standards elaborated within the Union, such as metadata and validation standards or European Interoperable Framework principles, should be used to the extent relevant for European statistics on population and housing. The ESSC has endorsed the ESS standards for metadata and quality reports, in accordance with Article 12 of Regulation (EC) No 223/2009. Those standards are to contribute to the harmonisation of quality assurance and reporting under this Regulation and should therefore be introduced.</w:t>
      </w:r>
    </w:p>
    <w:p w14:paraId="3690BF68" w14:textId="77777777" w:rsidR="00F81A5B" w:rsidRPr="000B46A1" w:rsidRDefault="00F81A5B" w:rsidP="00F81A5B">
      <w:pPr>
        <w:spacing w:before="120" w:after="120" w:line="360" w:lineRule="auto"/>
        <w:ind w:left="850" w:hanging="850"/>
        <w:rPr>
          <w:szCs w:val="24"/>
          <w:lang w:eastAsia="en-US"/>
        </w:rPr>
      </w:pPr>
      <w:r w:rsidRPr="000B46A1">
        <w:rPr>
          <w:szCs w:val="24"/>
          <w:lang w:eastAsia="en-US"/>
        </w:rPr>
        <w:t>(26)</w:t>
      </w:r>
      <w:r w:rsidRPr="000B46A1">
        <w:rPr>
          <w:szCs w:val="24"/>
          <w:lang w:eastAsia="en-US"/>
        </w:rPr>
        <w:tab/>
        <w:t>European statistics on population and housing should meet the quality criteria on relevance, accuracy, timeliness and punctuality, accessibility and clarity, comparability and coherence specified in Regulation (EC) No 223/2009. The quality of those statistics should be enhanced in so far as the needs of the Union evolve</w:t>
      </w:r>
      <w:r w:rsidRPr="000B46A1">
        <w:rPr>
          <w:b/>
          <w:i/>
          <w:szCs w:val="24"/>
          <w:lang w:eastAsia="en-US"/>
        </w:rPr>
        <w:t xml:space="preserve"> and mechanisms should be established to address possible situations where the quality of data is not guaranteed</w:t>
      </w:r>
      <w:r w:rsidRPr="000B46A1">
        <w:rPr>
          <w:szCs w:val="24"/>
          <w:lang w:eastAsia="en-US"/>
        </w:rPr>
        <w:t>. Appropriate results from the quality assessment carried out by the Commission (Eurostat) should be publicly available to statistics users</w:t>
      </w:r>
      <w:r w:rsidRPr="000B46A1">
        <w:rPr>
          <w:b/>
          <w:i/>
          <w:szCs w:val="24"/>
          <w:lang w:eastAsia="en-US"/>
        </w:rPr>
        <w:t xml:space="preserve"> by assuring free and easy access to those statistics</w:t>
      </w:r>
      <w:r w:rsidRPr="000B46A1">
        <w:rPr>
          <w:szCs w:val="24"/>
          <w:lang w:eastAsia="en-US"/>
        </w:rPr>
        <w:t xml:space="preserve"> through Commission (Eurostat) databases on its website and in its publications.</w:t>
      </w:r>
    </w:p>
    <w:p w14:paraId="6A0BC01C" w14:textId="016125E3" w:rsidR="00F81A5B" w:rsidRPr="000B46A1" w:rsidRDefault="00F81A5B" w:rsidP="00F81A5B">
      <w:pPr>
        <w:spacing w:before="120" w:after="120" w:line="360" w:lineRule="auto"/>
        <w:ind w:left="850" w:hanging="850"/>
        <w:rPr>
          <w:szCs w:val="24"/>
          <w:lang w:eastAsia="en-US"/>
        </w:rPr>
      </w:pPr>
      <w:r w:rsidRPr="000B46A1">
        <w:rPr>
          <w:b/>
          <w:i/>
          <w:szCs w:val="24"/>
          <w:lang w:eastAsia="en-US"/>
        </w:rPr>
        <w:t>(26a)</w:t>
      </w:r>
      <w:r w:rsidRPr="000B46A1">
        <w:rPr>
          <w:szCs w:val="24"/>
          <w:lang w:eastAsia="en-US"/>
        </w:rPr>
        <w:tab/>
      </w:r>
      <w:r w:rsidRPr="000B46A1">
        <w:rPr>
          <w:b/>
          <w:i/>
          <w:szCs w:val="24"/>
          <w:lang w:eastAsia="en-US"/>
        </w:rPr>
        <w:t xml:space="preserve">European statistics on population and housing should address the persistent lack of data regarding vulnerable groups, namely hard-to-reach population groups, such as persons residing in institutions (for instance military institutions, correctional and penal institutions, dormitories of schools and universities, religious institutions, hospitals, residential care centres, institutions for persons with disabilities and orphanages), persons aged over 75, persons with disabilities, homeless people, persons with a migrant background and stateless persons. In order to bridge that data divide and to prevent social and economic inequalities arising from it, the Member States should develop strategies and targeted solutions </w:t>
      </w:r>
      <w:r w:rsidRPr="000B46A1">
        <w:rPr>
          <w:b/>
          <w:i/>
          <w:szCs w:val="24"/>
          <w:lang w:eastAsia="en-US"/>
        </w:rPr>
        <w:lastRenderedPageBreak/>
        <w:t xml:space="preserve">for collecting data about hard-to-reach population groups, in particular with regard to locating, contacting, persuading and interviewing hard-to-reach populations. </w:t>
      </w:r>
    </w:p>
    <w:p w14:paraId="5FD5EF60" w14:textId="06F71C48" w:rsidR="00F81A5B" w:rsidRPr="000B46A1" w:rsidRDefault="00F81A5B" w:rsidP="00F81A5B">
      <w:pPr>
        <w:spacing w:before="120" w:after="120" w:line="360" w:lineRule="auto"/>
        <w:ind w:left="850" w:hanging="850"/>
        <w:rPr>
          <w:szCs w:val="24"/>
          <w:lang w:eastAsia="en-US"/>
        </w:rPr>
      </w:pPr>
      <w:r w:rsidRPr="000B46A1">
        <w:rPr>
          <w:b/>
          <w:i/>
          <w:szCs w:val="24"/>
          <w:lang w:eastAsia="en-US"/>
        </w:rPr>
        <w:t>(26</w:t>
      </w:r>
      <w:r w:rsidR="005B479D">
        <w:rPr>
          <w:b/>
          <w:i/>
          <w:szCs w:val="24"/>
          <w:lang w:eastAsia="en-US"/>
        </w:rPr>
        <w:t>b</w:t>
      </w:r>
      <w:r w:rsidRPr="000B46A1">
        <w:rPr>
          <w:b/>
          <w:i/>
          <w:szCs w:val="24"/>
          <w:lang w:eastAsia="en-US"/>
        </w:rPr>
        <w:t>)</w:t>
      </w:r>
      <w:r w:rsidRPr="000B46A1">
        <w:rPr>
          <w:szCs w:val="24"/>
          <w:lang w:eastAsia="en-US"/>
        </w:rPr>
        <w:tab/>
      </w:r>
      <w:r w:rsidRPr="000B46A1">
        <w:rPr>
          <w:b/>
          <w:i/>
          <w:szCs w:val="24"/>
          <w:lang w:eastAsia="en-US"/>
        </w:rPr>
        <w:t>Adequate, timely and effective policies presuppose reliable and comparable data, disaggregated by gender, age and, where relevant, nationality, socio-economic status, geographical area, and other characteristics in accordance with the statistical principles laid down in Article 338(1) TFEU and in the European Statistics Code of practice and Quality assurance Framework of the ESS. That data is relevant to better understand population and housing trends, to combat intersectional discrimination and to implement and assess Union policies, political objectives and actions, such as the principles of the European Pillar of Social Rights, the European Child Guarantee, the European Care Strategy, the European Strategy for the Rights of Persons with Disabilities and the European Platform on Combatting Homelessness, all of which rely heavily on data about households and families. Disaggregation of statistics by disability should be encouraged by using existing and new administrative data sources, which should be leveraged to explore capturing disability. The collection and use of such data must be conducted with full respect of Union and national privacy and fundamental rights standards, particularly where involving data of minors. Disaggregation by gender should reflect available data in Member States. In some Member States, it is currently possible for persons to legally register as having a third, often a neutral, gender. This Regulation does not affect relevant national rules giving effect to such registration.</w:t>
      </w:r>
    </w:p>
    <w:p w14:paraId="2D4D23B9" w14:textId="77777777" w:rsidR="00F81A5B" w:rsidRPr="000B46A1" w:rsidRDefault="00F81A5B" w:rsidP="00F81A5B">
      <w:pPr>
        <w:spacing w:before="120" w:after="120" w:line="360" w:lineRule="auto"/>
        <w:ind w:left="850" w:hanging="850"/>
        <w:rPr>
          <w:szCs w:val="24"/>
          <w:lang w:eastAsia="en-US"/>
        </w:rPr>
      </w:pPr>
      <w:r w:rsidRPr="000B46A1">
        <w:rPr>
          <w:szCs w:val="24"/>
          <w:lang w:eastAsia="en-US"/>
        </w:rPr>
        <w:t>(27)</w:t>
      </w:r>
      <w:r w:rsidRPr="000B46A1">
        <w:rPr>
          <w:szCs w:val="24"/>
          <w:lang w:eastAsia="en-US"/>
        </w:rPr>
        <w:tab/>
        <w:t>Regulation (EC) No 223/2009 includes rules on the provision of data from the Member States to the Commission (Eurostat) and on the use thereof, including on the transmission and protection of confidential data. Measures taken in accordance with this Regulation should ensure that confidential data are provided and used exclusively for statistical purposes in accordance with Articles 21 and 22 of that Regulation.</w:t>
      </w:r>
    </w:p>
    <w:p w14:paraId="03602EA0" w14:textId="77777777" w:rsidR="00F81A5B" w:rsidRPr="000B46A1" w:rsidRDefault="00F81A5B" w:rsidP="00F81A5B">
      <w:pPr>
        <w:spacing w:before="120" w:after="120" w:line="360" w:lineRule="auto"/>
        <w:ind w:left="850" w:hanging="850"/>
        <w:rPr>
          <w:szCs w:val="24"/>
          <w:lang w:eastAsia="en-US"/>
        </w:rPr>
      </w:pPr>
      <w:r w:rsidRPr="000B46A1">
        <w:rPr>
          <w:szCs w:val="24"/>
          <w:lang w:eastAsia="en-US"/>
        </w:rPr>
        <w:t>(28)</w:t>
      </w:r>
      <w:r w:rsidRPr="000B46A1">
        <w:rPr>
          <w:szCs w:val="24"/>
          <w:lang w:eastAsia="en-US"/>
        </w:rPr>
        <w:tab/>
        <w:t xml:space="preserve">The Commission (Eurostat) is to respect the statistical confidentiality of the data provided by Member States pursuant to Regulation (EC) No 223/2009. With regard to the population statistics collected under this Regulation, a harmonised approach to ensuring the high quality of European aggregates and avoiding the disclosure of </w:t>
      </w:r>
      <w:r w:rsidRPr="000B46A1">
        <w:rPr>
          <w:szCs w:val="24"/>
          <w:lang w:eastAsia="en-US"/>
        </w:rPr>
        <w:lastRenderedPageBreak/>
        <w:t>confidential data in statistical outputs should be developed, avoiding as far as possible the suppression of data.</w:t>
      </w:r>
    </w:p>
    <w:p w14:paraId="1BE96F5E" w14:textId="77777777" w:rsidR="00F81A5B" w:rsidRPr="000B46A1" w:rsidRDefault="00F81A5B" w:rsidP="00F81A5B">
      <w:pPr>
        <w:spacing w:before="120" w:after="120" w:line="360" w:lineRule="auto"/>
        <w:ind w:left="850" w:hanging="850"/>
        <w:rPr>
          <w:szCs w:val="24"/>
          <w:lang w:eastAsia="en-US"/>
        </w:rPr>
      </w:pPr>
      <w:r w:rsidRPr="000B46A1">
        <w:rPr>
          <w:szCs w:val="24"/>
          <w:lang w:eastAsia="en-US"/>
        </w:rPr>
        <w:t>(29)</w:t>
      </w:r>
      <w:r w:rsidRPr="000B46A1">
        <w:rPr>
          <w:szCs w:val="24"/>
          <w:lang w:eastAsia="en-US"/>
        </w:rPr>
        <w:tab/>
        <w:t xml:space="preserve">Data sources available at national level are not always able to capture accurately phenomena related to the free movement of persons in the Union, the access of persons to cross-border services on demographic vital events and the exercise of persons rights to buy and own housing property used as primary, holiday and secondary accommodation across the Union. There are also </w:t>
      </w:r>
      <w:r w:rsidRPr="000B46A1">
        <w:rPr>
          <w:b/>
          <w:i/>
          <w:szCs w:val="24"/>
          <w:lang w:eastAsia="en-US"/>
        </w:rPr>
        <w:t>discrepancies</w:t>
      </w:r>
      <w:r w:rsidRPr="000B46A1">
        <w:rPr>
          <w:szCs w:val="24"/>
          <w:lang w:eastAsia="en-US"/>
        </w:rPr>
        <w:t xml:space="preserve"> in the bilateral migration flows and difficulties to measure population groups, for instance among the migrant, homeless or stateless population. Therefore, data sharing for the purposes of compiling statistics on population and migration and ensuring their quality should be reinforced and considered as yet another data source. Such reinforced data sharing may cover a wide range of relevant data, from data that clearly do not allow for the identification of statistical units, either directly or indirectly, to data potentially subject to statistical confidentiality requirements. Member States should, in their own interest and in the interest of the other Member States, participate in data sharing activities, including in pilot projects assessing innovative secure solutions. The Commission (Eurostat) should also establish a secure infrastructure to facilitate such data sharing while ensuring all necessary safeguards</w:t>
      </w:r>
      <w:r w:rsidRPr="000B46A1">
        <w:rPr>
          <w:b/>
          <w:i/>
          <w:szCs w:val="24"/>
          <w:lang w:eastAsia="en-US"/>
        </w:rPr>
        <w:t xml:space="preserve"> for data protection</w:t>
      </w:r>
      <w:r w:rsidRPr="000B46A1">
        <w:rPr>
          <w:szCs w:val="24"/>
          <w:lang w:eastAsia="en-US"/>
        </w:rPr>
        <w:t>.</w:t>
      </w:r>
    </w:p>
    <w:p w14:paraId="65622850" w14:textId="77777777" w:rsidR="00F81A5B" w:rsidRPr="000B46A1" w:rsidRDefault="00F81A5B" w:rsidP="00F81A5B">
      <w:pPr>
        <w:spacing w:before="120" w:after="120" w:line="360" w:lineRule="auto"/>
        <w:ind w:left="850" w:hanging="850"/>
        <w:rPr>
          <w:szCs w:val="24"/>
          <w:lang w:eastAsia="en-US"/>
        </w:rPr>
      </w:pPr>
      <w:r w:rsidRPr="000B46A1">
        <w:rPr>
          <w:szCs w:val="24"/>
          <w:lang w:eastAsia="en-US"/>
        </w:rPr>
        <w:t>▌</w:t>
      </w:r>
    </w:p>
    <w:p w14:paraId="01B163A0" w14:textId="77777777" w:rsidR="00F81A5B" w:rsidRPr="000B46A1" w:rsidRDefault="00F81A5B" w:rsidP="00F81A5B">
      <w:pPr>
        <w:spacing w:before="120" w:after="120" w:line="360" w:lineRule="auto"/>
        <w:ind w:left="850" w:hanging="850"/>
        <w:rPr>
          <w:szCs w:val="24"/>
          <w:lang w:eastAsia="en-US"/>
        </w:rPr>
      </w:pPr>
      <w:r w:rsidRPr="000B46A1">
        <w:rPr>
          <w:szCs w:val="24"/>
          <w:lang w:eastAsia="en-US"/>
        </w:rPr>
        <w:t>(31)</w:t>
      </w:r>
      <w:r w:rsidRPr="000B46A1">
        <w:rPr>
          <w:szCs w:val="24"/>
          <w:lang w:eastAsia="en-US"/>
        </w:rPr>
        <w:tab/>
        <w:t>The sharing of confidential data should take place only on the basis of a request justifying the necessity of sharing those data in accordance with Chapter V of Regulation (EC) No 223/2009.</w:t>
      </w:r>
    </w:p>
    <w:p w14:paraId="0D47AD72" w14:textId="77777777" w:rsidR="00F81A5B" w:rsidRPr="000B46A1" w:rsidRDefault="00F81A5B" w:rsidP="00F81A5B">
      <w:pPr>
        <w:spacing w:before="120" w:after="120" w:line="360" w:lineRule="auto"/>
        <w:ind w:left="850" w:hanging="850"/>
        <w:rPr>
          <w:szCs w:val="24"/>
          <w:lang w:eastAsia="en-US"/>
        </w:rPr>
      </w:pPr>
      <w:r w:rsidRPr="000B46A1">
        <w:rPr>
          <w:szCs w:val="24"/>
          <w:lang w:eastAsia="en-US"/>
        </w:rPr>
        <w:t>(32)</w:t>
      </w:r>
      <w:r w:rsidRPr="000B46A1">
        <w:rPr>
          <w:szCs w:val="24"/>
          <w:lang w:eastAsia="en-US"/>
        </w:rPr>
        <w:tab/>
        <w:t xml:space="preserve">In the longer term, the collaborative efforts in the ESS to mitigate cross-border statistical quality issues, such as double counting of Union residents enjoying freedom of movement, should </w:t>
      </w:r>
      <w:r w:rsidRPr="000B46A1">
        <w:rPr>
          <w:b/>
          <w:i/>
          <w:szCs w:val="24"/>
          <w:lang w:eastAsia="en-US"/>
        </w:rPr>
        <w:t>benefit from, for example,</w:t>
      </w:r>
      <w:r w:rsidRPr="000B46A1">
        <w:rPr>
          <w:szCs w:val="24"/>
          <w:lang w:eastAsia="en-US"/>
        </w:rPr>
        <w:t xml:space="preserve"> single digital identifiers established at Union level by Regulation (EU) No 910/2014</w:t>
      </w:r>
      <w:r w:rsidRPr="000B46A1">
        <w:rPr>
          <w:b/>
          <w:i/>
          <w:szCs w:val="24"/>
          <w:lang w:eastAsia="en-US"/>
        </w:rPr>
        <w:t>.</w:t>
      </w:r>
    </w:p>
    <w:p w14:paraId="11D5AA5D" w14:textId="77777777" w:rsidR="00F81A5B" w:rsidRPr="000B46A1" w:rsidRDefault="00F81A5B" w:rsidP="00F81A5B">
      <w:pPr>
        <w:spacing w:before="120" w:after="120" w:line="360" w:lineRule="auto"/>
        <w:ind w:left="850" w:hanging="850"/>
        <w:rPr>
          <w:szCs w:val="24"/>
          <w:lang w:eastAsia="en-US"/>
        </w:rPr>
      </w:pPr>
      <w:r w:rsidRPr="000B46A1">
        <w:rPr>
          <w:szCs w:val="24"/>
          <w:lang w:eastAsia="en-US"/>
        </w:rPr>
        <w:t>(33)</w:t>
      </w:r>
      <w:r w:rsidRPr="000B46A1">
        <w:rPr>
          <w:szCs w:val="24"/>
          <w:lang w:eastAsia="en-US"/>
        </w:rPr>
        <w:tab/>
        <w:t>This Regulation is without prejudice to Regulations (EU) 2016/679</w:t>
      </w:r>
      <w:r w:rsidRPr="000B46A1">
        <w:rPr>
          <w:szCs w:val="24"/>
          <w:vertAlign w:val="superscript"/>
          <w:lang w:eastAsia="en-US"/>
        </w:rPr>
        <w:footnoteReference w:id="21"/>
      </w:r>
      <w:r w:rsidRPr="000B46A1">
        <w:rPr>
          <w:szCs w:val="24"/>
          <w:lang w:eastAsia="en-US"/>
        </w:rPr>
        <w:t xml:space="preserve"> and (EU) </w:t>
      </w:r>
      <w:r w:rsidRPr="000B46A1">
        <w:rPr>
          <w:szCs w:val="24"/>
          <w:lang w:eastAsia="en-US"/>
        </w:rPr>
        <w:lastRenderedPageBreak/>
        <w:t>2018/1725 and Directive 2002/58/EC</w:t>
      </w:r>
      <w:r w:rsidRPr="000B46A1">
        <w:rPr>
          <w:szCs w:val="24"/>
          <w:vertAlign w:val="superscript"/>
          <w:lang w:eastAsia="en-US"/>
        </w:rPr>
        <w:footnoteReference w:id="22"/>
      </w:r>
      <w:r w:rsidRPr="000B46A1">
        <w:rPr>
          <w:szCs w:val="24"/>
          <w:lang w:eastAsia="en-US"/>
        </w:rPr>
        <w:t xml:space="preserve"> of the European Parliament and of the Council. Within their respective scope of application, the latter Regulations are to apply to the processing of personal data under this Regulation</w:t>
      </w:r>
      <w:r w:rsidRPr="000B46A1">
        <w:rPr>
          <w:b/>
          <w:i/>
          <w:szCs w:val="24"/>
          <w:lang w:eastAsia="en-US"/>
        </w:rPr>
        <w:t>, also considering that personal data processed for statistical purposes in the public interest are statistical confidential data, subject to the statistical confidentiality principle. Therefore, such data should only be used for statistical purposes and should never be used for measures or decisions regarding any particular natural person. Anonymised or pseudonymised data should be preferably used for processing, sharing and archiving of personal data for statistical purposes under this Regulation to guarantee the safeguards adopted pursuant to Article 89 of Regulation (EU) 2016/679 and Article 13 of Regulation (EU) 2018/1725. Where personal data are processed according to Regulation (EU) 2016/679 or Regulation (EU) 2018/1725, the principles of lawfulness, fairness, transparency and accuracy, purpose limitation, data minimisation, storage limitation and integrity and confidentiality should be fully applied. Similarly, the statistical principles set out in Article 2 of Regulation (EC) No 223/2009 and further elaborated in the European Statistics Code of Practice should also apply</w:t>
      </w:r>
      <w:r w:rsidRPr="000B46A1">
        <w:rPr>
          <w:szCs w:val="24"/>
          <w:lang w:eastAsia="en-US"/>
        </w:rPr>
        <w:t>.</w:t>
      </w:r>
    </w:p>
    <w:p w14:paraId="4CF561E1" w14:textId="77777777" w:rsidR="00F81A5B" w:rsidRPr="000B46A1" w:rsidRDefault="00F81A5B" w:rsidP="00F81A5B">
      <w:pPr>
        <w:spacing w:before="120" w:after="120" w:line="360" w:lineRule="auto"/>
        <w:ind w:left="850" w:hanging="850"/>
        <w:rPr>
          <w:szCs w:val="24"/>
          <w:lang w:eastAsia="en-US"/>
        </w:rPr>
      </w:pPr>
      <w:r w:rsidRPr="000B46A1">
        <w:rPr>
          <w:szCs w:val="24"/>
          <w:lang w:eastAsia="en-US"/>
        </w:rPr>
        <w:t>(34)</w:t>
      </w:r>
      <w:r w:rsidRPr="000B46A1">
        <w:rPr>
          <w:szCs w:val="24"/>
          <w:lang w:eastAsia="en-US"/>
        </w:rPr>
        <w:tab/>
        <w:t>European statistics on population and housing should evolve to take into account emerging data needs stemming from changing policy priorities, as well as changes in the demographic, migratory, social or economic situation in the Union. The Commission (Eurostat) should undertake pilot and feasibility studies assessing the feasibility of the adaptations concerned as appropriate and should take into account aspects such as costs and administrative burdens on Member States and the availability of appropriate data sources.</w:t>
      </w:r>
      <w:r w:rsidRPr="000B46A1">
        <w:rPr>
          <w:b/>
          <w:i/>
          <w:szCs w:val="24"/>
          <w:lang w:eastAsia="en-US"/>
        </w:rPr>
        <w:t xml:space="preserve"> When preparing those studies, the Commission should ensure the representativeness of the studies at Union level, reflecting national diversities. The Commission should evaluate the results of the studies in cooperation with Member States.</w:t>
      </w:r>
    </w:p>
    <w:p w14:paraId="7CB8D6DA" w14:textId="77777777" w:rsidR="00F81A5B" w:rsidRPr="000B46A1" w:rsidRDefault="00F81A5B" w:rsidP="00F81A5B">
      <w:pPr>
        <w:spacing w:before="120" w:after="120" w:line="360" w:lineRule="auto"/>
        <w:ind w:left="850" w:hanging="850"/>
        <w:rPr>
          <w:szCs w:val="24"/>
          <w:lang w:eastAsia="en-US"/>
        </w:rPr>
      </w:pPr>
      <w:r w:rsidRPr="000B46A1">
        <w:rPr>
          <w:szCs w:val="24"/>
          <w:lang w:eastAsia="en-US"/>
        </w:rPr>
        <w:t>(35)</w:t>
      </w:r>
      <w:r w:rsidRPr="000B46A1">
        <w:rPr>
          <w:szCs w:val="24"/>
          <w:lang w:eastAsia="en-US"/>
        </w:rPr>
        <w:tab/>
        <w:t>In order to take account of demographic, economic and social trends</w:t>
      </w:r>
      <w:r w:rsidRPr="000B46A1">
        <w:rPr>
          <w:b/>
          <w:i/>
          <w:szCs w:val="24"/>
          <w:lang w:eastAsia="en-US"/>
        </w:rPr>
        <w:t>, technological developments and the need to design well-targeted policies in a timely manner</w:t>
      </w:r>
      <w:r w:rsidRPr="000B46A1">
        <w:rPr>
          <w:szCs w:val="24"/>
          <w:lang w:eastAsia="en-US"/>
        </w:rPr>
        <w:t xml:space="preserve">, the </w:t>
      </w:r>
      <w:r w:rsidRPr="000B46A1">
        <w:rPr>
          <w:szCs w:val="24"/>
          <w:lang w:eastAsia="en-US"/>
        </w:rPr>
        <w:lastRenderedPageBreak/>
        <w:t xml:space="preserve">power to adopt acts in accordance with Article 290 TFEU should be delegated to the Commission in order to amend the list, description , periodicities and reference times of detailed topics covered by European statistics on population and housing; to update the periodicities and reference times in the Annex to this Regulation and to specify the information to be provided by Member States on an ad hoc basis. It is of particular importance that the Commission carry out appropriate consultations during its preparatory work, including at expert level, and that those consultations be conducted in accordance with the principles laid down in the </w:t>
      </w:r>
      <w:proofErr w:type="spellStart"/>
      <w:r w:rsidRPr="000B46A1">
        <w:rPr>
          <w:szCs w:val="24"/>
          <w:lang w:eastAsia="en-US"/>
        </w:rPr>
        <w:t>Interinstitutional</w:t>
      </w:r>
      <w:proofErr w:type="spellEnd"/>
      <w:r w:rsidRPr="000B46A1">
        <w:rPr>
          <w:szCs w:val="24"/>
          <w:lang w:eastAsia="en-US"/>
        </w:rPr>
        <w:t xml:space="preserve"> Agreement of 13 April 2016 on Better Law-Making</w:t>
      </w:r>
      <w:r w:rsidRPr="000B46A1">
        <w:rPr>
          <w:szCs w:val="24"/>
          <w:vertAlign w:val="superscript"/>
          <w:lang w:eastAsia="en-US"/>
        </w:rPr>
        <w:footnoteReference w:id="23"/>
      </w:r>
      <w:r w:rsidRPr="000B46A1">
        <w:rPr>
          <w:szCs w:val="24"/>
          <w:lang w:eastAsia="en-US"/>
        </w:rPr>
        <w:t>. In particular, to ensure equal participation in the preparation of delegated acts, the European Parliament and the Council receive all documents at the same time as Member States' experts, and their experts systematically have access to meetings of Commission expert groups dealing with the preparation of delegated acts.</w:t>
      </w:r>
    </w:p>
    <w:p w14:paraId="5A17771C" w14:textId="5104AD14" w:rsidR="00F81A5B" w:rsidRPr="000B46A1" w:rsidRDefault="00F81A5B" w:rsidP="00F81A5B">
      <w:pPr>
        <w:spacing w:before="120" w:after="120" w:line="360" w:lineRule="auto"/>
        <w:ind w:left="850" w:hanging="850"/>
        <w:rPr>
          <w:szCs w:val="24"/>
          <w:lang w:eastAsia="en-US"/>
        </w:rPr>
      </w:pPr>
      <w:r w:rsidRPr="000B46A1">
        <w:rPr>
          <w:b/>
          <w:i/>
          <w:szCs w:val="24"/>
          <w:lang w:eastAsia="en-US"/>
        </w:rPr>
        <w:t>(35a)</w:t>
      </w:r>
      <w:r w:rsidRPr="000B46A1">
        <w:rPr>
          <w:szCs w:val="24"/>
          <w:lang w:eastAsia="en-US"/>
        </w:rPr>
        <w:tab/>
      </w:r>
      <w:r w:rsidRPr="000B46A1">
        <w:rPr>
          <w:b/>
          <w:i/>
          <w:szCs w:val="24"/>
          <w:lang w:eastAsia="en-US"/>
        </w:rPr>
        <w:t>The importance of European statistics as vital part of evidence-based decision-making is reflected in the programming and financing framework established by Regulation (EU) 2021/690 of the European Parliament and the Council</w:t>
      </w:r>
      <w:r w:rsidRPr="000B46A1">
        <w:rPr>
          <w:b/>
          <w:i/>
          <w:szCs w:val="24"/>
          <w:vertAlign w:val="superscript"/>
          <w:lang w:eastAsia="en-US"/>
        </w:rPr>
        <w:footnoteReference w:id="24"/>
      </w:r>
      <w:r w:rsidRPr="000B46A1">
        <w:rPr>
          <w:b/>
          <w:i/>
          <w:szCs w:val="24"/>
          <w:lang w:eastAsia="en-US"/>
        </w:rPr>
        <w:t xml:space="preserve"> for the development, production and dissemination of European statistics (Single Market Programme). Member States should be able to apply for financial support from the Single Market Programme as well as from the Technical Support Instrument established by Regulation (EU) 2021/240 of the European Parliament and of the Council</w:t>
      </w:r>
      <w:r w:rsidRPr="000B46A1">
        <w:rPr>
          <w:b/>
          <w:i/>
          <w:szCs w:val="24"/>
          <w:vertAlign w:val="superscript"/>
          <w:lang w:eastAsia="en-US"/>
        </w:rPr>
        <w:footnoteReference w:id="25"/>
      </w:r>
      <w:r w:rsidRPr="000B46A1">
        <w:rPr>
          <w:b/>
          <w:i/>
          <w:szCs w:val="24"/>
          <w:lang w:eastAsia="en-US"/>
        </w:rPr>
        <w:t xml:space="preserve"> in accordance with the objectives and rules of those instruments, for adapting their national statistical systems, improving methodology and data quality of statistics and planning and implementing ad-hoc data collections under this Regulation.</w:t>
      </w:r>
    </w:p>
    <w:p w14:paraId="51414836" w14:textId="6F359BA8" w:rsidR="00F81A5B" w:rsidRPr="000B46A1" w:rsidRDefault="00F81A5B" w:rsidP="00F81A5B">
      <w:pPr>
        <w:spacing w:before="120" w:after="120" w:line="360" w:lineRule="auto"/>
        <w:ind w:left="850" w:hanging="850"/>
        <w:rPr>
          <w:szCs w:val="24"/>
          <w:lang w:eastAsia="en-US"/>
        </w:rPr>
      </w:pPr>
      <w:r w:rsidRPr="000B46A1">
        <w:rPr>
          <w:szCs w:val="24"/>
          <w:lang w:eastAsia="en-US"/>
        </w:rPr>
        <w:lastRenderedPageBreak/>
        <w:t>(36)</w:t>
      </w:r>
      <w:r w:rsidRPr="000B46A1">
        <w:rPr>
          <w:szCs w:val="24"/>
          <w:lang w:eastAsia="en-US"/>
        </w:rPr>
        <w:tab/>
        <w:t xml:space="preserve">In accordance with Regulations (EU, </w:t>
      </w:r>
      <w:proofErr w:type="spellStart"/>
      <w:r w:rsidRPr="000B46A1">
        <w:rPr>
          <w:szCs w:val="24"/>
          <w:lang w:eastAsia="en-US"/>
        </w:rPr>
        <w:t>Euratom</w:t>
      </w:r>
      <w:proofErr w:type="spellEnd"/>
      <w:r w:rsidRPr="000B46A1">
        <w:rPr>
          <w:szCs w:val="24"/>
          <w:lang w:eastAsia="en-US"/>
        </w:rPr>
        <w:t>) 2018/1046</w:t>
      </w:r>
      <w:r w:rsidRPr="000B46A1">
        <w:rPr>
          <w:szCs w:val="24"/>
          <w:vertAlign w:val="superscript"/>
          <w:lang w:eastAsia="en-US"/>
        </w:rPr>
        <w:footnoteReference w:id="26"/>
      </w:r>
      <w:r w:rsidRPr="000B46A1">
        <w:rPr>
          <w:szCs w:val="24"/>
          <w:lang w:eastAsia="en-US"/>
        </w:rPr>
        <w:t xml:space="preserve"> and (EU, </w:t>
      </w:r>
      <w:proofErr w:type="spellStart"/>
      <w:r w:rsidRPr="000B46A1">
        <w:rPr>
          <w:szCs w:val="24"/>
          <w:lang w:eastAsia="en-US"/>
        </w:rPr>
        <w:t>Euratom</w:t>
      </w:r>
      <w:proofErr w:type="spellEnd"/>
      <w:r w:rsidRPr="000B46A1">
        <w:rPr>
          <w:szCs w:val="24"/>
          <w:lang w:eastAsia="en-US"/>
        </w:rPr>
        <w:t>) No 883/2013 of the European Parliament and of the Council</w:t>
      </w:r>
      <w:r w:rsidRPr="000B46A1">
        <w:rPr>
          <w:szCs w:val="24"/>
          <w:vertAlign w:val="superscript"/>
          <w:lang w:eastAsia="en-US"/>
        </w:rPr>
        <w:footnoteReference w:id="27"/>
      </w:r>
      <w:r w:rsidRPr="000B46A1">
        <w:rPr>
          <w:szCs w:val="24"/>
          <w:lang w:eastAsia="en-US"/>
        </w:rPr>
        <w:t xml:space="preserve"> and with Council Regulations (EC, </w:t>
      </w:r>
      <w:proofErr w:type="spellStart"/>
      <w:r w:rsidRPr="000B46A1">
        <w:rPr>
          <w:szCs w:val="24"/>
          <w:lang w:eastAsia="en-US"/>
        </w:rPr>
        <w:t>Euratom</w:t>
      </w:r>
      <w:proofErr w:type="spellEnd"/>
      <w:r w:rsidRPr="000B46A1">
        <w:rPr>
          <w:szCs w:val="24"/>
          <w:lang w:eastAsia="en-US"/>
        </w:rPr>
        <w:t>) No 2988/95</w:t>
      </w:r>
      <w:r w:rsidRPr="000B46A1">
        <w:rPr>
          <w:szCs w:val="24"/>
          <w:vertAlign w:val="superscript"/>
          <w:lang w:eastAsia="en-US"/>
        </w:rPr>
        <w:footnoteReference w:id="28"/>
      </w:r>
      <w:r w:rsidRPr="000B46A1">
        <w:rPr>
          <w:szCs w:val="24"/>
          <w:lang w:eastAsia="en-US"/>
        </w:rPr>
        <w:t>, (</w:t>
      </w:r>
      <w:proofErr w:type="spellStart"/>
      <w:r w:rsidRPr="000B46A1">
        <w:rPr>
          <w:szCs w:val="24"/>
          <w:lang w:eastAsia="en-US"/>
        </w:rPr>
        <w:t>Euratom</w:t>
      </w:r>
      <w:proofErr w:type="spellEnd"/>
      <w:r w:rsidRPr="000B46A1">
        <w:rPr>
          <w:szCs w:val="24"/>
          <w:lang w:eastAsia="en-US"/>
        </w:rPr>
        <w:t>, EC) No 2185/96</w:t>
      </w:r>
      <w:r w:rsidRPr="000B46A1">
        <w:rPr>
          <w:szCs w:val="24"/>
          <w:vertAlign w:val="superscript"/>
          <w:lang w:eastAsia="en-US"/>
        </w:rPr>
        <w:footnoteReference w:id="29"/>
      </w:r>
      <w:r w:rsidRPr="000B46A1">
        <w:rPr>
          <w:szCs w:val="24"/>
          <w:lang w:eastAsia="en-US"/>
        </w:rPr>
        <w:t xml:space="preserve"> and (EU) 2017/1939</w:t>
      </w:r>
      <w:r w:rsidRPr="000B46A1">
        <w:rPr>
          <w:szCs w:val="24"/>
          <w:vertAlign w:val="superscript"/>
          <w:lang w:eastAsia="en-US"/>
        </w:rPr>
        <w:footnoteReference w:id="30"/>
      </w:r>
      <w:r w:rsidRPr="000B46A1">
        <w:rPr>
          <w:szCs w:val="24"/>
          <w:lang w:eastAsia="en-US"/>
        </w:rPr>
        <w:t>, the financial interests of the Union are to be protected by means of proportionate measures, including measures relating to the prevention, detection, correction and investigation of irregularities, including fraud, to the recovery of funds lost, wrongly paid or incorrectly used, and, where appropriate, to the imposition of administrative penalties. In particular, in accordance with Regulations (</w:t>
      </w:r>
      <w:proofErr w:type="spellStart"/>
      <w:r w:rsidRPr="000B46A1">
        <w:rPr>
          <w:szCs w:val="24"/>
          <w:lang w:eastAsia="en-US"/>
        </w:rPr>
        <w:t>Euratom</w:t>
      </w:r>
      <w:proofErr w:type="spellEnd"/>
      <w:r w:rsidRPr="000B46A1">
        <w:rPr>
          <w:szCs w:val="24"/>
          <w:lang w:eastAsia="en-US"/>
        </w:rPr>
        <w:t xml:space="preserve">, EC) No 2185/96 and (EU, </w:t>
      </w:r>
      <w:proofErr w:type="spellStart"/>
      <w:r w:rsidRPr="000B46A1">
        <w:rPr>
          <w:szCs w:val="24"/>
          <w:lang w:eastAsia="en-US"/>
        </w:rPr>
        <w:t>Euratom</w:t>
      </w:r>
      <w:proofErr w:type="spellEnd"/>
      <w:r w:rsidRPr="000B46A1">
        <w:rPr>
          <w:szCs w:val="24"/>
          <w:lang w:eastAsia="en-US"/>
        </w:rPr>
        <w:t>) No 883/2013, the European Anti-Fraud Office (OLAF) has the power to carry out administrative investigations, including on-the-spot checks and inspections, with a view to establishing whether there has been fraud, corruption or any other illegal activity affecting the financial interests of the Union. The European Public Prosecutor’s Office (EPPO) is empowered, in accordance with Regulation (EU) 2017/1939, to investigate and prosecute criminal offences affecting the financial interests of the Union as provided for in Directive (EU) 2017/1371 of the European Parliament and of the Council</w:t>
      </w:r>
      <w:r w:rsidRPr="000B46A1">
        <w:rPr>
          <w:szCs w:val="24"/>
          <w:vertAlign w:val="superscript"/>
          <w:lang w:eastAsia="en-US"/>
        </w:rPr>
        <w:footnoteReference w:id="31"/>
      </w:r>
      <w:r w:rsidRPr="000B46A1">
        <w:rPr>
          <w:szCs w:val="24"/>
          <w:lang w:eastAsia="en-US"/>
        </w:rPr>
        <w:t xml:space="preserve">. In accordance with Regulation (EU, </w:t>
      </w:r>
      <w:proofErr w:type="spellStart"/>
      <w:r w:rsidRPr="000B46A1">
        <w:rPr>
          <w:szCs w:val="24"/>
          <w:lang w:eastAsia="en-US"/>
        </w:rPr>
        <w:t>Euratom</w:t>
      </w:r>
      <w:proofErr w:type="spellEnd"/>
      <w:r w:rsidRPr="000B46A1">
        <w:rPr>
          <w:szCs w:val="24"/>
          <w:lang w:eastAsia="en-US"/>
        </w:rPr>
        <w:t xml:space="preserve">) 2018/1046, any person or entity </w:t>
      </w:r>
      <w:r w:rsidRPr="000B46A1">
        <w:rPr>
          <w:szCs w:val="24"/>
          <w:lang w:eastAsia="en-US"/>
        </w:rPr>
        <w:lastRenderedPageBreak/>
        <w:t>receiving Union funds is to fully cooperate in the protection of the financial interests of the Union, grant the necessary rights and access to the Commission, OLAF, the Court of Auditors and, in respect of those Member States participating in enhanced cooperation pursuant to Regulation (EU) 2017/1939, the EPPO, and ensure that any third parties involved in the implementation of Union funds grant equivalent rights.</w:t>
      </w:r>
    </w:p>
    <w:p w14:paraId="507C0DB1" w14:textId="77777777" w:rsidR="00F81A5B" w:rsidRPr="000B46A1" w:rsidRDefault="00F81A5B" w:rsidP="00F81A5B">
      <w:pPr>
        <w:spacing w:before="120" w:after="120" w:line="360" w:lineRule="auto"/>
        <w:ind w:left="850" w:hanging="850"/>
        <w:rPr>
          <w:szCs w:val="24"/>
          <w:lang w:eastAsia="en-US"/>
        </w:rPr>
      </w:pPr>
      <w:r w:rsidRPr="000B46A1">
        <w:rPr>
          <w:szCs w:val="24"/>
          <w:lang w:eastAsia="en-US"/>
        </w:rPr>
        <w:t>(37)</w:t>
      </w:r>
      <w:r w:rsidRPr="000B46A1">
        <w:rPr>
          <w:szCs w:val="24"/>
          <w:lang w:eastAsia="en-US"/>
        </w:rPr>
        <w:tab/>
        <w:t>In order to ensure uniform conditions for the implementation of this Regulation with regard to the specification of data and metadata requirements, technical formats and procedures for data and metadata provision, content and structure of quality reports, implementing powers should be conferred on the Commission. Those powers should be exercised in accordance with Regulation (EU) No 182/2011 of the European Parliament and the Council</w:t>
      </w:r>
      <w:r w:rsidRPr="000B46A1">
        <w:rPr>
          <w:szCs w:val="24"/>
          <w:vertAlign w:val="superscript"/>
          <w:lang w:eastAsia="en-US"/>
        </w:rPr>
        <w:footnoteReference w:id="32"/>
      </w:r>
      <w:r w:rsidRPr="000B46A1">
        <w:rPr>
          <w:szCs w:val="24"/>
          <w:lang w:eastAsia="en-US"/>
        </w:rPr>
        <w:t>.</w:t>
      </w:r>
    </w:p>
    <w:p w14:paraId="4226237B" w14:textId="77777777" w:rsidR="00F81A5B" w:rsidRPr="000B46A1" w:rsidRDefault="00F81A5B" w:rsidP="00F81A5B">
      <w:pPr>
        <w:spacing w:before="120" w:after="120" w:line="360" w:lineRule="auto"/>
        <w:ind w:left="850" w:hanging="850"/>
        <w:rPr>
          <w:szCs w:val="24"/>
          <w:lang w:eastAsia="en-US"/>
        </w:rPr>
      </w:pPr>
      <w:r w:rsidRPr="000B46A1">
        <w:rPr>
          <w:szCs w:val="24"/>
          <w:lang w:eastAsia="en-US"/>
        </w:rPr>
        <w:t>(38)</w:t>
      </w:r>
      <w:r w:rsidRPr="000B46A1">
        <w:rPr>
          <w:szCs w:val="24"/>
          <w:lang w:eastAsia="en-US"/>
        </w:rPr>
        <w:tab/>
        <w:t>Where the implementation of this Regulation, or of the delegated and implementing acts adopted pursuant thereto, would require major adaptations to the national statistical system of a Member State for data provision with periodicity of less than 10 years, the Commission should be able, in duly justified cases and for a limited period of time, to grant derogations to the Member States concerned.</w:t>
      </w:r>
    </w:p>
    <w:p w14:paraId="4C2BF9E7" w14:textId="77777777" w:rsidR="00F81A5B" w:rsidRPr="000B46A1" w:rsidRDefault="00F81A5B" w:rsidP="00F81A5B">
      <w:pPr>
        <w:spacing w:before="120" w:after="120" w:line="360" w:lineRule="auto"/>
        <w:ind w:left="850" w:hanging="850"/>
        <w:rPr>
          <w:szCs w:val="24"/>
          <w:lang w:eastAsia="en-US"/>
        </w:rPr>
      </w:pPr>
      <w:r w:rsidRPr="000B46A1">
        <w:rPr>
          <w:szCs w:val="24"/>
          <w:lang w:eastAsia="en-US"/>
        </w:rPr>
        <w:t>(39)</w:t>
      </w:r>
      <w:r w:rsidRPr="000B46A1">
        <w:rPr>
          <w:szCs w:val="24"/>
          <w:lang w:eastAsia="en-US"/>
        </w:rPr>
        <w:tab/>
        <w:t>Since the objective of this Regulation, namely the systematic production of European statistics on population and housing, cannot be sufficiently achieved by the Member States but can rather, by reason of consistency and comparability, be better achieved at Union level, the Union may adopt measures, in accordance with the principle of subsidiarity as set out in Article 5 TEU. In accordance with the principle of proportionality as set out in that Article, this Regulation does not go beyond what is necessary in order to achieve that objective.</w:t>
      </w:r>
    </w:p>
    <w:p w14:paraId="4E1EF30D" w14:textId="77777777" w:rsidR="00F81A5B" w:rsidRPr="000B46A1" w:rsidRDefault="00F81A5B" w:rsidP="00F81A5B">
      <w:pPr>
        <w:spacing w:before="120" w:after="120" w:line="360" w:lineRule="auto"/>
        <w:ind w:left="850" w:hanging="850"/>
        <w:rPr>
          <w:szCs w:val="24"/>
          <w:lang w:eastAsia="en-US"/>
        </w:rPr>
      </w:pPr>
      <w:r w:rsidRPr="000B46A1">
        <w:rPr>
          <w:szCs w:val="24"/>
          <w:lang w:eastAsia="en-US"/>
        </w:rPr>
        <w:t>(40)</w:t>
      </w:r>
      <w:r w:rsidRPr="000B46A1">
        <w:rPr>
          <w:szCs w:val="24"/>
          <w:lang w:eastAsia="en-US"/>
        </w:rPr>
        <w:tab/>
        <w:t xml:space="preserve">The European Data Protection Supervisor was consulted in accordance with Article 42(1) of Regulation (EU) 2018/1725 and delivered an opinion on </w:t>
      </w:r>
      <w:r w:rsidRPr="000B46A1">
        <w:rPr>
          <w:b/>
          <w:i/>
          <w:szCs w:val="24"/>
          <w:lang w:eastAsia="en-US"/>
        </w:rPr>
        <w:t>16 March 2023</w:t>
      </w:r>
      <w:r w:rsidRPr="000B46A1">
        <w:rPr>
          <w:szCs w:val="24"/>
          <w:lang w:eastAsia="en-US"/>
        </w:rPr>
        <w:t>.</w:t>
      </w:r>
    </w:p>
    <w:p w14:paraId="145F154A" w14:textId="77777777" w:rsidR="00F81A5B" w:rsidRPr="000B46A1" w:rsidRDefault="00F81A5B" w:rsidP="00F81A5B">
      <w:pPr>
        <w:spacing w:before="120" w:after="120" w:line="360" w:lineRule="auto"/>
        <w:ind w:left="850" w:hanging="850"/>
        <w:rPr>
          <w:szCs w:val="24"/>
          <w:lang w:eastAsia="en-US"/>
        </w:rPr>
      </w:pPr>
      <w:r w:rsidRPr="000B46A1">
        <w:rPr>
          <w:szCs w:val="24"/>
          <w:lang w:eastAsia="en-US"/>
        </w:rPr>
        <w:t>(41)</w:t>
      </w:r>
      <w:r w:rsidRPr="000B46A1">
        <w:rPr>
          <w:szCs w:val="24"/>
          <w:lang w:eastAsia="en-US"/>
        </w:rPr>
        <w:tab/>
        <w:t>The ESSC has been consulted,</w:t>
      </w:r>
    </w:p>
    <w:p w14:paraId="1EC06A03" w14:textId="77777777" w:rsidR="00F81A5B" w:rsidRPr="000B46A1" w:rsidRDefault="00F81A5B" w:rsidP="00F81A5B">
      <w:pPr>
        <w:keepNext/>
        <w:widowControl/>
        <w:spacing w:before="120" w:after="120" w:line="360" w:lineRule="auto"/>
        <w:rPr>
          <w:szCs w:val="24"/>
          <w:lang w:eastAsia="en-US"/>
        </w:rPr>
      </w:pPr>
      <w:r w:rsidRPr="000B46A1">
        <w:rPr>
          <w:szCs w:val="24"/>
          <w:lang w:eastAsia="en-US"/>
        </w:rPr>
        <w:t>HAVE ADOPTED THIS REGULATION:</w:t>
      </w:r>
    </w:p>
    <w:p w14:paraId="56AFBC6C" w14:textId="77777777" w:rsidR="00F81A5B" w:rsidRPr="000B46A1" w:rsidRDefault="00F81A5B" w:rsidP="00F81A5B">
      <w:pPr>
        <w:spacing w:before="120" w:after="120" w:line="360" w:lineRule="auto"/>
        <w:jc w:val="center"/>
        <w:rPr>
          <w:szCs w:val="24"/>
          <w:lang w:eastAsia="en-US"/>
        </w:rPr>
      </w:pPr>
      <w:r w:rsidRPr="000B46A1">
        <w:rPr>
          <w:szCs w:val="24"/>
          <w:lang w:eastAsia="en-US"/>
        </w:rPr>
        <w:br w:type="page"/>
      </w:r>
      <w:r w:rsidRPr="000B46A1">
        <w:rPr>
          <w:szCs w:val="24"/>
          <w:lang w:eastAsia="en-US"/>
        </w:rPr>
        <w:lastRenderedPageBreak/>
        <w:t>Article 1</w:t>
      </w:r>
      <w:r w:rsidRPr="000B46A1">
        <w:rPr>
          <w:szCs w:val="24"/>
          <w:lang w:eastAsia="en-US"/>
        </w:rPr>
        <w:br/>
        <w:t>Subject matter</w:t>
      </w:r>
    </w:p>
    <w:p w14:paraId="2EDC5214" w14:textId="77777777" w:rsidR="00F81A5B" w:rsidRPr="000B46A1" w:rsidRDefault="00F81A5B" w:rsidP="00F81A5B">
      <w:pPr>
        <w:spacing w:before="120" w:after="120" w:line="360" w:lineRule="auto"/>
        <w:rPr>
          <w:szCs w:val="24"/>
          <w:lang w:eastAsia="en-US"/>
        </w:rPr>
      </w:pPr>
      <w:r w:rsidRPr="000B46A1">
        <w:rPr>
          <w:szCs w:val="24"/>
          <w:lang w:eastAsia="en-US"/>
        </w:rPr>
        <w:t>This Regulation establishes a common legal framework for the development, production and dissemination of European statistics on population and housing.</w:t>
      </w:r>
    </w:p>
    <w:p w14:paraId="554590BF" w14:textId="77777777" w:rsidR="00F81A5B" w:rsidRPr="000B46A1" w:rsidRDefault="00F81A5B" w:rsidP="00F81A5B">
      <w:pPr>
        <w:spacing w:before="120" w:after="120" w:line="360" w:lineRule="auto"/>
        <w:jc w:val="center"/>
        <w:rPr>
          <w:szCs w:val="24"/>
          <w:lang w:eastAsia="en-US"/>
        </w:rPr>
      </w:pPr>
      <w:r w:rsidRPr="000B46A1">
        <w:rPr>
          <w:szCs w:val="24"/>
          <w:lang w:eastAsia="en-US"/>
        </w:rPr>
        <w:t>Article 2</w:t>
      </w:r>
      <w:r w:rsidRPr="000B46A1">
        <w:rPr>
          <w:szCs w:val="24"/>
          <w:lang w:eastAsia="en-US"/>
        </w:rPr>
        <w:br/>
        <w:t>Definitions</w:t>
      </w:r>
    </w:p>
    <w:p w14:paraId="68CED42A" w14:textId="77777777" w:rsidR="00F81A5B" w:rsidRPr="000B46A1" w:rsidRDefault="00F81A5B" w:rsidP="00F81A5B">
      <w:pPr>
        <w:spacing w:before="120" w:after="120" w:line="360" w:lineRule="auto"/>
        <w:rPr>
          <w:szCs w:val="24"/>
          <w:lang w:eastAsia="en-US"/>
        </w:rPr>
      </w:pPr>
      <w:r w:rsidRPr="000B46A1">
        <w:rPr>
          <w:szCs w:val="24"/>
          <w:lang w:eastAsia="en-US"/>
        </w:rPr>
        <w:t>For the purpose of this Regulation, the following definitions shall apply:</w:t>
      </w:r>
    </w:p>
    <w:p w14:paraId="61AE34DC" w14:textId="77777777" w:rsidR="00F81A5B" w:rsidRPr="000B46A1" w:rsidRDefault="00F81A5B" w:rsidP="00F81A5B">
      <w:pPr>
        <w:spacing w:before="120" w:after="120" w:line="360" w:lineRule="auto"/>
        <w:ind w:left="850" w:hanging="850"/>
        <w:rPr>
          <w:szCs w:val="24"/>
          <w:lang w:eastAsia="en-US"/>
        </w:rPr>
      </w:pPr>
      <w:r w:rsidRPr="000B46A1">
        <w:rPr>
          <w:szCs w:val="24"/>
          <w:lang w:eastAsia="en-US"/>
        </w:rPr>
        <w:t>(1)</w:t>
      </w:r>
      <w:r w:rsidRPr="000B46A1">
        <w:rPr>
          <w:szCs w:val="24"/>
          <w:lang w:eastAsia="en-US"/>
        </w:rPr>
        <w:tab/>
        <w:t>‘citizenship’ means the particular legal bond between a natural person and his or her State, acquired by birth or naturalisation, whether by declaration, choice, marriage, adoption or other means in accordance with national law;</w:t>
      </w:r>
    </w:p>
    <w:p w14:paraId="732EC172" w14:textId="77777777" w:rsidR="00F81A5B" w:rsidRPr="000B46A1" w:rsidRDefault="00F81A5B" w:rsidP="00F81A5B">
      <w:pPr>
        <w:spacing w:before="120" w:after="120" w:line="360" w:lineRule="auto"/>
        <w:ind w:left="850" w:hanging="850"/>
        <w:rPr>
          <w:szCs w:val="24"/>
          <w:lang w:eastAsia="en-US"/>
        </w:rPr>
      </w:pPr>
      <w:r w:rsidRPr="000B46A1">
        <w:rPr>
          <w:szCs w:val="24"/>
          <w:lang w:eastAsia="en-US"/>
        </w:rPr>
        <w:t>(2)</w:t>
      </w:r>
      <w:r w:rsidRPr="000B46A1">
        <w:rPr>
          <w:szCs w:val="24"/>
          <w:lang w:eastAsia="en-US"/>
        </w:rPr>
        <w:tab/>
        <w:t>‘usual residence’ means the place where a person normally spends the daily period of rest, regardless of temporary absences for purposes of recreation, holidays, visits to friends and relatives, business, medical treatment or religious pilgrimage. Only the following persons shall be considered to be usual residents of a specific geographical area:</w:t>
      </w:r>
    </w:p>
    <w:p w14:paraId="63C03756" w14:textId="77777777" w:rsidR="00F81A5B" w:rsidRPr="000B46A1" w:rsidRDefault="00F81A5B" w:rsidP="00F81A5B">
      <w:pPr>
        <w:spacing w:before="120" w:after="120" w:line="360" w:lineRule="auto"/>
        <w:ind w:left="1416" w:hanging="566"/>
        <w:rPr>
          <w:szCs w:val="24"/>
          <w:lang w:eastAsia="en-US"/>
        </w:rPr>
      </w:pPr>
      <w:r w:rsidRPr="000B46A1">
        <w:rPr>
          <w:szCs w:val="24"/>
          <w:lang w:eastAsia="en-US"/>
        </w:rPr>
        <w:t>(a)</w:t>
      </w:r>
      <w:r w:rsidRPr="000B46A1">
        <w:rPr>
          <w:szCs w:val="24"/>
          <w:lang w:eastAsia="en-US"/>
        </w:rPr>
        <w:tab/>
      </w:r>
      <w:proofErr w:type="gramStart"/>
      <w:r w:rsidRPr="000B46A1">
        <w:rPr>
          <w:szCs w:val="24"/>
          <w:lang w:eastAsia="en-US"/>
        </w:rPr>
        <w:t>those</w:t>
      </w:r>
      <w:proofErr w:type="gramEnd"/>
      <w:r w:rsidRPr="000B46A1">
        <w:rPr>
          <w:szCs w:val="24"/>
          <w:lang w:eastAsia="en-US"/>
        </w:rPr>
        <w:t xml:space="preserve"> who have lived in their place of usual residence most of the time in the 12 months prior to and including the reference date; or</w:t>
      </w:r>
    </w:p>
    <w:p w14:paraId="6017C112" w14:textId="77777777" w:rsidR="00F81A5B" w:rsidRPr="000B46A1" w:rsidRDefault="00F81A5B" w:rsidP="00F81A5B">
      <w:pPr>
        <w:spacing w:before="120" w:after="120" w:line="360" w:lineRule="auto"/>
        <w:ind w:left="1416" w:hanging="566"/>
        <w:rPr>
          <w:szCs w:val="24"/>
          <w:lang w:eastAsia="en-US"/>
        </w:rPr>
      </w:pPr>
      <w:r w:rsidRPr="000B46A1">
        <w:rPr>
          <w:szCs w:val="24"/>
          <w:lang w:eastAsia="en-US"/>
        </w:rPr>
        <w:t>(b)</w:t>
      </w:r>
      <w:r w:rsidRPr="000B46A1">
        <w:rPr>
          <w:szCs w:val="24"/>
          <w:lang w:eastAsia="en-US"/>
        </w:rPr>
        <w:tab/>
      </w:r>
      <w:proofErr w:type="gramStart"/>
      <w:r w:rsidRPr="000B46A1">
        <w:rPr>
          <w:szCs w:val="24"/>
          <w:lang w:eastAsia="en-US"/>
        </w:rPr>
        <w:t>those</w:t>
      </w:r>
      <w:proofErr w:type="gramEnd"/>
      <w:r w:rsidRPr="000B46A1">
        <w:rPr>
          <w:szCs w:val="24"/>
          <w:lang w:eastAsia="en-US"/>
        </w:rPr>
        <w:t xml:space="preserve"> who arrived at their place of usual residence during the 12 months prior to and including the reference date and for whom there is an intention or expectation of staying there most of the time for at least 12 months after arrival;</w:t>
      </w:r>
    </w:p>
    <w:p w14:paraId="0A56BFC9" w14:textId="77777777" w:rsidR="00F81A5B" w:rsidRPr="000B46A1" w:rsidRDefault="00F81A5B" w:rsidP="00F81A5B">
      <w:pPr>
        <w:spacing w:before="120" w:after="120" w:line="360" w:lineRule="auto"/>
        <w:ind w:left="850" w:hanging="850"/>
        <w:rPr>
          <w:szCs w:val="24"/>
          <w:lang w:eastAsia="en-US"/>
        </w:rPr>
      </w:pPr>
      <w:r w:rsidRPr="000B46A1">
        <w:rPr>
          <w:szCs w:val="24"/>
          <w:lang w:eastAsia="en-US"/>
        </w:rPr>
        <w:t>(3)</w:t>
      </w:r>
      <w:r w:rsidRPr="000B46A1">
        <w:rPr>
          <w:szCs w:val="24"/>
          <w:lang w:eastAsia="en-US"/>
        </w:rPr>
        <w:tab/>
        <w:t>‘signs of life’ means any information indicative of the actual presence and usual residence of a person on the territory of interest, including information obtained from any appropriate source or combination of them, including digital traces that relate to the person;</w:t>
      </w:r>
    </w:p>
    <w:p w14:paraId="3D08393E" w14:textId="77777777" w:rsidR="00F81A5B" w:rsidRPr="000B46A1" w:rsidRDefault="00F81A5B" w:rsidP="00F81A5B">
      <w:pPr>
        <w:spacing w:before="120" w:after="120" w:line="360" w:lineRule="auto"/>
        <w:ind w:left="850" w:hanging="850"/>
        <w:rPr>
          <w:szCs w:val="24"/>
          <w:lang w:eastAsia="en-US"/>
        </w:rPr>
      </w:pPr>
      <w:r w:rsidRPr="000B46A1">
        <w:rPr>
          <w:szCs w:val="24"/>
          <w:lang w:eastAsia="en-US"/>
        </w:rPr>
        <w:t>(4)</w:t>
      </w:r>
      <w:r w:rsidRPr="000B46A1">
        <w:rPr>
          <w:szCs w:val="24"/>
          <w:lang w:eastAsia="en-US"/>
        </w:rPr>
        <w:tab/>
        <w:t>▌</w:t>
      </w:r>
    </w:p>
    <w:p w14:paraId="7F88D457" w14:textId="77777777" w:rsidR="00F81A5B" w:rsidRPr="000B46A1" w:rsidRDefault="00F81A5B" w:rsidP="00F81A5B">
      <w:pPr>
        <w:spacing w:before="120" w:after="120" w:line="360" w:lineRule="auto"/>
        <w:ind w:left="850" w:hanging="850"/>
        <w:rPr>
          <w:szCs w:val="24"/>
          <w:lang w:eastAsia="en-US"/>
        </w:rPr>
      </w:pPr>
      <w:r w:rsidRPr="000B46A1">
        <w:rPr>
          <w:szCs w:val="24"/>
          <w:lang w:eastAsia="en-US"/>
        </w:rPr>
        <w:t>(5)</w:t>
      </w:r>
      <w:r w:rsidRPr="000B46A1">
        <w:rPr>
          <w:szCs w:val="24"/>
          <w:lang w:eastAsia="en-US"/>
        </w:rPr>
        <w:tab/>
        <w:t>‘</w:t>
      </w:r>
      <w:proofErr w:type="gramStart"/>
      <w:r w:rsidRPr="000B46A1">
        <w:rPr>
          <w:szCs w:val="24"/>
          <w:lang w:eastAsia="en-US"/>
        </w:rPr>
        <w:t>international</w:t>
      </w:r>
      <w:proofErr w:type="gramEnd"/>
      <w:r w:rsidRPr="000B46A1">
        <w:rPr>
          <w:szCs w:val="24"/>
          <w:lang w:eastAsia="en-US"/>
        </w:rPr>
        <w:t xml:space="preserve"> migration’ means the event by which a person establishes his or her usual residence in the territory of a Member State or third country, having previously been usually resident in another Member State or a third country;</w:t>
      </w:r>
    </w:p>
    <w:p w14:paraId="3F46FF1F" w14:textId="77777777" w:rsidR="00F81A5B" w:rsidRPr="000B46A1" w:rsidRDefault="00F81A5B" w:rsidP="00F81A5B">
      <w:pPr>
        <w:spacing w:before="120" w:after="120" w:line="360" w:lineRule="auto"/>
        <w:ind w:left="850" w:hanging="850"/>
        <w:rPr>
          <w:szCs w:val="24"/>
          <w:lang w:eastAsia="en-US"/>
        </w:rPr>
      </w:pPr>
      <w:r w:rsidRPr="000B46A1">
        <w:rPr>
          <w:szCs w:val="24"/>
          <w:lang w:eastAsia="en-US"/>
        </w:rPr>
        <w:t>(6)</w:t>
      </w:r>
      <w:r w:rsidRPr="000B46A1">
        <w:rPr>
          <w:szCs w:val="24"/>
          <w:lang w:eastAsia="en-US"/>
        </w:rPr>
        <w:tab/>
        <w:t>‘</w:t>
      </w:r>
      <w:proofErr w:type="gramStart"/>
      <w:r w:rsidRPr="000B46A1">
        <w:rPr>
          <w:szCs w:val="24"/>
          <w:lang w:eastAsia="en-US"/>
        </w:rPr>
        <w:t>immigrant</w:t>
      </w:r>
      <w:proofErr w:type="gramEnd"/>
      <w:r w:rsidRPr="000B46A1">
        <w:rPr>
          <w:szCs w:val="24"/>
          <w:lang w:eastAsia="en-US"/>
        </w:rPr>
        <w:t xml:space="preserve">’ means a person who underwent international migration during the </w:t>
      </w:r>
      <w:r w:rsidRPr="000B46A1">
        <w:rPr>
          <w:szCs w:val="24"/>
          <w:lang w:eastAsia="en-US"/>
        </w:rPr>
        <w:lastRenderedPageBreak/>
        <w:t>reference period to establish his or her new usual residence inside the reporting country;</w:t>
      </w:r>
    </w:p>
    <w:p w14:paraId="21B6294C" w14:textId="77777777" w:rsidR="00F81A5B" w:rsidRPr="000B46A1" w:rsidRDefault="00F81A5B" w:rsidP="00F81A5B">
      <w:pPr>
        <w:spacing w:before="120" w:after="120" w:line="360" w:lineRule="auto"/>
        <w:ind w:left="850" w:hanging="850"/>
        <w:rPr>
          <w:szCs w:val="24"/>
          <w:lang w:eastAsia="en-US"/>
        </w:rPr>
      </w:pPr>
      <w:r w:rsidRPr="000B46A1">
        <w:rPr>
          <w:szCs w:val="24"/>
          <w:lang w:eastAsia="en-US"/>
        </w:rPr>
        <w:t>(7)</w:t>
      </w:r>
      <w:r w:rsidRPr="000B46A1">
        <w:rPr>
          <w:szCs w:val="24"/>
          <w:lang w:eastAsia="en-US"/>
        </w:rPr>
        <w:tab/>
        <w:t>‘</w:t>
      </w:r>
      <w:proofErr w:type="gramStart"/>
      <w:r w:rsidRPr="000B46A1">
        <w:rPr>
          <w:szCs w:val="24"/>
          <w:lang w:eastAsia="en-US"/>
        </w:rPr>
        <w:t>emigrant</w:t>
      </w:r>
      <w:proofErr w:type="gramEnd"/>
      <w:r w:rsidRPr="000B46A1">
        <w:rPr>
          <w:szCs w:val="24"/>
          <w:lang w:eastAsia="en-US"/>
        </w:rPr>
        <w:t>’ means a person who underwent international migration during the reference period to establish his or her new usual residence outside the reporting country, having previously been usually resident within the reporting country;</w:t>
      </w:r>
    </w:p>
    <w:p w14:paraId="645B04B3" w14:textId="77777777" w:rsidR="00F81A5B" w:rsidRPr="000B46A1" w:rsidRDefault="00F81A5B" w:rsidP="00F81A5B">
      <w:pPr>
        <w:spacing w:before="120" w:after="120" w:line="360" w:lineRule="auto"/>
        <w:ind w:left="850" w:hanging="850"/>
        <w:rPr>
          <w:szCs w:val="24"/>
          <w:lang w:eastAsia="en-US"/>
        </w:rPr>
      </w:pPr>
      <w:r w:rsidRPr="000B46A1">
        <w:rPr>
          <w:szCs w:val="24"/>
          <w:lang w:eastAsia="en-US"/>
        </w:rPr>
        <w:t>(8)</w:t>
      </w:r>
      <w:r w:rsidRPr="000B46A1">
        <w:rPr>
          <w:szCs w:val="24"/>
          <w:lang w:eastAsia="en-US"/>
        </w:rPr>
        <w:tab/>
        <w:t>‘</w:t>
      </w:r>
      <w:proofErr w:type="gramStart"/>
      <w:r w:rsidRPr="000B46A1">
        <w:rPr>
          <w:szCs w:val="24"/>
          <w:lang w:eastAsia="en-US"/>
        </w:rPr>
        <w:t>internal</w:t>
      </w:r>
      <w:proofErr w:type="gramEnd"/>
      <w:r w:rsidRPr="000B46A1">
        <w:rPr>
          <w:szCs w:val="24"/>
          <w:lang w:eastAsia="en-US"/>
        </w:rPr>
        <w:t xml:space="preserve"> migration’ means the event by which a person changes his or her usual residence within the territory of the reporting country;</w:t>
      </w:r>
    </w:p>
    <w:p w14:paraId="12D03ACB" w14:textId="77777777" w:rsidR="00F81A5B" w:rsidRPr="000B46A1" w:rsidRDefault="00F81A5B" w:rsidP="00F81A5B">
      <w:pPr>
        <w:spacing w:before="120" w:after="120" w:line="360" w:lineRule="auto"/>
        <w:ind w:left="850" w:hanging="850"/>
        <w:rPr>
          <w:szCs w:val="24"/>
          <w:lang w:eastAsia="en-US"/>
        </w:rPr>
      </w:pPr>
      <w:r w:rsidRPr="000B46A1">
        <w:rPr>
          <w:b/>
          <w:i/>
          <w:szCs w:val="24"/>
          <w:lang w:eastAsia="en-US"/>
        </w:rPr>
        <w:t>(8a)</w:t>
      </w:r>
      <w:r w:rsidRPr="000B46A1">
        <w:rPr>
          <w:szCs w:val="24"/>
          <w:lang w:eastAsia="en-US"/>
        </w:rPr>
        <w:tab/>
      </w:r>
      <w:r w:rsidRPr="000B46A1">
        <w:rPr>
          <w:b/>
          <w:i/>
          <w:szCs w:val="24"/>
          <w:lang w:eastAsia="en-US"/>
        </w:rPr>
        <w:t>‘hard-to-reach population groups’ means groups of individuals for whom a real or perceived barrier exists for full and representative inclusion or identification in the collection of statistical data, either due to lack of coverage of respective groups, or due to lack of specific characteristics to identify them;</w:t>
      </w:r>
    </w:p>
    <w:p w14:paraId="596C4993" w14:textId="77777777" w:rsidR="00F81A5B" w:rsidRPr="000B46A1" w:rsidRDefault="00F81A5B" w:rsidP="00F81A5B">
      <w:pPr>
        <w:spacing w:before="120" w:after="120" w:line="360" w:lineRule="auto"/>
        <w:ind w:left="850" w:hanging="850"/>
        <w:rPr>
          <w:szCs w:val="24"/>
          <w:lang w:eastAsia="en-US"/>
        </w:rPr>
      </w:pPr>
      <w:r w:rsidRPr="000B46A1">
        <w:rPr>
          <w:szCs w:val="24"/>
          <w:lang w:eastAsia="en-US"/>
        </w:rPr>
        <w:t>(9)</w:t>
      </w:r>
      <w:r w:rsidRPr="000B46A1">
        <w:rPr>
          <w:szCs w:val="24"/>
          <w:lang w:eastAsia="en-US"/>
        </w:rPr>
        <w:tab/>
        <w:t xml:space="preserve">‘living </w:t>
      </w:r>
      <w:r w:rsidRPr="000B46A1">
        <w:rPr>
          <w:b/>
          <w:i/>
          <w:szCs w:val="24"/>
          <w:lang w:eastAsia="en-US"/>
        </w:rPr>
        <w:t>quarters</w:t>
      </w:r>
      <w:r w:rsidRPr="000B46A1">
        <w:rPr>
          <w:szCs w:val="24"/>
          <w:lang w:eastAsia="en-US"/>
        </w:rPr>
        <w:t>’ means a temporary or permanent structure, shelter or lodging place at which one or more persons reside, irrespective of whether it is designed or intended for human habitation;</w:t>
      </w:r>
    </w:p>
    <w:p w14:paraId="2A4F5F5A" w14:textId="77777777" w:rsidR="00F81A5B" w:rsidRPr="000B46A1" w:rsidRDefault="00F81A5B" w:rsidP="00F81A5B">
      <w:pPr>
        <w:spacing w:before="120" w:after="120" w:line="360" w:lineRule="auto"/>
        <w:ind w:left="850" w:hanging="850"/>
        <w:rPr>
          <w:b/>
          <w:i/>
          <w:szCs w:val="24"/>
          <w:lang w:eastAsia="en-US"/>
        </w:rPr>
      </w:pPr>
      <w:r w:rsidRPr="000B46A1">
        <w:rPr>
          <w:szCs w:val="24"/>
          <w:lang w:eastAsia="en-US"/>
        </w:rPr>
        <w:t>(10)</w:t>
      </w:r>
      <w:r w:rsidRPr="000B46A1">
        <w:rPr>
          <w:szCs w:val="24"/>
          <w:lang w:eastAsia="en-US"/>
        </w:rPr>
        <w:tab/>
        <w:t xml:space="preserve">▌ ‘conventional </w:t>
      </w:r>
      <w:r w:rsidRPr="000B46A1">
        <w:rPr>
          <w:b/>
          <w:i/>
          <w:szCs w:val="24"/>
          <w:lang w:eastAsia="en-US"/>
        </w:rPr>
        <w:t>dwellings’ are structurally separate and independent premises in</w:t>
      </w:r>
      <w:r w:rsidRPr="000B46A1">
        <w:rPr>
          <w:szCs w:val="24"/>
          <w:lang w:eastAsia="en-US"/>
        </w:rPr>
        <w:t xml:space="preserve"> fixed </w:t>
      </w:r>
      <w:r w:rsidRPr="000B46A1">
        <w:rPr>
          <w:b/>
          <w:i/>
          <w:szCs w:val="24"/>
          <w:lang w:eastAsia="en-US"/>
        </w:rPr>
        <w:t>locations that are</w:t>
      </w:r>
      <w:r w:rsidRPr="000B46A1">
        <w:rPr>
          <w:szCs w:val="24"/>
          <w:lang w:eastAsia="en-US"/>
        </w:rPr>
        <w:t xml:space="preserve"> designed for permanent human habitation </w:t>
      </w:r>
      <w:r w:rsidRPr="000B46A1">
        <w:rPr>
          <w:b/>
          <w:i/>
          <w:szCs w:val="24"/>
          <w:lang w:eastAsia="en-US"/>
        </w:rPr>
        <w:t xml:space="preserve">and which at the reference date are: </w:t>
      </w:r>
    </w:p>
    <w:p w14:paraId="4209B618" w14:textId="77777777" w:rsidR="00F81A5B" w:rsidRPr="000B46A1" w:rsidRDefault="00F81A5B" w:rsidP="00F81A5B">
      <w:pPr>
        <w:spacing w:before="120" w:after="120" w:line="360" w:lineRule="auto"/>
        <w:ind w:left="850"/>
        <w:rPr>
          <w:b/>
          <w:i/>
          <w:szCs w:val="24"/>
          <w:lang w:eastAsia="en-US"/>
        </w:rPr>
      </w:pPr>
      <w:r w:rsidRPr="000B46A1">
        <w:rPr>
          <w:b/>
          <w:i/>
          <w:szCs w:val="24"/>
          <w:lang w:eastAsia="en-US"/>
        </w:rPr>
        <w:t xml:space="preserve">(a) </w:t>
      </w:r>
      <w:proofErr w:type="gramStart"/>
      <w:r w:rsidRPr="000B46A1">
        <w:rPr>
          <w:b/>
          <w:i/>
          <w:szCs w:val="24"/>
          <w:lang w:eastAsia="en-US"/>
        </w:rPr>
        <w:t>used</w:t>
      </w:r>
      <w:proofErr w:type="gramEnd"/>
      <w:r w:rsidRPr="000B46A1">
        <w:rPr>
          <w:b/>
          <w:i/>
          <w:szCs w:val="24"/>
          <w:lang w:eastAsia="en-US"/>
        </w:rPr>
        <w:t xml:space="preserve"> as a usual residence; </w:t>
      </w:r>
    </w:p>
    <w:p w14:paraId="099B8B9E" w14:textId="77777777" w:rsidR="00F81A5B" w:rsidRPr="000B46A1" w:rsidRDefault="00F81A5B" w:rsidP="00F81A5B">
      <w:pPr>
        <w:spacing w:before="120" w:after="120" w:line="360" w:lineRule="auto"/>
        <w:ind w:left="850"/>
        <w:rPr>
          <w:b/>
          <w:i/>
          <w:szCs w:val="24"/>
          <w:lang w:eastAsia="en-US"/>
        </w:rPr>
      </w:pPr>
      <w:r w:rsidRPr="000B46A1">
        <w:rPr>
          <w:b/>
          <w:i/>
          <w:szCs w:val="24"/>
          <w:lang w:eastAsia="en-US"/>
        </w:rPr>
        <w:t xml:space="preserve">(b) </w:t>
      </w:r>
      <w:proofErr w:type="gramStart"/>
      <w:r w:rsidRPr="000B46A1">
        <w:rPr>
          <w:b/>
          <w:i/>
          <w:szCs w:val="24"/>
          <w:lang w:eastAsia="en-US"/>
        </w:rPr>
        <w:t>unoccupied</w:t>
      </w:r>
      <w:proofErr w:type="gramEnd"/>
      <w:r w:rsidRPr="000B46A1">
        <w:rPr>
          <w:b/>
          <w:i/>
          <w:szCs w:val="24"/>
          <w:lang w:eastAsia="en-US"/>
        </w:rPr>
        <w:t xml:space="preserve">; or </w:t>
      </w:r>
    </w:p>
    <w:p w14:paraId="2F47D828" w14:textId="77777777" w:rsidR="00F81A5B" w:rsidRPr="000B46A1" w:rsidRDefault="00F81A5B" w:rsidP="00F81A5B">
      <w:pPr>
        <w:spacing w:before="120" w:after="120" w:line="360" w:lineRule="auto"/>
        <w:ind w:left="850"/>
        <w:rPr>
          <w:b/>
          <w:i/>
          <w:szCs w:val="24"/>
          <w:lang w:eastAsia="en-US"/>
        </w:rPr>
      </w:pPr>
      <w:r w:rsidRPr="000B46A1">
        <w:rPr>
          <w:b/>
          <w:i/>
          <w:szCs w:val="24"/>
          <w:lang w:eastAsia="en-US"/>
        </w:rPr>
        <w:t xml:space="preserve">(c) </w:t>
      </w:r>
      <w:proofErr w:type="gramStart"/>
      <w:r w:rsidRPr="000B46A1">
        <w:rPr>
          <w:b/>
          <w:i/>
          <w:szCs w:val="24"/>
          <w:lang w:eastAsia="en-US"/>
        </w:rPr>
        <w:t>used</w:t>
      </w:r>
      <w:proofErr w:type="gramEnd"/>
      <w:r w:rsidRPr="000B46A1">
        <w:rPr>
          <w:b/>
          <w:i/>
          <w:szCs w:val="24"/>
          <w:lang w:eastAsia="en-US"/>
        </w:rPr>
        <w:t xml:space="preserve"> as a secondary or seasonal residence. </w:t>
      </w:r>
    </w:p>
    <w:p w14:paraId="723C535D" w14:textId="77777777" w:rsidR="00F81A5B" w:rsidRPr="000B46A1" w:rsidRDefault="00F81A5B" w:rsidP="00F81A5B">
      <w:pPr>
        <w:spacing w:before="120" w:after="120" w:line="360" w:lineRule="auto"/>
        <w:ind w:left="851" w:hanging="851"/>
        <w:rPr>
          <w:b/>
          <w:i/>
          <w:szCs w:val="24"/>
          <w:lang w:eastAsia="en-US"/>
        </w:rPr>
      </w:pPr>
      <w:r w:rsidRPr="000B46A1">
        <w:rPr>
          <w:b/>
          <w:i/>
          <w:szCs w:val="24"/>
          <w:lang w:eastAsia="en-US"/>
        </w:rPr>
        <w:t>(x)</w:t>
      </w:r>
      <w:r w:rsidRPr="000B46A1">
        <w:rPr>
          <w:b/>
          <w:i/>
          <w:szCs w:val="24"/>
          <w:lang w:eastAsia="en-US"/>
        </w:rPr>
        <w:tab/>
        <w:t>‘</w:t>
      </w:r>
      <w:proofErr w:type="gramStart"/>
      <w:r w:rsidRPr="000B46A1">
        <w:rPr>
          <w:b/>
          <w:i/>
          <w:szCs w:val="24"/>
          <w:lang w:eastAsia="en-US"/>
        </w:rPr>
        <w:t>separate</w:t>
      </w:r>
      <w:proofErr w:type="gramEnd"/>
      <w:r w:rsidRPr="000B46A1">
        <w:rPr>
          <w:b/>
          <w:i/>
          <w:szCs w:val="24"/>
          <w:lang w:eastAsia="en-US"/>
        </w:rPr>
        <w:t xml:space="preserve"> premises’ means premises surrounded by walls and covered by a roof or ceiling in such a way that one or more persons can reside there independent of others;</w:t>
      </w:r>
    </w:p>
    <w:p w14:paraId="0F571904" w14:textId="77777777" w:rsidR="00F81A5B" w:rsidRPr="000B46A1" w:rsidRDefault="00F81A5B" w:rsidP="00F81A5B">
      <w:pPr>
        <w:spacing w:before="120" w:after="120" w:line="360" w:lineRule="auto"/>
        <w:ind w:left="851" w:hanging="851"/>
        <w:rPr>
          <w:szCs w:val="24"/>
          <w:lang w:eastAsia="en-US"/>
        </w:rPr>
      </w:pPr>
      <w:r w:rsidRPr="000B46A1">
        <w:rPr>
          <w:b/>
          <w:i/>
          <w:szCs w:val="24"/>
          <w:lang w:eastAsia="en-US"/>
        </w:rPr>
        <w:t>(xx)</w:t>
      </w:r>
      <w:r w:rsidRPr="000B46A1">
        <w:rPr>
          <w:b/>
          <w:i/>
          <w:szCs w:val="24"/>
          <w:lang w:eastAsia="en-US"/>
        </w:rPr>
        <w:tab/>
        <w:t>‘</w:t>
      </w:r>
      <w:proofErr w:type="gramStart"/>
      <w:r w:rsidRPr="000B46A1">
        <w:rPr>
          <w:b/>
          <w:i/>
          <w:szCs w:val="24"/>
          <w:lang w:eastAsia="en-US"/>
        </w:rPr>
        <w:t>independent</w:t>
      </w:r>
      <w:proofErr w:type="gramEnd"/>
      <w:r w:rsidRPr="000B46A1">
        <w:rPr>
          <w:b/>
          <w:i/>
          <w:szCs w:val="24"/>
          <w:lang w:eastAsia="en-US"/>
        </w:rPr>
        <w:t xml:space="preserve"> premises’ means premises with direct access from a street or stairway, passage, corridor or land</w:t>
      </w:r>
      <w:r w:rsidRPr="000B46A1">
        <w:rPr>
          <w:szCs w:val="24"/>
          <w:lang w:eastAsia="en-US"/>
        </w:rPr>
        <w:t>;</w:t>
      </w:r>
    </w:p>
    <w:p w14:paraId="1B67563E" w14:textId="77777777" w:rsidR="00F81A5B" w:rsidRPr="000B46A1" w:rsidRDefault="00F81A5B" w:rsidP="00F81A5B">
      <w:pPr>
        <w:spacing w:before="120" w:after="120" w:line="360" w:lineRule="auto"/>
        <w:ind w:left="850" w:hanging="850"/>
        <w:rPr>
          <w:szCs w:val="24"/>
          <w:lang w:eastAsia="en-US"/>
        </w:rPr>
      </w:pPr>
      <w:r w:rsidRPr="000B46A1">
        <w:rPr>
          <w:szCs w:val="24"/>
          <w:lang w:eastAsia="en-US"/>
        </w:rPr>
        <w:t>(11)</w:t>
      </w:r>
      <w:r w:rsidRPr="000B46A1">
        <w:rPr>
          <w:szCs w:val="24"/>
          <w:lang w:eastAsia="en-US"/>
        </w:rPr>
        <w:tab/>
        <w:t>‘</w:t>
      </w:r>
      <w:proofErr w:type="gramStart"/>
      <w:r w:rsidRPr="000B46A1">
        <w:rPr>
          <w:szCs w:val="24"/>
          <w:lang w:eastAsia="en-US"/>
        </w:rPr>
        <w:t>building</w:t>
      </w:r>
      <w:proofErr w:type="gramEnd"/>
      <w:r w:rsidRPr="000B46A1">
        <w:rPr>
          <w:szCs w:val="24"/>
          <w:lang w:eastAsia="en-US"/>
        </w:rPr>
        <w:t xml:space="preserve"> intended for habitation’ means a permanent structure comprised of one or more conventional dwellings or which is intended for institutional or collective housing;</w:t>
      </w:r>
    </w:p>
    <w:p w14:paraId="66644D4E" w14:textId="77777777" w:rsidR="00F81A5B" w:rsidRPr="000B46A1" w:rsidRDefault="00F81A5B" w:rsidP="00F81A5B">
      <w:pPr>
        <w:spacing w:before="120" w:after="120" w:line="360" w:lineRule="auto"/>
        <w:ind w:left="850" w:hanging="850"/>
        <w:rPr>
          <w:szCs w:val="24"/>
          <w:lang w:eastAsia="en-US"/>
        </w:rPr>
      </w:pPr>
      <w:r w:rsidRPr="000B46A1">
        <w:rPr>
          <w:szCs w:val="24"/>
          <w:lang w:eastAsia="en-US"/>
        </w:rPr>
        <w:t>(12)</w:t>
      </w:r>
      <w:r w:rsidRPr="000B46A1">
        <w:rPr>
          <w:szCs w:val="24"/>
          <w:lang w:eastAsia="en-US"/>
        </w:rPr>
        <w:tab/>
        <w:t>‘</w:t>
      </w:r>
      <w:proofErr w:type="gramStart"/>
      <w:r w:rsidRPr="000B46A1">
        <w:rPr>
          <w:szCs w:val="24"/>
          <w:lang w:eastAsia="en-US"/>
        </w:rPr>
        <w:t>household</w:t>
      </w:r>
      <w:proofErr w:type="gramEnd"/>
      <w:r w:rsidRPr="000B46A1">
        <w:rPr>
          <w:szCs w:val="24"/>
          <w:lang w:eastAsia="en-US"/>
        </w:rPr>
        <w:t>’ means a group of two or more persons who share living quarters ▌ or an individual person who does not form part of any other household;</w:t>
      </w:r>
    </w:p>
    <w:p w14:paraId="30F69FCC" w14:textId="77777777" w:rsidR="00F81A5B" w:rsidRPr="000B46A1" w:rsidRDefault="00F81A5B" w:rsidP="00F81A5B">
      <w:pPr>
        <w:spacing w:before="120" w:after="120" w:line="360" w:lineRule="auto"/>
        <w:ind w:left="850" w:hanging="850"/>
        <w:rPr>
          <w:szCs w:val="24"/>
          <w:lang w:eastAsia="en-US"/>
        </w:rPr>
      </w:pPr>
      <w:r w:rsidRPr="000B46A1">
        <w:rPr>
          <w:b/>
          <w:i/>
          <w:szCs w:val="24"/>
          <w:lang w:eastAsia="en-US"/>
        </w:rPr>
        <w:lastRenderedPageBreak/>
        <w:t>(12a)</w:t>
      </w:r>
      <w:r w:rsidRPr="000B46A1">
        <w:rPr>
          <w:szCs w:val="24"/>
          <w:lang w:eastAsia="en-US"/>
        </w:rPr>
        <w:tab/>
      </w:r>
      <w:r w:rsidRPr="000B46A1">
        <w:rPr>
          <w:b/>
          <w:i/>
          <w:szCs w:val="24"/>
          <w:lang w:eastAsia="en-US"/>
        </w:rPr>
        <w:t>institution’ means a collective living quarter for the purpose of long-term housing and provision of services needed for daily life to a group of persons;</w:t>
      </w:r>
    </w:p>
    <w:p w14:paraId="005D359F" w14:textId="77777777" w:rsidR="00F81A5B" w:rsidRPr="000B46A1" w:rsidRDefault="00F81A5B" w:rsidP="00F81A5B">
      <w:pPr>
        <w:spacing w:before="120" w:after="120" w:line="360" w:lineRule="auto"/>
        <w:ind w:left="850" w:hanging="850"/>
        <w:rPr>
          <w:szCs w:val="24"/>
          <w:lang w:eastAsia="en-US"/>
        </w:rPr>
      </w:pPr>
      <w:r w:rsidRPr="000B46A1">
        <w:rPr>
          <w:szCs w:val="24"/>
          <w:lang w:eastAsia="en-US"/>
        </w:rPr>
        <w:t>(13)</w:t>
      </w:r>
      <w:r w:rsidRPr="000B46A1">
        <w:rPr>
          <w:szCs w:val="24"/>
          <w:lang w:eastAsia="en-US"/>
        </w:rPr>
        <w:tab/>
        <w:t xml:space="preserve">‘family’ means a group of two or more persons who live </w:t>
      </w:r>
      <w:r w:rsidRPr="000B46A1">
        <w:rPr>
          <w:b/>
          <w:i/>
          <w:szCs w:val="24"/>
          <w:lang w:eastAsia="en-US"/>
        </w:rPr>
        <w:t xml:space="preserve">most of the time </w:t>
      </w:r>
      <w:r w:rsidRPr="000B46A1">
        <w:rPr>
          <w:szCs w:val="24"/>
          <w:lang w:eastAsia="en-US"/>
        </w:rPr>
        <w:t>in the same household and who are related through parenthood or through marital, registered or consensual union partnership;</w:t>
      </w:r>
    </w:p>
    <w:p w14:paraId="12DEC671" w14:textId="77777777" w:rsidR="00F81A5B" w:rsidRPr="000B46A1" w:rsidRDefault="00F81A5B" w:rsidP="00F81A5B">
      <w:pPr>
        <w:spacing w:before="120" w:after="120" w:line="360" w:lineRule="auto"/>
        <w:ind w:left="850" w:hanging="850"/>
        <w:rPr>
          <w:szCs w:val="24"/>
          <w:lang w:eastAsia="en-US"/>
        </w:rPr>
      </w:pPr>
      <w:r w:rsidRPr="000B46A1">
        <w:rPr>
          <w:szCs w:val="24"/>
          <w:lang w:eastAsia="en-US"/>
        </w:rPr>
        <w:t>(14)</w:t>
      </w:r>
      <w:r w:rsidRPr="000B46A1">
        <w:rPr>
          <w:szCs w:val="24"/>
          <w:lang w:eastAsia="en-US"/>
        </w:rPr>
        <w:tab/>
        <w:t xml:space="preserve">‘administrative records’ mean data generated by a non‐statistical source, usually a register </w:t>
      </w:r>
      <w:r w:rsidRPr="000B46A1">
        <w:rPr>
          <w:b/>
          <w:i/>
          <w:szCs w:val="24"/>
          <w:lang w:eastAsia="en-US"/>
        </w:rPr>
        <w:t xml:space="preserve">held </w:t>
      </w:r>
      <w:r w:rsidRPr="000B46A1">
        <w:rPr>
          <w:szCs w:val="24"/>
          <w:lang w:eastAsia="en-US"/>
        </w:rPr>
        <w:t>by a public body, the main aim of which is not the provision of statistics;</w:t>
      </w:r>
    </w:p>
    <w:p w14:paraId="076FA0F1" w14:textId="77777777" w:rsidR="00F81A5B" w:rsidRPr="000B46A1" w:rsidRDefault="00F81A5B" w:rsidP="00F81A5B">
      <w:pPr>
        <w:spacing w:before="120" w:after="120" w:line="360" w:lineRule="auto"/>
        <w:ind w:left="850" w:hanging="850"/>
        <w:rPr>
          <w:szCs w:val="24"/>
          <w:lang w:eastAsia="en-US"/>
        </w:rPr>
      </w:pPr>
      <w:r w:rsidRPr="000B46A1">
        <w:rPr>
          <w:szCs w:val="24"/>
          <w:lang w:eastAsia="en-US"/>
        </w:rPr>
        <w:t>(15)</w:t>
      </w:r>
      <w:r w:rsidRPr="000B46A1">
        <w:rPr>
          <w:szCs w:val="24"/>
          <w:lang w:eastAsia="en-US"/>
        </w:rPr>
        <w:tab/>
        <w:t>‘</w:t>
      </w:r>
      <w:proofErr w:type="gramStart"/>
      <w:r w:rsidRPr="000B46A1">
        <w:rPr>
          <w:szCs w:val="24"/>
          <w:lang w:eastAsia="en-US"/>
        </w:rPr>
        <w:t>domain</w:t>
      </w:r>
      <w:proofErr w:type="gramEnd"/>
      <w:r w:rsidRPr="000B46A1">
        <w:rPr>
          <w:szCs w:val="24"/>
          <w:lang w:eastAsia="en-US"/>
        </w:rPr>
        <w:t>’ means one or several data sets that covers particular topics;</w:t>
      </w:r>
    </w:p>
    <w:p w14:paraId="607DEEC2" w14:textId="77777777" w:rsidR="00F81A5B" w:rsidRPr="000B46A1" w:rsidRDefault="00F81A5B" w:rsidP="00F81A5B">
      <w:pPr>
        <w:spacing w:before="120" w:after="120" w:line="360" w:lineRule="auto"/>
        <w:ind w:left="850" w:hanging="850"/>
        <w:rPr>
          <w:szCs w:val="24"/>
          <w:lang w:eastAsia="en-US"/>
        </w:rPr>
      </w:pPr>
      <w:r w:rsidRPr="000B46A1">
        <w:rPr>
          <w:szCs w:val="24"/>
          <w:lang w:eastAsia="en-US"/>
        </w:rPr>
        <w:t>(16)</w:t>
      </w:r>
      <w:r w:rsidRPr="000B46A1">
        <w:rPr>
          <w:szCs w:val="24"/>
          <w:lang w:eastAsia="en-US"/>
        </w:rPr>
        <w:tab/>
        <w:t>‘</w:t>
      </w:r>
      <w:proofErr w:type="gramStart"/>
      <w:r w:rsidRPr="000B46A1">
        <w:rPr>
          <w:szCs w:val="24"/>
          <w:lang w:eastAsia="en-US"/>
        </w:rPr>
        <w:t>topic</w:t>
      </w:r>
      <w:proofErr w:type="gramEnd"/>
      <w:r w:rsidRPr="000B46A1">
        <w:rPr>
          <w:szCs w:val="24"/>
          <w:lang w:eastAsia="en-US"/>
        </w:rPr>
        <w:t>’ means the content of the information to be collected about the statistical units, with each topic covering several detailed topics;</w:t>
      </w:r>
    </w:p>
    <w:p w14:paraId="5A3D7720" w14:textId="77777777" w:rsidR="00F81A5B" w:rsidRPr="000B46A1" w:rsidRDefault="00F81A5B" w:rsidP="00F81A5B">
      <w:pPr>
        <w:spacing w:before="120" w:after="120" w:line="360" w:lineRule="auto"/>
        <w:ind w:left="850" w:hanging="850"/>
        <w:rPr>
          <w:szCs w:val="24"/>
          <w:lang w:eastAsia="en-US"/>
        </w:rPr>
      </w:pPr>
      <w:r w:rsidRPr="000B46A1">
        <w:rPr>
          <w:szCs w:val="24"/>
          <w:lang w:eastAsia="en-US"/>
        </w:rPr>
        <w:t>(17)</w:t>
      </w:r>
      <w:r w:rsidRPr="000B46A1">
        <w:rPr>
          <w:szCs w:val="24"/>
          <w:lang w:eastAsia="en-US"/>
        </w:rPr>
        <w:tab/>
        <w:t>‘detailed topic’ means the detailed content of the information to be collected about the statistical units related to a topic, each detailed topic covering one or several variables;</w:t>
      </w:r>
    </w:p>
    <w:p w14:paraId="030FF333" w14:textId="77777777" w:rsidR="00F81A5B" w:rsidRPr="000B46A1" w:rsidRDefault="00F81A5B" w:rsidP="00F81A5B">
      <w:pPr>
        <w:spacing w:before="120" w:after="120" w:line="360" w:lineRule="auto"/>
        <w:ind w:left="850" w:hanging="850"/>
        <w:rPr>
          <w:szCs w:val="24"/>
          <w:lang w:eastAsia="en-US"/>
        </w:rPr>
      </w:pPr>
      <w:r w:rsidRPr="000B46A1">
        <w:rPr>
          <w:szCs w:val="24"/>
          <w:lang w:eastAsia="en-US"/>
        </w:rPr>
        <w:t>(18)</w:t>
      </w:r>
      <w:r w:rsidRPr="000B46A1">
        <w:rPr>
          <w:szCs w:val="24"/>
          <w:lang w:eastAsia="en-US"/>
        </w:rPr>
        <w:tab/>
        <w:t>‘</w:t>
      </w:r>
      <w:proofErr w:type="gramStart"/>
      <w:r w:rsidRPr="000B46A1">
        <w:rPr>
          <w:szCs w:val="24"/>
          <w:lang w:eastAsia="en-US"/>
        </w:rPr>
        <w:t>data</w:t>
      </w:r>
      <w:proofErr w:type="gramEnd"/>
      <w:r w:rsidRPr="000B46A1">
        <w:rPr>
          <w:szCs w:val="24"/>
          <w:lang w:eastAsia="en-US"/>
        </w:rPr>
        <w:t xml:space="preserve"> set’ means ▌ one or several variables organised in a structured form;</w:t>
      </w:r>
    </w:p>
    <w:p w14:paraId="15F1A693" w14:textId="77777777" w:rsidR="00F81A5B" w:rsidRPr="000B46A1" w:rsidRDefault="00F81A5B" w:rsidP="00F81A5B">
      <w:pPr>
        <w:spacing w:before="120" w:after="120" w:line="360" w:lineRule="auto"/>
        <w:ind w:left="850" w:hanging="850"/>
        <w:rPr>
          <w:szCs w:val="24"/>
          <w:lang w:eastAsia="en-US"/>
        </w:rPr>
      </w:pPr>
      <w:r w:rsidRPr="000B46A1">
        <w:rPr>
          <w:szCs w:val="24"/>
          <w:lang w:eastAsia="en-US"/>
        </w:rPr>
        <w:t>(19)</w:t>
      </w:r>
      <w:r w:rsidRPr="000B46A1">
        <w:rPr>
          <w:szCs w:val="24"/>
          <w:lang w:eastAsia="en-US"/>
        </w:rPr>
        <w:tab/>
        <w:t>‘</w:t>
      </w:r>
      <w:proofErr w:type="gramStart"/>
      <w:r w:rsidRPr="000B46A1">
        <w:rPr>
          <w:szCs w:val="24"/>
          <w:lang w:eastAsia="en-US"/>
        </w:rPr>
        <w:t>population</w:t>
      </w:r>
      <w:proofErr w:type="gramEnd"/>
      <w:r w:rsidRPr="000B46A1">
        <w:rPr>
          <w:szCs w:val="24"/>
          <w:lang w:eastAsia="en-US"/>
        </w:rPr>
        <w:t xml:space="preserve"> and housing census’ means the detailed decennial data sets and metadata to be provided under this Regulation;</w:t>
      </w:r>
    </w:p>
    <w:p w14:paraId="72900DF9" w14:textId="77777777" w:rsidR="00F81A5B" w:rsidRPr="000B46A1" w:rsidRDefault="00F81A5B" w:rsidP="00F81A5B">
      <w:pPr>
        <w:spacing w:before="120" w:after="120" w:line="360" w:lineRule="auto"/>
        <w:ind w:left="850" w:hanging="850"/>
        <w:rPr>
          <w:szCs w:val="24"/>
          <w:lang w:eastAsia="en-US"/>
        </w:rPr>
      </w:pPr>
      <w:r w:rsidRPr="000B46A1">
        <w:rPr>
          <w:szCs w:val="24"/>
          <w:lang w:eastAsia="en-US"/>
        </w:rPr>
        <w:t>(20)</w:t>
      </w:r>
      <w:r w:rsidRPr="000B46A1">
        <w:rPr>
          <w:szCs w:val="24"/>
          <w:lang w:eastAsia="en-US"/>
        </w:rPr>
        <w:tab/>
        <w:t>‘statistical unit’ means one member of a universe of entities, namely persons, objects or events about which data are collected and statistics are ▌ compiled;</w:t>
      </w:r>
    </w:p>
    <w:p w14:paraId="1B74FF9F" w14:textId="77777777" w:rsidR="00F81A5B" w:rsidRPr="000B46A1" w:rsidRDefault="00F81A5B" w:rsidP="00F81A5B">
      <w:pPr>
        <w:spacing w:before="120" w:after="120" w:line="360" w:lineRule="auto"/>
        <w:ind w:left="850" w:hanging="850"/>
        <w:rPr>
          <w:szCs w:val="24"/>
          <w:lang w:eastAsia="en-US"/>
        </w:rPr>
      </w:pPr>
      <w:r w:rsidRPr="000B46A1">
        <w:rPr>
          <w:szCs w:val="24"/>
          <w:lang w:eastAsia="en-US"/>
        </w:rPr>
        <w:t>(21)</w:t>
      </w:r>
      <w:r w:rsidRPr="000B46A1">
        <w:rPr>
          <w:szCs w:val="24"/>
          <w:lang w:eastAsia="en-US"/>
        </w:rPr>
        <w:tab/>
        <w:t>‘</w:t>
      </w:r>
      <w:proofErr w:type="gramStart"/>
      <w:r w:rsidRPr="000B46A1">
        <w:rPr>
          <w:szCs w:val="24"/>
          <w:lang w:eastAsia="en-US"/>
        </w:rPr>
        <w:t>variable</w:t>
      </w:r>
      <w:proofErr w:type="gramEnd"/>
      <w:r w:rsidRPr="000B46A1">
        <w:rPr>
          <w:szCs w:val="24"/>
          <w:lang w:eastAsia="en-US"/>
        </w:rPr>
        <w:t>’ means a characteristic of a statistical unit that can assume more than one set of values;</w:t>
      </w:r>
    </w:p>
    <w:p w14:paraId="727F3B78" w14:textId="77777777" w:rsidR="00F81A5B" w:rsidRPr="000B46A1" w:rsidRDefault="00F81A5B" w:rsidP="00F81A5B">
      <w:pPr>
        <w:spacing w:before="120" w:after="120" w:line="360" w:lineRule="auto"/>
        <w:ind w:left="850" w:hanging="850"/>
        <w:rPr>
          <w:szCs w:val="24"/>
          <w:lang w:eastAsia="en-US"/>
        </w:rPr>
      </w:pPr>
      <w:r w:rsidRPr="000B46A1">
        <w:rPr>
          <w:szCs w:val="24"/>
          <w:lang w:eastAsia="en-US"/>
        </w:rPr>
        <w:t>(22)</w:t>
      </w:r>
      <w:r w:rsidRPr="000B46A1">
        <w:rPr>
          <w:szCs w:val="24"/>
          <w:lang w:eastAsia="en-US"/>
        </w:rPr>
        <w:tab/>
        <w:t>‘</w:t>
      </w:r>
      <w:proofErr w:type="gramStart"/>
      <w:r w:rsidRPr="000B46A1">
        <w:rPr>
          <w:szCs w:val="24"/>
          <w:lang w:eastAsia="en-US"/>
        </w:rPr>
        <w:t>breakdown</w:t>
      </w:r>
      <w:proofErr w:type="gramEnd"/>
      <w:r w:rsidRPr="000B46A1">
        <w:rPr>
          <w:szCs w:val="24"/>
          <w:lang w:eastAsia="en-US"/>
        </w:rPr>
        <w:t>’ means a predefined discrete, exhaustive and mutually exclusive set of values which can be assigned to a variables characterising statistical units;</w:t>
      </w:r>
    </w:p>
    <w:p w14:paraId="16195A17" w14:textId="77777777" w:rsidR="00F81A5B" w:rsidRPr="000B46A1" w:rsidRDefault="00F81A5B" w:rsidP="00F81A5B">
      <w:pPr>
        <w:spacing w:before="120" w:after="120" w:line="360" w:lineRule="auto"/>
        <w:ind w:left="850" w:hanging="850"/>
        <w:rPr>
          <w:szCs w:val="24"/>
          <w:lang w:eastAsia="en-US"/>
        </w:rPr>
      </w:pPr>
      <w:r w:rsidRPr="000B46A1">
        <w:rPr>
          <w:szCs w:val="24"/>
          <w:lang w:eastAsia="en-US"/>
        </w:rPr>
        <w:t>(23)</w:t>
      </w:r>
      <w:r w:rsidRPr="000B46A1">
        <w:rPr>
          <w:szCs w:val="24"/>
          <w:lang w:eastAsia="en-US"/>
        </w:rPr>
        <w:tab/>
        <w:t>‘</w:t>
      </w:r>
      <w:proofErr w:type="gramStart"/>
      <w:r w:rsidRPr="000B46A1">
        <w:rPr>
          <w:szCs w:val="24"/>
          <w:lang w:eastAsia="en-US"/>
        </w:rPr>
        <w:t>national</w:t>
      </w:r>
      <w:proofErr w:type="gramEnd"/>
      <w:r w:rsidRPr="000B46A1">
        <w:rPr>
          <w:szCs w:val="24"/>
          <w:lang w:eastAsia="en-US"/>
        </w:rPr>
        <w:t xml:space="preserve"> level’ means the territory of a Member State;</w:t>
      </w:r>
    </w:p>
    <w:p w14:paraId="65A1E29E" w14:textId="77777777" w:rsidR="00F81A5B" w:rsidRPr="000B46A1" w:rsidRDefault="00F81A5B" w:rsidP="00F81A5B">
      <w:pPr>
        <w:spacing w:before="120" w:after="120" w:line="360" w:lineRule="auto"/>
        <w:ind w:left="850" w:hanging="850"/>
        <w:rPr>
          <w:szCs w:val="24"/>
          <w:lang w:eastAsia="en-US"/>
        </w:rPr>
      </w:pPr>
      <w:r w:rsidRPr="000B46A1">
        <w:rPr>
          <w:szCs w:val="24"/>
          <w:lang w:eastAsia="en-US"/>
        </w:rPr>
        <w:t>(24)</w:t>
      </w:r>
      <w:r w:rsidRPr="000B46A1">
        <w:rPr>
          <w:szCs w:val="24"/>
          <w:lang w:eastAsia="en-US"/>
        </w:rPr>
        <w:tab/>
        <w:t>‘</w:t>
      </w:r>
      <w:proofErr w:type="gramStart"/>
      <w:r w:rsidRPr="000B46A1">
        <w:rPr>
          <w:szCs w:val="24"/>
          <w:lang w:eastAsia="en-US"/>
        </w:rPr>
        <w:t>regional</w:t>
      </w:r>
      <w:proofErr w:type="gramEnd"/>
      <w:r w:rsidRPr="000B46A1">
        <w:rPr>
          <w:szCs w:val="24"/>
          <w:lang w:eastAsia="en-US"/>
        </w:rPr>
        <w:t xml:space="preserve"> level’ means the NUTS3 level as set out in Regulation (EC) No 1059/2003;</w:t>
      </w:r>
    </w:p>
    <w:p w14:paraId="0E7FC56E" w14:textId="77777777" w:rsidR="00F81A5B" w:rsidRPr="000B46A1" w:rsidRDefault="00F81A5B" w:rsidP="00F81A5B">
      <w:pPr>
        <w:spacing w:before="120" w:after="120" w:line="360" w:lineRule="auto"/>
        <w:ind w:left="850" w:hanging="850"/>
        <w:rPr>
          <w:szCs w:val="24"/>
          <w:lang w:eastAsia="en-US"/>
        </w:rPr>
      </w:pPr>
      <w:r w:rsidRPr="000B46A1">
        <w:rPr>
          <w:szCs w:val="24"/>
          <w:lang w:eastAsia="en-US"/>
        </w:rPr>
        <w:t>(25)</w:t>
      </w:r>
      <w:r w:rsidRPr="000B46A1">
        <w:rPr>
          <w:szCs w:val="24"/>
          <w:lang w:eastAsia="en-US"/>
        </w:rPr>
        <w:tab/>
        <w:t>‘</w:t>
      </w:r>
      <w:proofErr w:type="gramStart"/>
      <w:r w:rsidRPr="000B46A1">
        <w:rPr>
          <w:szCs w:val="24"/>
          <w:lang w:eastAsia="en-US"/>
        </w:rPr>
        <w:t>local</w:t>
      </w:r>
      <w:proofErr w:type="gramEnd"/>
      <w:r w:rsidRPr="000B46A1">
        <w:rPr>
          <w:szCs w:val="24"/>
          <w:lang w:eastAsia="en-US"/>
        </w:rPr>
        <w:t xml:space="preserve"> level’ means the local administrative unit ▌ level as set out in Regulation (EC) No 1059/2003;</w:t>
      </w:r>
    </w:p>
    <w:p w14:paraId="56C5D45E" w14:textId="77777777" w:rsidR="00F81A5B" w:rsidRPr="000B46A1" w:rsidRDefault="00F81A5B" w:rsidP="00F81A5B">
      <w:pPr>
        <w:spacing w:before="120" w:after="120" w:line="360" w:lineRule="auto"/>
        <w:ind w:left="850" w:hanging="850"/>
        <w:rPr>
          <w:szCs w:val="24"/>
          <w:lang w:eastAsia="en-US"/>
        </w:rPr>
      </w:pPr>
      <w:r w:rsidRPr="000B46A1">
        <w:rPr>
          <w:szCs w:val="24"/>
          <w:lang w:eastAsia="en-US"/>
        </w:rPr>
        <w:t>(26)</w:t>
      </w:r>
      <w:r w:rsidRPr="000B46A1">
        <w:rPr>
          <w:szCs w:val="24"/>
          <w:lang w:eastAsia="en-US"/>
        </w:rPr>
        <w:tab/>
        <w:t>‘</w:t>
      </w:r>
      <w:proofErr w:type="gramStart"/>
      <w:r w:rsidRPr="000B46A1">
        <w:rPr>
          <w:szCs w:val="24"/>
          <w:lang w:eastAsia="en-US"/>
        </w:rPr>
        <w:t>grid</w:t>
      </w:r>
      <w:proofErr w:type="gramEnd"/>
      <w:r w:rsidRPr="000B46A1">
        <w:rPr>
          <w:szCs w:val="24"/>
          <w:lang w:eastAsia="en-US"/>
        </w:rPr>
        <w:t xml:space="preserve"> level’ means statistical grid as set out in Regulation (EC) No 1059/2003;</w:t>
      </w:r>
    </w:p>
    <w:p w14:paraId="7E70F7F5" w14:textId="77777777" w:rsidR="00F81A5B" w:rsidRPr="000B46A1" w:rsidRDefault="00F81A5B" w:rsidP="00F81A5B">
      <w:pPr>
        <w:spacing w:before="120" w:after="120" w:line="360" w:lineRule="auto"/>
        <w:ind w:left="850" w:hanging="850"/>
        <w:rPr>
          <w:szCs w:val="24"/>
          <w:lang w:eastAsia="en-US"/>
        </w:rPr>
      </w:pPr>
      <w:r w:rsidRPr="000B46A1">
        <w:rPr>
          <w:szCs w:val="24"/>
          <w:lang w:eastAsia="en-US"/>
        </w:rPr>
        <w:t>(27)</w:t>
      </w:r>
      <w:r w:rsidRPr="000B46A1">
        <w:rPr>
          <w:szCs w:val="24"/>
          <w:lang w:eastAsia="en-US"/>
        </w:rPr>
        <w:tab/>
        <w:t xml:space="preserve">‘frames’ means any list, material or device that delimits and identifies the elements </w:t>
      </w:r>
      <w:r w:rsidRPr="000B46A1">
        <w:rPr>
          <w:szCs w:val="24"/>
          <w:lang w:eastAsia="en-US"/>
        </w:rPr>
        <w:lastRenderedPageBreak/>
        <w:t>of the target population and, depending on its use, may allow access to, or provide additional characteristics of the elements;</w:t>
      </w:r>
    </w:p>
    <w:p w14:paraId="4EE55BBA" w14:textId="77777777" w:rsidR="00F81A5B" w:rsidRPr="000B46A1" w:rsidRDefault="00F81A5B" w:rsidP="00F81A5B">
      <w:pPr>
        <w:spacing w:before="120" w:after="120" w:line="360" w:lineRule="auto"/>
        <w:ind w:left="850" w:hanging="850"/>
        <w:rPr>
          <w:szCs w:val="24"/>
          <w:lang w:eastAsia="en-US"/>
        </w:rPr>
      </w:pPr>
      <w:r w:rsidRPr="000B46A1">
        <w:rPr>
          <w:szCs w:val="24"/>
          <w:lang w:eastAsia="en-US"/>
        </w:rPr>
        <w:t>(28)</w:t>
      </w:r>
      <w:r w:rsidRPr="000B46A1">
        <w:rPr>
          <w:szCs w:val="24"/>
          <w:lang w:eastAsia="en-US"/>
        </w:rPr>
        <w:tab/>
        <w:t>‘</w:t>
      </w:r>
      <w:proofErr w:type="gramStart"/>
      <w:r w:rsidRPr="000B46A1">
        <w:rPr>
          <w:szCs w:val="24"/>
          <w:lang w:eastAsia="en-US"/>
        </w:rPr>
        <w:t>reference</w:t>
      </w:r>
      <w:proofErr w:type="gramEnd"/>
      <w:r w:rsidRPr="000B46A1">
        <w:rPr>
          <w:szCs w:val="24"/>
          <w:lang w:eastAsia="en-US"/>
        </w:rPr>
        <w:t xml:space="preserve"> date’ means the moment in time to which statistics refer;</w:t>
      </w:r>
    </w:p>
    <w:p w14:paraId="4FFCD3CC" w14:textId="77777777" w:rsidR="00F81A5B" w:rsidRPr="000B46A1" w:rsidRDefault="00F81A5B" w:rsidP="00F81A5B">
      <w:pPr>
        <w:spacing w:before="120" w:after="120" w:line="360" w:lineRule="auto"/>
        <w:ind w:left="850" w:hanging="850"/>
        <w:rPr>
          <w:szCs w:val="24"/>
          <w:lang w:eastAsia="en-US"/>
        </w:rPr>
      </w:pPr>
      <w:r w:rsidRPr="000B46A1">
        <w:rPr>
          <w:szCs w:val="24"/>
          <w:lang w:eastAsia="en-US"/>
        </w:rPr>
        <w:t>(29)</w:t>
      </w:r>
      <w:r w:rsidRPr="000B46A1">
        <w:rPr>
          <w:szCs w:val="24"/>
          <w:lang w:eastAsia="en-US"/>
        </w:rPr>
        <w:tab/>
        <w:t>‘</w:t>
      </w:r>
      <w:proofErr w:type="gramStart"/>
      <w:r w:rsidRPr="000B46A1">
        <w:rPr>
          <w:szCs w:val="24"/>
          <w:lang w:eastAsia="en-US"/>
        </w:rPr>
        <w:t>reference</w:t>
      </w:r>
      <w:proofErr w:type="gramEnd"/>
      <w:r w:rsidRPr="000B46A1">
        <w:rPr>
          <w:szCs w:val="24"/>
          <w:lang w:eastAsia="en-US"/>
        </w:rPr>
        <w:t xml:space="preserve"> period’ means the time interval to which statistics on events refer;</w:t>
      </w:r>
    </w:p>
    <w:p w14:paraId="31562229" w14:textId="77777777" w:rsidR="00F81A5B" w:rsidRPr="000B46A1" w:rsidRDefault="00F81A5B" w:rsidP="00F81A5B">
      <w:pPr>
        <w:spacing w:before="120" w:after="120" w:line="360" w:lineRule="auto"/>
        <w:ind w:left="850" w:hanging="850"/>
        <w:rPr>
          <w:szCs w:val="24"/>
          <w:lang w:eastAsia="en-US"/>
        </w:rPr>
      </w:pPr>
      <w:r w:rsidRPr="000B46A1">
        <w:rPr>
          <w:szCs w:val="24"/>
          <w:lang w:eastAsia="en-US"/>
        </w:rPr>
        <w:t>(30)</w:t>
      </w:r>
      <w:r w:rsidRPr="000B46A1">
        <w:rPr>
          <w:szCs w:val="24"/>
          <w:lang w:eastAsia="en-US"/>
        </w:rPr>
        <w:tab/>
        <w:t>‘</w:t>
      </w:r>
      <w:proofErr w:type="gramStart"/>
      <w:r w:rsidRPr="000B46A1">
        <w:rPr>
          <w:szCs w:val="24"/>
          <w:lang w:eastAsia="en-US"/>
        </w:rPr>
        <w:t>reference</w:t>
      </w:r>
      <w:proofErr w:type="gramEnd"/>
      <w:r w:rsidRPr="000B46A1">
        <w:rPr>
          <w:szCs w:val="24"/>
          <w:lang w:eastAsia="en-US"/>
        </w:rPr>
        <w:t xml:space="preserve"> time’ means either reference date or reference period, depending whether the statistics are on events or on other statistical units;</w:t>
      </w:r>
    </w:p>
    <w:p w14:paraId="50694BB2" w14:textId="77777777" w:rsidR="00F81A5B" w:rsidRPr="000B46A1" w:rsidRDefault="00F81A5B" w:rsidP="00F81A5B">
      <w:pPr>
        <w:spacing w:before="120" w:after="120" w:line="360" w:lineRule="auto"/>
        <w:ind w:left="850" w:hanging="850"/>
        <w:rPr>
          <w:szCs w:val="24"/>
          <w:lang w:eastAsia="en-US"/>
        </w:rPr>
      </w:pPr>
      <w:r w:rsidRPr="000B46A1">
        <w:rPr>
          <w:szCs w:val="24"/>
          <w:lang w:eastAsia="en-US"/>
        </w:rPr>
        <w:t>(31)</w:t>
      </w:r>
      <w:r w:rsidRPr="000B46A1">
        <w:rPr>
          <w:szCs w:val="24"/>
          <w:lang w:eastAsia="en-US"/>
        </w:rPr>
        <w:tab/>
        <w:t>‘</w:t>
      </w:r>
      <w:proofErr w:type="gramStart"/>
      <w:r w:rsidRPr="000B46A1">
        <w:rPr>
          <w:szCs w:val="24"/>
          <w:lang w:eastAsia="en-US"/>
        </w:rPr>
        <w:t>metadata</w:t>
      </w:r>
      <w:proofErr w:type="gramEnd"/>
      <w:r w:rsidRPr="000B46A1">
        <w:rPr>
          <w:szCs w:val="24"/>
          <w:lang w:eastAsia="en-US"/>
        </w:rPr>
        <w:t>’ means information that is needed to use and interpret statistics and that describes data sets in a structured way;</w:t>
      </w:r>
    </w:p>
    <w:p w14:paraId="7289CC78" w14:textId="77777777" w:rsidR="00F81A5B" w:rsidRPr="000B46A1" w:rsidRDefault="00F81A5B" w:rsidP="00F81A5B">
      <w:pPr>
        <w:spacing w:before="120" w:after="120" w:line="360" w:lineRule="auto"/>
        <w:ind w:left="850" w:hanging="850"/>
        <w:rPr>
          <w:szCs w:val="24"/>
          <w:lang w:eastAsia="en-US"/>
        </w:rPr>
      </w:pPr>
      <w:r w:rsidRPr="000B46A1">
        <w:rPr>
          <w:szCs w:val="24"/>
          <w:lang w:eastAsia="en-US"/>
        </w:rPr>
        <w:t>(32)</w:t>
      </w:r>
      <w:r w:rsidRPr="000B46A1">
        <w:rPr>
          <w:szCs w:val="24"/>
          <w:lang w:eastAsia="en-US"/>
        </w:rPr>
        <w:tab/>
        <w:t>‘</w:t>
      </w:r>
      <w:proofErr w:type="gramStart"/>
      <w:r w:rsidRPr="000B46A1">
        <w:rPr>
          <w:szCs w:val="24"/>
          <w:lang w:eastAsia="en-US"/>
        </w:rPr>
        <w:t>pre-checked</w:t>
      </w:r>
      <w:proofErr w:type="gramEnd"/>
      <w:r w:rsidRPr="000B46A1">
        <w:rPr>
          <w:szCs w:val="24"/>
          <w:lang w:eastAsia="en-US"/>
        </w:rPr>
        <w:t xml:space="preserve"> data sets’ means data sets verified by the Member States, based on agreed common validation rules;</w:t>
      </w:r>
    </w:p>
    <w:p w14:paraId="2B760B82" w14:textId="77777777" w:rsidR="00F81A5B" w:rsidRPr="000B46A1" w:rsidRDefault="00F81A5B" w:rsidP="00F81A5B">
      <w:pPr>
        <w:spacing w:before="120" w:after="120" w:line="360" w:lineRule="auto"/>
        <w:ind w:left="850" w:hanging="850"/>
        <w:rPr>
          <w:szCs w:val="24"/>
          <w:lang w:eastAsia="en-US"/>
        </w:rPr>
      </w:pPr>
      <w:r w:rsidRPr="000B46A1">
        <w:rPr>
          <w:szCs w:val="24"/>
          <w:lang w:eastAsia="en-US"/>
        </w:rPr>
        <w:t>(33)</w:t>
      </w:r>
      <w:r w:rsidRPr="000B46A1">
        <w:rPr>
          <w:szCs w:val="24"/>
          <w:lang w:eastAsia="en-US"/>
        </w:rPr>
        <w:tab/>
        <w:t>‘</w:t>
      </w:r>
      <w:proofErr w:type="gramStart"/>
      <w:r w:rsidRPr="000B46A1">
        <w:rPr>
          <w:szCs w:val="24"/>
          <w:lang w:eastAsia="en-US"/>
        </w:rPr>
        <w:t>quality</w:t>
      </w:r>
      <w:proofErr w:type="gramEnd"/>
      <w:r w:rsidRPr="000B46A1">
        <w:rPr>
          <w:szCs w:val="24"/>
          <w:lang w:eastAsia="en-US"/>
        </w:rPr>
        <w:t xml:space="preserve"> report’ means a report conveying information about the quality of a statistical product or process.</w:t>
      </w:r>
    </w:p>
    <w:p w14:paraId="6AA45410" w14:textId="77777777" w:rsidR="00F81A5B" w:rsidRPr="000B46A1" w:rsidRDefault="00F81A5B" w:rsidP="00F81A5B">
      <w:pPr>
        <w:spacing w:before="120" w:after="120" w:line="360" w:lineRule="auto"/>
        <w:jc w:val="center"/>
        <w:rPr>
          <w:szCs w:val="24"/>
          <w:lang w:eastAsia="en-US"/>
        </w:rPr>
      </w:pPr>
      <w:r w:rsidRPr="000B46A1">
        <w:rPr>
          <w:szCs w:val="24"/>
          <w:lang w:eastAsia="en-US"/>
        </w:rPr>
        <w:t>Article 3</w:t>
      </w:r>
      <w:r w:rsidRPr="000B46A1">
        <w:rPr>
          <w:szCs w:val="24"/>
          <w:lang w:eastAsia="en-US"/>
        </w:rPr>
        <w:br/>
        <w:t xml:space="preserve">Population base </w:t>
      </w:r>
    </w:p>
    <w:p w14:paraId="3D39E1D9" w14:textId="4CDA91F6" w:rsidR="00F81A5B" w:rsidRPr="000B46A1" w:rsidRDefault="00F81A5B" w:rsidP="00F81A5B">
      <w:pPr>
        <w:spacing w:before="120" w:after="120" w:line="360" w:lineRule="auto"/>
        <w:ind w:left="850" w:hanging="850"/>
        <w:rPr>
          <w:szCs w:val="24"/>
          <w:lang w:eastAsia="en-US"/>
        </w:rPr>
      </w:pPr>
      <w:r w:rsidRPr="000B46A1">
        <w:rPr>
          <w:szCs w:val="24"/>
          <w:lang w:eastAsia="en-US"/>
        </w:rPr>
        <w:t>1.</w:t>
      </w:r>
      <w:r w:rsidRPr="000B46A1">
        <w:rPr>
          <w:szCs w:val="24"/>
          <w:lang w:eastAsia="en-US"/>
        </w:rPr>
        <w:tab/>
        <w:t>For the purposes of this Regulation, the population base consists of all persons whose usual residence is within the Union in a specified territorial unit of a Member State at national, regional, local or grid level, at the reference date.</w:t>
      </w:r>
    </w:p>
    <w:p w14:paraId="709A1B38" w14:textId="77777777" w:rsidR="00F81A5B" w:rsidRPr="000B46A1" w:rsidRDefault="00F81A5B" w:rsidP="00F81A5B">
      <w:pPr>
        <w:spacing w:before="120" w:after="120" w:line="360" w:lineRule="auto"/>
        <w:ind w:left="850" w:hanging="850"/>
        <w:rPr>
          <w:szCs w:val="24"/>
          <w:lang w:eastAsia="en-US"/>
        </w:rPr>
      </w:pPr>
      <w:r w:rsidRPr="000B46A1">
        <w:rPr>
          <w:szCs w:val="24"/>
          <w:lang w:eastAsia="en-US"/>
        </w:rPr>
        <w:t>2.</w:t>
      </w:r>
      <w:r w:rsidRPr="000B46A1">
        <w:rPr>
          <w:szCs w:val="24"/>
          <w:lang w:eastAsia="en-US"/>
        </w:rPr>
        <w:tab/>
        <w:t>The population base shall include all usually resident persons, regardless of citizenship or whether the person is or was formerly stateless ▌.</w:t>
      </w:r>
    </w:p>
    <w:p w14:paraId="631327EE" w14:textId="77777777" w:rsidR="00F81A5B" w:rsidRPr="000B46A1" w:rsidRDefault="00F81A5B" w:rsidP="00F81A5B">
      <w:pPr>
        <w:spacing w:before="120" w:after="120" w:line="360" w:lineRule="auto"/>
        <w:ind w:left="850" w:hanging="850"/>
        <w:rPr>
          <w:szCs w:val="24"/>
          <w:lang w:eastAsia="en-US"/>
        </w:rPr>
      </w:pPr>
      <w:r w:rsidRPr="000B46A1">
        <w:rPr>
          <w:szCs w:val="24"/>
          <w:lang w:eastAsia="en-US"/>
        </w:rPr>
        <w:t>3.</w:t>
      </w:r>
      <w:r w:rsidRPr="000B46A1">
        <w:rPr>
          <w:szCs w:val="24"/>
          <w:lang w:eastAsia="en-US"/>
        </w:rPr>
        <w:tab/>
        <w:t>The population base shall exclude persons whose usual residence is outside the territory of the Member State regardless of place of birth or citizenship, and regardless of any family, social, economic or property links that the person may have with the Member State.</w:t>
      </w:r>
    </w:p>
    <w:p w14:paraId="70EFC793" w14:textId="77777777" w:rsidR="00F81A5B" w:rsidRPr="000B46A1" w:rsidRDefault="00F81A5B" w:rsidP="00F81A5B">
      <w:pPr>
        <w:spacing w:before="120" w:after="120" w:line="360" w:lineRule="auto"/>
        <w:ind w:left="850" w:hanging="850"/>
        <w:rPr>
          <w:szCs w:val="24"/>
          <w:lang w:eastAsia="en-US"/>
        </w:rPr>
      </w:pPr>
      <w:r w:rsidRPr="000B46A1">
        <w:rPr>
          <w:szCs w:val="24"/>
          <w:lang w:eastAsia="en-US"/>
        </w:rPr>
        <w:t>4.</w:t>
      </w:r>
      <w:r w:rsidRPr="000B46A1">
        <w:rPr>
          <w:szCs w:val="24"/>
          <w:lang w:eastAsia="en-US"/>
        </w:rPr>
        <w:tab/>
        <w:t>Persons who have no usual residence shall be attributed, as a place of usual residence, the place at which they are located at the reference date.</w:t>
      </w:r>
    </w:p>
    <w:p w14:paraId="39C844BE" w14:textId="77777777" w:rsidR="00F81A5B" w:rsidRPr="000B46A1" w:rsidRDefault="00F81A5B" w:rsidP="00F81A5B">
      <w:pPr>
        <w:spacing w:before="120" w:after="120" w:line="360" w:lineRule="auto"/>
        <w:ind w:left="850" w:hanging="850"/>
        <w:rPr>
          <w:szCs w:val="24"/>
          <w:lang w:eastAsia="en-US"/>
        </w:rPr>
      </w:pPr>
      <w:r w:rsidRPr="000B46A1">
        <w:rPr>
          <w:szCs w:val="24"/>
          <w:lang w:eastAsia="en-US"/>
        </w:rPr>
        <w:t>5.</w:t>
      </w:r>
      <w:r w:rsidRPr="000B46A1">
        <w:rPr>
          <w:szCs w:val="24"/>
          <w:lang w:eastAsia="en-US"/>
        </w:rPr>
        <w:tab/>
        <w:t>Member States shall apply the definition of usual residence provided for in this Regulation to all data sets provided to the Commission (Eurostat) under this Regulation and for national, regional, local and grid level.</w:t>
      </w:r>
    </w:p>
    <w:p w14:paraId="53020E0E" w14:textId="77777777" w:rsidR="00F81A5B" w:rsidRPr="000B46A1" w:rsidRDefault="00F81A5B" w:rsidP="00F81A5B">
      <w:pPr>
        <w:spacing w:before="120" w:after="120" w:line="360" w:lineRule="auto"/>
        <w:ind w:left="850" w:hanging="850"/>
        <w:rPr>
          <w:szCs w:val="24"/>
          <w:lang w:eastAsia="en-US"/>
        </w:rPr>
      </w:pPr>
      <w:r w:rsidRPr="000B46A1">
        <w:rPr>
          <w:szCs w:val="24"/>
          <w:lang w:eastAsia="en-US"/>
        </w:rPr>
        <w:t>6.</w:t>
      </w:r>
      <w:r w:rsidRPr="000B46A1">
        <w:rPr>
          <w:szCs w:val="24"/>
          <w:lang w:eastAsia="en-US"/>
        </w:rPr>
        <w:tab/>
        <w:t>When applying the definition of usual residence, Member States shall use:</w:t>
      </w:r>
    </w:p>
    <w:p w14:paraId="10E2118B" w14:textId="77777777" w:rsidR="00F81A5B" w:rsidRPr="000B46A1" w:rsidRDefault="00F81A5B" w:rsidP="00F81A5B">
      <w:pPr>
        <w:spacing w:before="120" w:after="120" w:line="360" w:lineRule="auto"/>
        <w:ind w:left="1416" w:hanging="566"/>
        <w:rPr>
          <w:szCs w:val="24"/>
          <w:lang w:eastAsia="en-US"/>
        </w:rPr>
      </w:pPr>
      <w:r w:rsidRPr="000B46A1">
        <w:rPr>
          <w:szCs w:val="24"/>
          <w:lang w:eastAsia="en-US"/>
        </w:rPr>
        <w:t>(a)</w:t>
      </w:r>
      <w:r w:rsidRPr="000B46A1">
        <w:rPr>
          <w:szCs w:val="24"/>
          <w:lang w:eastAsia="en-US"/>
        </w:rPr>
        <w:tab/>
      </w:r>
      <w:proofErr w:type="gramStart"/>
      <w:r w:rsidRPr="000B46A1">
        <w:rPr>
          <w:szCs w:val="24"/>
          <w:lang w:eastAsia="en-US"/>
        </w:rPr>
        <w:t>one</w:t>
      </w:r>
      <w:proofErr w:type="gramEnd"/>
      <w:r w:rsidRPr="000B46A1">
        <w:rPr>
          <w:szCs w:val="24"/>
          <w:lang w:eastAsia="en-US"/>
        </w:rPr>
        <w:t xml:space="preserve"> or a combination of the data sources referred to in Article 9(1);</w:t>
      </w:r>
    </w:p>
    <w:p w14:paraId="4BC7CEE6" w14:textId="77777777" w:rsidR="00F81A5B" w:rsidRPr="000B46A1" w:rsidRDefault="00F81A5B" w:rsidP="00F81A5B">
      <w:pPr>
        <w:spacing w:before="120" w:after="120" w:line="360" w:lineRule="auto"/>
        <w:ind w:left="1416" w:hanging="566"/>
        <w:rPr>
          <w:szCs w:val="24"/>
          <w:lang w:eastAsia="en-US"/>
        </w:rPr>
      </w:pPr>
      <w:r w:rsidRPr="000B46A1">
        <w:rPr>
          <w:szCs w:val="24"/>
          <w:lang w:eastAsia="en-US"/>
        </w:rPr>
        <w:lastRenderedPageBreak/>
        <w:t>(b)</w:t>
      </w:r>
      <w:r w:rsidRPr="000B46A1">
        <w:rPr>
          <w:szCs w:val="24"/>
          <w:lang w:eastAsia="en-US"/>
        </w:rPr>
        <w:tab/>
        <w:t xml:space="preserve">estimation methods such as ‘signs of life’ </w:t>
      </w:r>
      <w:r w:rsidRPr="000B46A1">
        <w:rPr>
          <w:b/>
          <w:i/>
          <w:szCs w:val="24"/>
          <w:lang w:eastAsia="en-US"/>
        </w:rPr>
        <w:t xml:space="preserve">as well as other scientifically based, well-documented and publicly available statistical estimation methods </w:t>
      </w:r>
      <w:r w:rsidRPr="000B46A1">
        <w:rPr>
          <w:szCs w:val="24"/>
          <w:lang w:eastAsia="en-US"/>
        </w:rPr>
        <w:t>to correct for actual presence at the presumed place of usual residence during most of the time in the 12 months ending with the reference date, and ▌ to estimate the number of persons who intend or are expected to stay during most of the time in the 12 months after arrival.</w:t>
      </w:r>
    </w:p>
    <w:p w14:paraId="4B591962" w14:textId="77777777" w:rsidR="00F81A5B" w:rsidRPr="000B46A1" w:rsidRDefault="00F81A5B" w:rsidP="00F81A5B">
      <w:pPr>
        <w:spacing w:before="120" w:after="120" w:line="360" w:lineRule="auto"/>
        <w:ind w:left="850" w:hanging="850"/>
        <w:rPr>
          <w:szCs w:val="24"/>
          <w:lang w:eastAsia="en-US"/>
        </w:rPr>
      </w:pPr>
      <w:r w:rsidRPr="000B46A1">
        <w:rPr>
          <w:b/>
          <w:i/>
          <w:szCs w:val="24"/>
          <w:lang w:eastAsia="en-US"/>
        </w:rPr>
        <w:t>6a.</w:t>
      </w:r>
      <w:r w:rsidRPr="000B46A1">
        <w:rPr>
          <w:szCs w:val="24"/>
          <w:lang w:eastAsia="en-US"/>
        </w:rPr>
        <w:tab/>
      </w:r>
      <w:r w:rsidRPr="000B46A1">
        <w:rPr>
          <w:b/>
          <w:i/>
          <w:szCs w:val="24"/>
          <w:lang w:eastAsia="en-US"/>
        </w:rPr>
        <w:t>For the purpose of qualified majority voting in the Council, the Commission shall inform the Council of the total population of Member States at the end of each reference year as available at the Commission (Eurostat) on 31 August of the calendar year following the reference year.</w:t>
      </w:r>
    </w:p>
    <w:p w14:paraId="342F978C" w14:textId="77777777" w:rsidR="00F81A5B" w:rsidRPr="000B46A1" w:rsidRDefault="00F81A5B" w:rsidP="00F81A5B">
      <w:pPr>
        <w:spacing w:before="120" w:after="120" w:line="360" w:lineRule="auto"/>
        <w:jc w:val="center"/>
        <w:rPr>
          <w:szCs w:val="24"/>
          <w:lang w:eastAsia="en-US"/>
        </w:rPr>
      </w:pPr>
      <w:r w:rsidRPr="000B46A1">
        <w:rPr>
          <w:szCs w:val="24"/>
          <w:lang w:eastAsia="en-US"/>
        </w:rPr>
        <w:t>Article 4</w:t>
      </w:r>
      <w:r w:rsidRPr="000B46A1">
        <w:rPr>
          <w:szCs w:val="24"/>
          <w:lang w:eastAsia="en-US"/>
        </w:rPr>
        <w:br/>
        <w:t>Statistical units</w:t>
      </w:r>
    </w:p>
    <w:p w14:paraId="20D5B29F" w14:textId="77777777" w:rsidR="00F81A5B" w:rsidRPr="000B46A1" w:rsidRDefault="00F81A5B" w:rsidP="00F81A5B">
      <w:pPr>
        <w:spacing w:before="120" w:after="120" w:line="360" w:lineRule="auto"/>
        <w:rPr>
          <w:szCs w:val="24"/>
          <w:lang w:eastAsia="en-US"/>
        </w:rPr>
      </w:pPr>
      <w:r w:rsidRPr="000B46A1">
        <w:rPr>
          <w:szCs w:val="24"/>
          <w:lang w:eastAsia="en-US"/>
        </w:rPr>
        <w:t>Statistics under this Regulation shall be compiled for the following statistical units:</w:t>
      </w:r>
    </w:p>
    <w:p w14:paraId="413252A8" w14:textId="77777777" w:rsidR="00F81A5B" w:rsidRPr="000B46A1" w:rsidRDefault="00F81A5B" w:rsidP="00F81A5B">
      <w:pPr>
        <w:spacing w:before="120" w:after="120" w:line="360" w:lineRule="auto"/>
        <w:ind w:left="850" w:hanging="850"/>
        <w:rPr>
          <w:szCs w:val="24"/>
          <w:lang w:eastAsia="en-US"/>
        </w:rPr>
      </w:pPr>
      <w:r w:rsidRPr="000B46A1">
        <w:rPr>
          <w:szCs w:val="24"/>
          <w:lang w:eastAsia="en-US"/>
        </w:rPr>
        <w:t>(a)</w:t>
      </w:r>
      <w:r w:rsidRPr="000B46A1">
        <w:rPr>
          <w:szCs w:val="24"/>
          <w:lang w:eastAsia="en-US"/>
        </w:rPr>
        <w:tab/>
      </w:r>
      <w:proofErr w:type="gramStart"/>
      <w:r w:rsidRPr="000B46A1">
        <w:rPr>
          <w:szCs w:val="24"/>
          <w:lang w:eastAsia="en-US"/>
        </w:rPr>
        <w:t>persons</w:t>
      </w:r>
      <w:proofErr w:type="gramEnd"/>
      <w:r w:rsidRPr="000B46A1">
        <w:rPr>
          <w:szCs w:val="24"/>
          <w:lang w:eastAsia="en-US"/>
        </w:rPr>
        <w:t>;</w:t>
      </w:r>
    </w:p>
    <w:p w14:paraId="4299C927" w14:textId="77777777" w:rsidR="00F81A5B" w:rsidRPr="000B46A1" w:rsidRDefault="00F81A5B" w:rsidP="00F81A5B">
      <w:pPr>
        <w:spacing w:before="120" w:after="120" w:line="360" w:lineRule="auto"/>
        <w:ind w:left="850" w:hanging="850"/>
        <w:rPr>
          <w:szCs w:val="24"/>
          <w:lang w:eastAsia="en-US"/>
        </w:rPr>
      </w:pPr>
      <w:r w:rsidRPr="000B46A1">
        <w:rPr>
          <w:szCs w:val="24"/>
          <w:lang w:eastAsia="en-US"/>
        </w:rPr>
        <w:t>(b)</w:t>
      </w:r>
      <w:r w:rsidRPr="000B46A1">
        <w:rPr>
          <w:szCs w:val="24"/>
          <w:lang w:eastAsia="en-US"/>
        </w:rPr>
        <w:tab/>
      </w:r>
      <w:proofErr w:type="gramStart"/>
      <w:r w:rsidRPr="000B46A1">
        <w:rPr>
          <w:szCs w:val="24"/>
          <w:lang w:eastAsia="en-US"/>
        </w:rPr>
        <w:t>vital</w:t>
      </w:r>
      <w:proofErr w:type="gramEnd"/>
      <w:r w:rsidRPr="000B46A1">
        <w:rPr>
          <w:szCs w:val="24"/>
          <w:lang w:eastAsia="en-US"/>
        </w:rPr>
        <w:t xml:space="preserve"> events;</w:t>
      </w:r>
    </w:p>
    <w:p w14:paraId="20C6BA02" w14:textId="77777777" w:rsidR="00F81A5B" w:rsidRPr="000B46A1" w:rsidRDefault="00F81A5B" w:rsidP="00F81A5B">
      <w:pPr>
        <w:spacing w:before="120" w:after="120" w:line="360" w:lineRule="auto"/>
        <w:ind w:left="850" w:hanging="850"/>
        <w:rPr>
          <w:szCs w:val="24"/>
          <w:lang w:eastAsia="en-US"/>
        </w:rPr>
      </w:pPr>
      <w:r w:rsidRPr="000B46A1">
        <w:rPr>
          <w:szCs w:val="24"/>
          <w:lang w:eastAsia="en-US"/>
        </w:rPr>
        <w:t>(c)</w:t>
      </w:r>
      <w:r w:rsidRPr="000B46A1">
        <w:rPr>
          <w:szCs w:val="24"/>
          <w:lang w:eastAsia="en-US"/>
        </w:rPr>
        <w:tab/>
      </w:r>
      <w:proofErr w:type="gramStart"/>
      <w:r w:rsidRPr="000B46A1">
        <w:rPr>
          <w:szCs w:val="24"/>
          <w:lang w:eastAsia="en-US"/>
        </w:rPr>
        <w:t>families</w:t>
      </w:r>
      <w:proofErr w:type="gramEnd"/>
      <w:r w:rsidRPr="000B46A1">
        <w:rPr>
          <w:szCs w:val="24"/>
          <w:lang w:eastAsia="en-US"/>
        </w:rPr>
        <w:t>;</w:t>
      </w:r>
    </w:p>
    <w:p w14:paraId="02DA943B" w14:textId="77777777" w:rsidR="00F81A5B" w:rsidRPr="000B46A1" w:rsidRDefault="00F81A5B" w:rsidP="00F81A5B">
      <w:pPr>
        <w:spacing w:before="120" w:after="120" w:line="360" w:lineRule="auto"/>
        <w:ind w:left="850" w:hanging="850"/>
        <w:rPr>
          <w:szCs w:val="24"/>
          <w:lang w:eastAsia="en-US"/>
        </w:rPr>
      </w:pPr>
      <w:r w:rsidRPr="000B46A1">
        <w:rPr>
          <w:szCs w:val="24"/>
          <w:lang w:eastAsia="en-US"/>
        </w:rPr>
        <w:t>(d)</w:t>
      </w:r>
      <w:r w:rsidRPr="000B46A1">
        <w:rPr>
          <w:szCs w:val="24"/>
          <w:lang w:eastAsia="en-US"/>
        </w:rPr>
        <w:tab/>
      </w:r>
      <w:proofErr w:type="gramStart"/>
      <w:r w:rsidRPr="000B46A1">
        <w:rPr>
          <w:szCs w:val="24"/>
          <w:lang w:eastAsia="en-US"/>
        </w:rPr>
        <w:t>households</w:t>
      </w:r>
      <w:proofErr w:type="gramEnd"/>
      <w:r w:rsidRPr="000B46A1">
        <w:rPr>
          <w:szCs w:val="24"/>
          <w:lang w:eastAsia="en-US"/>
        </w:rPr>
        <w:t>;</w:t>
      </w:r>
    </w:p>
    <w:p w14:paraId="16754313" w14:textId="77777777" w:rsidR="00F81A5B" w:rsidRPr="000B46A1" w:rsidRDefault="00F81A5B" w:rsidP="00F81A5B">
      <w:pPr>
        <w:spacing w:before="120" w:after="120" w:line="360" w:lineRule="auto"/>
        <w:ind w:left="850" w:hanging="850"/>
        <w:rPr>
          <w:szCs w:val="24"/>
          <w:lang w:eastAsia="en-US"/>
        </w:rPr>
      </w:pPr>
      <w:r w:rsidRPr="000B46A1">
        <w:rPr>
          <w:szCs w:val="24"/>
          <w:lang w:eastAsia="en-US"/>
        </w:rPr>
        <w:t>(e)</w:t>
      </w:r>
      <w:r w:rsidRPr="000B46A1">
        <w:rPr>
          <w:szCs w:val="24"/>
          <w:lang w:eastAsia="en-US"/>
        </w:rPr>
        <w:tab/>
      </w:r>
      <w:proofErr w:type="gramStart"/>
      <w:r w:rsidRPr="000B46A1">
        <w:rPr>
          <w:szCs w:val="24"/>
          <w:lang w:eastAsia="en-US"/>
        </w:rPr>
        <w:t>buildings</w:t>
      </w:r>
      <w:proofErr w:type="gramEnd"/>
      <w:r w:rsidRPr="000B46A1">
        <w:rPr>
          <w:szCs w:val="24"/>
          <w:lang w:eastAsia="en-US"/>
        </w:rPr>
        <w:t xml:space="preserve"> intended for habitation, living quarters </w:t>
      </w:r>
      <w:r w:rsidRPr="000B46A1">
        <w:rPr>
          <w:b/>
          <w:i/>
          <w:szCs w:val="24"/>
          <w:lang w:eastAsia="en-US"/>
        </w:rPr>
        <w:t xml:space="preserve">including institutions, </w:t>
      </w:r>
      <w:r w:rsidRPr="000B46A1">
        <w:rPr>
          <w:szCs w:val="24"/>
          <w:lang w:eastAsia="en-US"/>
        </w:rPr>
        <w:t>and conventional dwellings.</w:t>
      </w:r>
    </w:p>
    <w:p w14:paraId="2B9AE6C1" w14:textId="77777777" w:rsidR="00F81A5B" w:rsidRPr="000B46A1" w:rsidRDefault="00F81A5B" w:rsidP="00F81A5B">
      <w:pPr>
        <w:spacing w:before="120" w:after="120" w:line="360" w:lineRule="auto"/>
        <w:jc w:val="center"/>
        <w:rPr>
          <w:szCs w:val="24"/>
          <w:lang w:eastAsia="en-US"/>
        </w:rPr>
      </w:pPr>
      <w:r w:rsidRPr="000B46A1">
        <w:rPr>
          <w:szCs w:val="24"/>
          <w:lang w:eastAsia="en-US"/>
        </w:rPr>
        <w:t>Article 5</w:t>
      </w:r>
      <w:r w:rsidRPr="000B46A1">
        <w:rPr>
          <w:szCs w:val="24"/>
          <w:lang w:eastAsia="en-US"/>
        </w:rPr>
        <w:br/>
        <w:t>Statistics requirements</w:t>
      </w:r>
    </w:p>
    <w:p w14:paraId="70934317" w14:textId="77777777" w:rsidR="00F81A5B" w:rsidRPr="000B46A1" w:rsidRDefault="00F81A5B" w:rsidP="00F81A5B">
      <w:pPr>
        <w:spacing w:before="120" w:after="120" w:line="360" w:lineRule="auto"/>
        <w:ind w:left="850" w:hanging="850"/>
        <w:rPr>
          <w:szCs w:val="24"/>
          <w:lang w:eastAsia="en-US"/>
        </w:rPr>
      </w:pPr>
      <w:r w:rsidRPr="000B46A1">
        <w:rPr>
          <w:szCs w:val="24"/>
          <w:lang w:eastAsia="en-US"/>
        </w:rPr>
        <w:t>1.</w:t>
      </w:r>
      <w:r w:rsidRPr="000B46A1">
        <w:rPr>
          <w:szCs w:val="24"/>
          <w:lang w:eastAsia="en-US"/>
        </w:rPr>
        <w:tab/>
        <w:t>European statistics on population and housing shall cover the following domains:</w:t>
      </w:r>
    </w:p>
    <w:p w14:paraId="5C81C669" w14:textId="77777777" w:rsidR="00F81A5B" w:rsidRPr="000B46A1" w:rsidRDefault="00F81A5B" w:rsidP="00F81A5B">
      <w:pPr>
        <w:spacing w:before="120" w:after="120" w:line="360" w:lineRule="auto"/>
        <w:ind w:left="1416" w:hanging="566"/>
        <w:rPr>
          <w:szCs w:val="24"/>
          <w:lang w:eastAsia="en-US"/>
        </w:rPr>
      </w:pPr>
      <w:r w:rsidRPr="000B46A1">
        <w:rPr>
          <w:szCs w:val="24"/>
          <w:lang w:eastAsia="en-US"/>
        </w:rPr>
        <w:t>(a)</w:t>
      </w:r>
      <w:r w:rsidRPr="000B46A1">
        <w:rPr>
          <w:szCs w:val="24"/>
          <w:lang w:eastAsia="en-US"/>
        </w:rPr>
        <w:tab/>
      </w:r>
      <w:proofErr w:type="gramStart"/>
      <w:r w:rsidRPr="000B46A1">
        <w:rPr>
          <w:szCs w:val="24"/>
          <w:lang w:eastAsia="en-US"/>
        </w:rPr>
        <w:t>demography</w:t>
      </w:r>
      <w:proofErr w:type="gramEnd"/>
      <w:r w:rsidRPr="000B46A1">
        <w:rPr>
          <w:szCs w:val="24"/>
          <w:lang w:eastAsia="en-US"/>
        </w:rPr>
        <w:t>;</w:t>
      </w:r>
    </w:p>
    <w:p w14:paraId="79A58A20" w14:textId="77777777" w:rsidR="00F81A5B" w:rsidRPr="000B46A1" w:rsidRDefault="00F81A5B" w:rsidP="00F81A5B">
      <w:pPr>
        <w:spacing w:before="120" w:after="120" w:line="360" w:lineRule="auto"/>
        <w:ind w:left="1416" w:hanging="566"/>
        <w:rPr>
          <w:szCs w:val="24"/>
          <w:lang w:eastAsia="en-US"/>
        </w:rPr>
      </w:pPr>
      <w:r w:rsidRPr="000B46A1">
        <w:rPr>
          <w:szCs w:val="24"/>
          <w:lang w:eastAsia="en-US"/>
        </w:rPr>
        <w:t>(b)</w:t>
      </w:r>
      <w:r w:rsidRPr="000B46A1">
        <w:rPr>
          <w:szCs w:val="24"/>
          <w:lang w:eastAsia="en-US"/>
        </w:rPr>
        <w:tab/>
      </w:r>
      <w:proofErr w:type="gramStart"/>
      <w:r w:rsidRPr="000B46A1">
        <w:rPr>
          <w:szCs w:val="24"/>
          <w:lang w:eastAsia="en-US"/>
        </w:rPr>
        <w:t>housing</w:t>
      </w:r>
      <w:proofErr w:type="gramEnd"/>
      <w:r w:rsidRPr="000B46A1">
        <w:rPr>
          <w:szCs w:val="24"/>
          <w:lang w:eastAsia="en-US"/>
        </w:rPr>
        <w:t>;</w:t>
      </w:r>
    </w:p>
    <w:p w14:paraId="5EB0E19D" w14:textId="77777777" w:rsidR="00F81A5B" w:rsidRPr="000B46A1" w:rsidRDefault="00F81A5B" w:rsidP="00F81A5B">
      <w:pPr>
        <w:spacing w:before="120" w:after="120" w:line="360" w:lineRule="auto"/>
        <w:ind w:left="1416" w:hanging="566"/>
        <w:rPr>
          <w:szCs w:val="24"/>
          <w:lang w:eastAsia="en-US"/>
        </w:rPr>
      </w:pPr>
      <w:r w:rsidRPr="000B46A1">
        <w:rPr>
          <w:szCs w:val="24"/>
          <w:lang w:eastAsia="en-US"/>
        </w:rPr>
        <w:t>(c)</w:t>
      </w:r>
      <w:r w:rsidRPr="000B46A1">
        <w:rPr>
          <w:szCs w:val="24"/>
          <w:lang w:eastAsia="en-US"/>
        </w:rPr>
        <w:tab/>
      </w:r>
      <w:proofErr w:type="gramStart"/>
      <w:r w:rsidRPr="000B46A1">
        <w:rPr>
          <w:szCs w:val="24"/>
          <w:lang w:eastAsia="en-US"/>
        </w:rPr>
        <w:t>families</w:t>
      </w:r>
      <w:proofErr w:type="gramEnd"/>
      <w:r w:rsidRPr="000B46A1">
        <w:rPr>
          <w:szCs w:val="24"/>
          <w:lang w:eastAsia="en-US"/>
        </w:rPr>
        <w:t xml:space="preserve"> and households.</w:t>
      </w:r>
    </w:p>
    <w:p w14:paraId="42CC24C5" w14:textId="77777777" w:rsidR="00F81A5B" w:rsidRPr="000B46A1" w:rsidRDefault="00F81A5B" w:rsidP="00F81A5B">
      <w:pPr>
        <w:spacing w:before="120" w:after="120" w:line="360" w:lineRule="auto"/>
        <w:ind w:left="850" w:hanging="850"/>
        <w:rPr>
          <w:szCs w:val="24"/>
          <w:lang w:eastAsia="en-US"/>
        </w:rPr>
      </w:pPr>
      <w:r w:rsidRPr="000B46A1">
        <w:rPr>
          <w:szCs w:val="24"/>
          <w:lang w:eastAsia="en-US"/>
        </w:rPr>
        <w:t>2.</w:t>
      </w:r>
      <w:r w:rsidRPr="000B46A1">
        <w:rPr>
          <w:szCs w:val="24"/>
          <w:lang w:eastAsia="en-US"/>
        </w:rPr>
        <w:tab/>
        <w:t>Statistics in the domains listed in paragraph 1 of this Article shall be organised into data sets following the topics and detailed topics as set out in the Annex.</w:t>
      </w:r>
      <w:r w:rsidRPr="000B46A1">
        <w:rPr>
          <w:b/>
          <w:i/>
          <w:szCs w:val="24"/>
          <w:lang w:eastAsia="en-US"/>
        </w:rPr>
        <w:t xml:space="preserve"> Where the statistical unit is a person, the data sets shall be disaggregated by sex and age, and where relevant by other characteristics.</w:t>
      </w:r>
    </w:p>
    <w:p w14:paraId="2CAB6026" w14:textId="77777777" w:rsidR="00F81A5B" w:rsidRPr="000B46A1" w:rsidRDefault="00F81A5B" w:rsidP="00F81A5B">
      <w:pPr>
        <w:spacing w:before="120" w:after="120" w:line="360" w:lineRule="auto"/>
        <w:ind w:left="850" w:hanging="850"/>
        <w:rPr>
          <w:szCs w:val="24"/>
          <w:lang w:eastAsia="en-US"/>
        </w:rPr>
      </w:pPr>
      <w:r w:rsidRPr="000B46A1">
        <w:rPr>
          <w:szCs w:val="24"/>
          <w:lang w:eastAsia="en-US"/>
        </w:rPr>
        <w:lastRenderedPageBreak/>
        <w:t>3.</w:t>
      </w:r>
      <w:r w:rsidRPr="000B46A1">
        <w:rPr>
          <w:szCs w:val="24"/>
          <w:lang w:eastAsia="en-US"/>
        </w:rPr>
        <w:tab/>
        <w:t>The Commission is empowered to adopt delegated acts in accordance with Article 17 to amend the list of the detailed topics in the Annex. Such delegated acts shall be adopted at least 12 months before the beginning of the relevant reference time.</w:t>
      </w:r>
    </w:p>
    <w:p w14:paraId="45946FB1" w14:textId="77777777" w:rsidR="00F81A5B" w:rsidRPr="000B46A1" w:rsidRDefault="00F81A5B" w:rsidP="00F81A5B">
      <w:pPr>
        <w:spacing w:before="120" w:after="120" w:line="360" w:lineRule="auto"/>
        <w:ind w:left="850" w:hanging="850"/>
        <w:rPr>
          <w:szCs w:val="24"/>
          <w:lang w:eastAsia="en-US"/>
        </w:rPr>
      </w:pPr>
      <w:r w:rsidRPr="000B46A1">
        <w:rPr>
          <w:szCs w:val="24"/>
          <w:lang w:eastAsia="en-US"/>
        </w:rPr>
        <w:t>4.</w:t>
      </w:r>
      <w:r w:rsidRPr="000B46A1">
        <w:rPr>
          <w:szCs w:val="24"/>
          <w:lang w:eastAsia="en-US"/>
        </w:rPr>
        <w:tab/>
        <w:t>When exercising the power to adopt delegated acts pursuant to paragraph 3 of this Article, the Commission shall ensure that those acts do not impose significant and disproportionate burden on the Member States and survey respondents. Any new detailed topic shall be assessed with respect to its feasibility by means of pilot studies carried out by the Commission (Eurostat) and the Member States in accordance with Article 14.</w:t>
      </w:r>
    </w:p>
    <w:p w14:paraId="6A8DA3A1" w14:textId="77777777" w:rsidR="00F81A5B" w:rsidRPr="000B46A1" w:rsidRDefault="00F81A5B" w:rsidP="00F81A5B">
      <w:pPr>
        <w:spacing w:before="120" w:after="120" w:line="360" w:lineRule="auto"/>
        <w:ind w:left="850" w:hanging="850"/>
        <w:rPr>
          <w:szCs w:val="24"/>
          <w:lang w:eastAsia="en-US"/>
        </w:rPr>
      </w:pPr>
      <w:r w:rsidRPr="000B46A1">
        <w:rPr>
          <w:szCs w:val="24"/>
          <w:lang w:eastAsia="en-US"/>
        </w:rPr>
        <w:t>5.</w:t>
      </w:r>
      <w:r w:rsidRPr="000B46A1">
        <w:rPr>
          <w:szCs w:val="24"/>
          <w:lang w:eastAsia="en-US"/>
        </w:rPr>
        <w:tab/>
        <w:t>The Commission shall adopt implementing acts to specify the technical properties of the data sets and metadata to be provided to the Commission (Eurostat). Those implementing acts shall specify the following technical elements, where appropriate:</w:t>
      </w:r>
    </w:p>
    <w:p w14:paraId="56CB3885" w14:textId="77777777" w:rsidR="00F81A5B" w:rsidRPr="000B46A1" w:rsidRDefault="00F81A5B" w:rsidP="00F81A5B">
      <w:pPr>
        <w:spacing w:before="120" w:after="120" w:line="360" w:lineRule="auto"/>
        <w:ind w:left="1416" w:hanging="566"/>
        <w:rPr>
          <w:szCs w:val="24"/>
          <w:lang w:eastAsia="en-US"/>
        </w:rPr>
      </w:pPr>
      <w:r w:rsidRPr="000B46A1">
        <w:rPr>
          <w:szCs w:val="24"/>
          <w:lang w:eastAsia="en-US"/>
        </w:rPr>
        <w:t>(a)</w:t>
      </w:r>
      <w:r w:rsidRPr="000B46A1">
        <w:rPr>
          <w:szCs w:val="24"/>
          <w:lang w:eastAsia="en-US"/>
        </w:rPr>
        <w:tab/>
      </w:r>
      <w:proofErr w:type="gramStart"/>
      <w:r w:rsidRPr="000B46A1">
        <w:rPr>
          <w:szCs w:val="24"/>
          <w:lang w:eastAsia="en-US"/>
        </w:rPr>
        <w:t>titles</w:t>
      </w:r>
      <w:proofErr w:type="gramEnd"/>
      <w:r w:rsidRPr="000B46A1">
        <w:rPr>
          <w:szCs w:val="24"/>
          <w:lang w:eastAsia="en-US"/>
        </w:rPr>
        <w:t xml:space="preserve"> of variables, their technical specifications and breakdowns;</w:t>
      </w:r>
    </w:p>
    <w:p w14:paraId="4D4428C6" w14:textId="77777777" w:rsidR="00F81A5B" w:rsidRPr="000B46A1" w:rsidRDefault="00F81A5B" w:rsidP="00F81A5B">
      <w:pPr>
        <w:spacing w:before="120" w:after="120" w:line="360" w:lineRule="auto"/>
        <w:ind w:left="1416" w:hanging="566"/>
        <w:rPr>
          <w:szCs w:val="24"/>
          <w:lang w:eastAsia="en-US"/>
        </w:rPr>
      </w:pPr>
      <w:r w:rsidRPr="000B46A1">
        <w:rPr>
          <w:szCs w:val="24"/>
          <w:lang w:eastAsia="en-US"/>
        </w:rPr>
        <w:t>(</w:t>
      </w:r>
      <w:proofErr w:type="gramStart"/>
      <w:r w:rsidRPr="000B46A1">
        <w:rPr>
          <w:szCs w:val="24"/>
          <w:lang w:eastAsia="en-US"/>
        </w:rPr>
        <w:t>b</w:t>
      </w:r>
      <w:proofErr w:type="gramEnd"/>
      <w:r w:rsidRPr="000B46A1">
        <w:rPr>
          <w:szCs w:val="24"/>
          <w:lang w:eastAsia="en-US"/>
        </w:rPr>
        <w:t>)</w:t>
      </w:r>
      <w:r w:rsidRPr="000B46A1">
        <w:rPr>
          <w:szCs w:val="24"/>
          <w:lang w:eastAsia="en-US"/>
        </w:rPr>
        <w:tab/>
        <w:t>detailed specifications of the statistical units and metadata;</w:t>
      </w:r>
    </w:p>
    <w:p w14:paraId="4ADD0155" w14:textId="77777777" w:rsidR="00F81A5B" w:rsidRPr="000B46A1" w:rsidRDefault="00F81A5B" w:rsidP="00F81A5B">
      <w:pPr>
        <w:spacing w:before="120" w:after="120" w:line="360" w:lineRule="auto"/>
        <w:ind w:left="1416" w:hanging="566"/>
        <w:rPr>
          <w:szCs w:val="24"/>
          <w:lang w:eastAsia="en-US"/>
        </w:rPr>
      </w:pPr>
      <w:r w:rsidRPr="000B46A1">
        <w:rPr>
          <w:szCs w:val="24"/>
          <w:lang w:eastAsia="en-US"/>
        </w:rPr>
        <w:t>(c)</w:t>
      </w:r>
      <w:r w:rsidRPr="000B46A1">
        <w:rPr>
          <w:szCs w:val="24"/>
          <w:lang w:eastAsia="en-US"/>
        </w:rPr>
        <w:tab/>
      </w:r>
      <w:proofErr w:type="gramStart"/>
      <w:r w:rsidRPr="000B46A1">
        <w:rPr>
          <w:szCs w:val="24"/>
          <w:lang w:eastAsia="en-US"/>
        </w:rPr>
        <w:t>statistical</w:t>
      </w:r>
      <w:proofErr w:type="gramEnd"/>
      <w:r w:rsidRPr="000B46A1">
        <w:rPr>
          <w:szCs w:val="24"/>
          <w:lang w:eastAsia="en-US"/>
        </w:rPr>
        <w:t xml:space="preserve"> classifications to be used;</w:t>
      </w:r>
    </w:p>
    <w:p w14:paraId="1B88E5B5" w14:textId="77777777" w:rsidR="00F81A5B" w:rsidRPr="000B46A1" w:rsidRDefault="00F81A5B" w:rsidP="00F81A5B">
      <w:pPr>
        <w:spacing w:before="120" w:after="120" w:line="360" w:lineRule="auto"/>
        <w:ind w:left="1416" w:hanging="566"/>
        <w:rPr>
          <w:szCs w:val="24"/>
          <w:lang w:eastAsia="en-US"/>
        </w:rPr>
      </w:pPr>
      <w:r w:rsidRPr="000B46A1">
        <w:rPr>
          <w:szCs w:val="24"/>
          <w:lang w:eastAsia="en-US"/>
        </w:rPr>
        <w:t>(d)</w:t>
      </w:r>
      <w:r w:rsidRPr="000B46A1">
        <w:rPr>
          <w:szCs w:val="24"/>
          <w:lang w:eastAsia="en-US"/>
        </w:rPr>
        <w:tab/>
      </w:r>
      <w:proofErr w:type="gramStart"/>
      <w:r w:rsidRPr="000B46A1">
        <w:rPr>
          <w:szCs w:val="24"/>
          <w:lang w:eastAsia="en-US"/>
        </w:rPr>
        <w:t>provision</w:t>
      </w:r>
      <w:proofErr w:type="gramEnd"/>
      <w:r w:rsidRPr="000B46A1">
        <w:rPr>
          <w:szCs w:val="24"/>
          <w:lang w:eastAsia="en-US"/>
        </w:rPr>
        <w:t xml:space="preserve"> deadlines;</w:t>
      </w:r>
    </w:p>
    <w:p w14:paraId="6DE123B2" w14:textId="77777777" w:rsidR="00F81A5B" w:rsidRPr="000B46A1" w:rsidRDefault="00F81A5B" w:rsidP="00F81A5B">
      <w:pPr>
        <w:spacing w:before="120" w:after="120" w:line="360" w:lineRule="auto"/>
        <w:ind w:left="1416" w:hanging="566"/>
        <w:rPr>
          <w:szCs w:val="24"/>
          <w:lang w:eastAsia="en-US"/>
        </w:rPr>
      </w:pPr>
      <w:r w:rsidRPr="000B46A1">
        <w:rPr>
          <w:szCs w:val="24"/>
          <w:lang w:eastAsia="en-US"/>
        </w:rPr>
        <w:t>(e)</w:t>
      </w:r>
      <w:r w:rsidRPr="000B46A1">
        <w:rPr>
          <w:szCs w:val="24"/>
          <w:lang w:eastAsia="en-US"/>
        </w:rPr>
        <w:tab/>
      </w:r>
      <w:proofErr w:type="gramStart"/>
      <w:r w:rsidRPr="000B46A1">
        <w:rPr>
          <w:szCs w:val="24"/>
          <w:lang w:eastAsia="en-US"/>
        </w:rPr>
        <w:t>technical</w:t>
      </w:r>
      <w:proofErr w:type="gramEnd"/>
      <w:r w:rsidRPr="000B46A1">
        <w:rPr>
          <w:szCs w:val="24"/>
          <w:lang w:eastAsia="en-US"/>
        </w:rPr>
        <w:t xml:space="preserve"> formats of data sets and metadata provision;</w:t>
      </w:r>
    </w:p>
    <w:p w14:paraId="712366C9" w14:textId="77777777" w:rsidR="00F81A5B" w:rsidRPr="000B46A1" w:rsidRDefault="00F81A5B" w:rsidP="00F81A5B">
      <w:pPr>
        <w:spacing w:before="120" w:after="120" w:line="360" w:lineRule="auto"/>
        <w:ind w:left="1416" w:hanging="566"/>
        <w:rPr>
          <w:szCs w:val="24"/>
          <w:lang w:eastAsia="en-US"/>
        </w:rPr>
      </w:pPr>
      <w:r w:rsidRPr="000B46A1">
        <w:rPr>
          <w:szCs w:val="24"/>
          <w:lang w:eastAsia="en-US"/>
        </w:rPr>
        <w:t>(f)</w:t>
      </w:r>
      <w:r w:rsidRPr="000B46A1">
        <w:rPr>
          <w:szCs w:val="24"/>
          <w:lang w:eastAsia="en-US"/>
        </w:rPr>
        <w:tab/>
      </w:r>
      <w:proofErr w:type="gramStart"/>
      <w:r w:rsidRPr="000B46A1">
        <w:rPr>
          <w:szCs w:val="24"/>
          <w:lang w:eastAsia="en-US"/>
        </w:rPr>
        <w:t>the</w:t>
      </w:r>
      <w:proofErr w:type="gramEnd"/>
      <w:r w:rsidRPr="000B46A1">
        <w:rPr>
          <w:szCs w:val="24"/>
          <w:lang w:eastAsia="en-US"/>
        </w:rPr>
        <w:t xml:space="preserve"> content, structure, periodicity, modalities and provision deadlines of the quality reports as well as further specifications when needed and justified.</w:t>
      </w:r>
    </w:p>
    <w:p w14:paraId="762B286C" w14:textId="77777777" w:rsidR="00F81A5B" w:rsidRPr="000B46A1" w:rsidRDefault="00F81A5B" w:rsidP="00F81A5B">
      <w:pPr>
        <w:spacing w:before="120" w:after="120" w:line="360" w:lineRule="auto"/>
        <w:ind w:left="850"/>
        <w:rPr>
          <w:szCs w:val="24"/>
          <w:lang w:eastAsia="en-US"/>
        </w:rPr>
      </w:pPr>
      <w:r w:rsidRPr="000B46A1">
        <w:rPr>
          <w:szCs w:val="24"/>
          <w:lang w:eastAsia="en-US"/>
        </w:rPr>
        <w:t>Those implementing acts shall be adopted in accordance with the examination procedure referred to in Article 18(2) at least 12 months before the beginning of the relevant reference time, except for the population and housing census for which the implementing acts shall be adopted at least 24 months before the beginning of the year in which the reference date falls.</w:t>
      </w:r>
    </w:p>
    <w:p w14:paraId="70BABDBA" w14:textId="77777777" w:rsidR="00F81A5B" w:rsidRPr="000B46A1" w:rsidRDefault="00F81A5B" w:rsidP="00F81A5B">
      <w:pPr>
        <w:spacing w:before="120" w:after="120" w:line="360" w:lineRule="auto"/>
        <w:jc w:val="center"/>
        <w:rPr>
          <w:szCs w:val="24"/>
          <w:lang w:eastAsia="en-US"/>
        </w:rPr>
      </w:pPr>
      <w:r w:rsidRPr="000B46A1">
        <w:rPr>
          <w:szCs w:val="24"/>
          <w:lang w:eastAsia="en-US"/>
        </w:rPr>
        <w:t>Article 6</w:t>
      </w:r>
      <w:r w:rsidRPr="000B46A1">
        <w:rPr>
          <w:szCs w:val="24"/>
          <w:lang w:eastAsia="en-US"/>
        </w:rPr>
        <w:br/>
        <w:t>Periodicity and reference times</w:t>
      </w:r>
    </w:p>
    <w:p w14:paraId="470D8A92" w14:textId="77777777" w:rsidR="00F81A5B" w:rsidRPr="000B46A1" w:rsidRDefault="00F81A5B" w:rsidP="00F81A5B">
      <w:pPr>
        <w:spacing w:before="120" w:after="120" w:line="360" w:lineRule="auto"/>
        <w:ind w:left="850" w:hanging="850"/>
        <w:rPr>
          <w:szCs w:val="24"/>
          <w:lang w:eastAsia="en-US"/>
        </w:rPr>
      </w:pPr>
      <w:r w:rsidRPr="000B46A1">
        <w:rPr>
          <w:szCs w:val="24"/>
          <w:lang w:eastAsia="en-US"/>
        </w:rPr>
        <w:t>1.</w:t>
      </w:r>
      <w:r w:rsidRPr="000B46A1">
        <w:rPr>
          <w:szCs w:val="24"/>
          <w:lang w:eastAsia="en-US"/>
        </w:rPr>
        <w:tab/>
        <w:t>Member States shall produce European statistics on population and housing quarterly, every six months, annually and multi-annually, and in a decennial population and housing census.</w:t>
      </w:r>
    </w:p>
    <w:p w14:paraId="6D89E292" w14:textId="77777777" w:rsidR="00F81A5B" w:rsidRPr="000B46A1" w:rsidRDefault="00F81A5B" w:rsidP="00F81A5B">
      <w:pPr>
        <w:spacing w:before="120" w:after="120" w:line="360" w:lineRule="auto"/>
        <w:ind w:left="850" w:hanging="850"/>
        <w:rPr>
          <w:szCs w:val="24"/>
          <w:lang w:eastAsia="en-US"/>
        </w:rPr>
      </w:pPr>
      <w:r w:rsidRPr="000B46A1">
        <w:rPr>
          <w:szCs w:val="24"/>
          <w:lang w:eastAsia="en-US"/>
        </w:rPr>
        <w:t>2.</w:t>
      </w:r>
      <w:r w:rsidRPr="000B46A1">
        <w:rPr>
          <w:szCs w:val="24"/>
          <w:lang w:eastAsia="en-US"/>
        </w:rPr>
        <w:tab/>
        <w:t xml:space="preserve">The years ending with “1” shall be the reference years for the decennial population </w:t>
      </w:r>
      <w:r w:rsidRPr="000B46A1">
        <w:rPr>
          <w:szCs w:val="24"/>
          <w:lang w:eastAsia="en-US"/>
        </w:rPr>
        <w:lastRenderedPageBreak/>
        <w:t>and housing census.</w:t>
      </w:r>
    </w:p>
    <w:p w14:paraId="5DC5EB94" w14:textId="77777777" w:rsidR="00F81A5B" w:rsidRPr="000B46A1" w:rsidRDefault="00F81A5B" w:rsidP="00F81A5B">
      <w:pPr>
        <w:spacing w:before="120" w:after="120" w:line="360" w:lineRule="auto"/>
        <w:ind w:left="850" w:hanging="850"/>
        <w:rPr>
          <w:szCs w:val="24"/>
          <w:lang w:eastAsia="en-US"/>
        </w:rPr>
      </w:pPr>
      <w:r w:rsidRPr="000B46A1">
        <w:rPr>
          <w:szCs w:val="24"/>
          <w:lang w:eastAsia="en-US"/>
        </w:rPr>
        <w:t>3.</w:t>
      </w:r>
      <w:r w:rsidRPr="000B46A1">
        <w:rPr>
          <w:szCs w:val="24"/>
          <w:lang w:eastAsia="en-US"/>
        </w:rPr>
        <w:tab/>
        <w:t>The years ending with “1”, “5” and “8” shall be the reference years for multiannual statistics.</w:t>
      </w:r>
    </w:p>
    <w:p w14:paraId="0CEB8661" w14:textId="77777777" w:rsidR="00F81A5B" w:rsidRPr="000B46A1" w:rsidRDefault="00F81A5B" w:rsidP="00F81A5B">
      <w:pPr>
        <w:spacing w:before="120" w:after="120" w:line="360" w:lineRule="auto"/>
        <w:ind w:left="850" w:hanging="850"/>
        <w:rPr>
          <w:szCs w:val="24"/>
          <w:lang w:eastAsia="en-US"/>
        </w:rPr>
      </w:pPr>
      <w:r w:rsidRPr="000B46A1">
        <w:rPr>
          <w:szCs w:val="24"/>
          <w:lang w:eastAsia="en-US"/>
        </w:rPr>
        <w:t>4.</w:t>
      </w:r>
      <w:r w:rsidRPr="000B46A1">
        <w:rPr>
          <w:szCs w:val="24"/>
          <w:lang w:eastAsia="en-US"/>
        </w:rPr>
        <w:tab/>
        <w:t>The periodicity and reference time ▌for each detailed topic shall be as set out in the Annex.</w:t>
      </w:r>
    </w:p>
    <w:p w14:paraId="428EE325" w14:textId="77777777" w:rsidR="00F81A5B" w:rsidRPr="000B46A1" w:rsidRDefault="00F81A5B" w:rsidP="00F81A5B">
      <w:pPr>
        <w:spacing w:before="120" w:after="120" w:line="360" w:lineRule="auto"/>
        <w:ind w:left="850" w:hanging="850"/>
        <w:rPr>
          <w:szCs w:val="24"/>
          <w:lang w:eastAsia="en-US"/>
        </w:rPr>
      </w:pPr>
      <w:r w:rsidRPr="000B46A1">
        <w:rPr>
          <w:szCs w:val="24"/>
          <w:lang w:eastAsia="en-US"/>
        </w:rPr>
        <w:t>5.</w:t>
      </w:r>
      <w:r w:rsidRPr="000B46A1">
        <w:rPr>
          <w:szCs w:val="24"/>
          <w:lang w:eastAsia="en-US"/>
        </w:rPr>
        <w:tab/>
        <w:t>The first reference date for which annual statistics on the topic ‘population stocks’ are to be provided shall be 31 December 2025. The first reference time for which any other statistics under this Regulation are to be provided shall be in 2026.</w:t>
      </w:r>
    </w:p>
    <w:p w14:paraId="7EACED36" w14:textId="77777777" w:rsidR="00F81A5B" w:rsidRPr="000B46A1" w:rsidRDefault="00F81A5B" w:rsidP="00F81A5B">
      <w:pPr>
        <w:spacing w:before="120" w:after="120" w:line="360" w:lineRule="auto"/>
        <w:ind w:left="850" w:hanging="850"/>
        <w:rPr>
          <w:szCs w:val="24"/>
          <w:lang w:eastAsia="en-US"/>
        </w:rPr>
      </w:pPr>
      <w:r w:rsidRPr="000B46A1">
        <w:rPr>
          <w:szCs w:val="24"/>
          <w:lang w:eastAsia="en-US"/>
        </w:rPr>
        <w:t>6.</w:t>
      </w:r>
      <w:r w:rsidRPr="000B46A1">
        <w:rPr>
          <w:szCs w:val="24"/>
          <w:lang w:eastAsia="en-US"/>
        </w:rPr>
        <w:tab/>
        <w:t>The Commission is empowered to adopt delegated acts in accordance with Article 17 to amend the Annex by updating the periodicities and reference times.</w:t>
      </w:r>
    </w:p>
    <w:p w14:paraId="4B152A9A" w14:textId="77777777" w:rsidR="00F81A5B" w:rsidRPr="000B46A1" w:rsidRDefault="00F81A5B" w:rsidP="00F81A5B">
      <w:pPr>
        <w:spacing w:before="120" w:after="120" w:line="360" w:lineRule="auto"/>
        <w:jc w:val="center"/>
        <w:rPr>
          <w:szCs w:val="24"/>
          <w:lang w:eastAsia="en-US"/>
        </w:rPr>
      </w:pPr>
      <w:r w:rsidRPr="000B46A1">
        <w:rPr>
          <w:szCs w:val="24"/>
          <w:lang w:eastAsia="en-US"/>
        </w:rPr>
        <w:t>Article 7</w:t>
      </w:r>
      <w:r w:rsidRPr="000B46A1">
        <w:rPr>
          <w:szCs w:val="24"/>
          <w:lang w:eastAsia="en-US"/>
        </w:rPr>
        <w:br/>
        <w:t>Ad hoc statistics requirements</w:t>
      </w:r>
    </w:p>
    <w:p w14:paraId="061024B3" w14:textId="77777777" w:rsidR="00F81A5B" w:rsidRPr="000B46A1" w:rsidRDefault="00F81A5B" w:rsidP="00F81A5B">
      <w:pPr>
        <w:spacing w:before="120" w:after="120" w:line="360" w:lineRule="auto"/>
        <w:ind w:left="850" w:hanging="850"/>
        <w:rPr>
          <w:szCs w:val="24"/>
          <w:lang w:eastAsia="en-US"/>
        </w:rPr>
      </w:pPr>
      <w:r w:rsidRPr="000B46A1">
        <w:rPr>
          <w:szCs w:val="24"/>
          <w:lang w:eastAsia="en-US"/>
        </w:rPr>
        <w:t>1.</w:t>
      </w:r>
      <w:r w:rsidRPr="000B46A1">
        <w:rPr>
          <w:szCs w:val="24"/>
          <w:lang w:eastAsia="en-US"/>
        </w:rPr>
        <w:tab/>
        <w:t>Member States shall provide the Commission (Eurostat) with ad hoc data sets and metadata.</w:t>
      </w:r>
    </w:p>
    <w:p w14:paraId="345C96D5" w14:textId="77777777" w:rsidR="00F81A5B" w:rsidRPr="000B46A1" w:rsidRDefault="00F81A5B" w:rsidP="00F81A5B">
      <w:pPr>
        <w:spacing w:before="120" w:after="120" w:line="360" w:lineRule="auto"/>
        <w:ind w:left="850" w:hanging="850"/>
        <w:rPr>
          <w:szCs w:val="24"/>
          <w:lang w:eastAsia="en-US"/>
        </w:rPr>
      </w:pPr>
      <w:r w:rsidRPr="000B46A1">
        <w:rPr>
          <w:szCs w:val="24"/>
          <w:lang w:eastAsia="en-US"/>
        </w:rPr>
        <w:t>2.</w:t>
      </w:r>
      <w:r w:rsidRPr="000B46A1">
        <w:rPr>
          <w:szCs w:val="24"/>
          <w:lang w:eastAsia="en-US"/>
        </w:rPr>
        <w:tab/>
        <w:t>The Commission is empowered to adopt delegated acts to supplement this Regulation in accordance with Article 17 by specifying the data sets and metadata to be provided by Member States on an ad hoc basis, where the collection of additional statistics is deemed necessary for the purpose of addressing additional statistical needs under this Regulation</w:t>
      </w:r>
      <w:r w:rsidRPr="000B46A1">
        <w:rPr>
          <w:b/>
          <w:i/>
          <w:szCs w:val="24"/>
          <w:lang w:eastAsia="en-US"/>
        </w:rPr>
        <w:t>, while prioritising the administrative data sources and records to be used for the collection of requested data</w:t>
      </w:r>
      <w:r w:rsidRPr="000B46A1">
        <w:rPr>
          <w:szCs w:val="24"/>
          <w:lang w:eastAsia="en-US"/>
        </w:rPr>
        <w:t>.</w:t>
      </w:r>
    </w:p>
    <w:p w14:paraId="5F133EDF" w14:textId="77777777" w:rsidR="00F81A5B" w:rsidRPr="000B46A1" w:rsidRDefault="00F81A5B" w:rsidP="00F81A5B">
      <w:pPr>
        <w:spacing w:before="120" w:after="120" w:line="360" w:lineRule="auto"/>
        <w:ind w:left="850" w:hanging="850"/>
        <w:rPr>
          <w:szCs w:val="24"/>
          <w:lang w:eastAsia="en-US"/>
        </w:rPr>
      </w:pPr>
      <w:r w:rsidRPr="000B46A1">
        <w:rPr>
          <w:szCs w:val="24"/>
          <w:lang w:eastAsia="en-US"/>
        </w:rPr>
        <w:t>3.</w:t>
      </w:r>
      <w:r w:rsidRPr="000B46A1">
        <w:rPr>
          <w:szCs w:val="24"/>
          <w:lang w:eastAsia="en-US"/>
        </w:rPr>
        <w:tab/>
        <w:t>The delegated acts referred to in paragraph 2 shall specify:</w:t>
      </w:r>
    </w:p>
    <w:p w14:paraId="005FD485" w14:textId="77777777" w:rsidR="00F81A5B" w:rsidRPr="000B46A1" w:rsidRDefault="00F81A5B" w:rsidP="00F81A5B">
      <w:pPr>
        <w:spacing w:before="120" w:after="120" w:line="360" w:lineRule="auto"/>
        <w:ind w:left="1416" w:hanging="566"/>
        <w:rPr>
          <w:szCs w:val="24"/>
          <w:lang w:eastAsia="en-US"/>
        </w:rPr>
      </w:pPr>
      <w:r w:rsidRPr="000B46A1">
        <w:rPr>
          <w:szCs w:val="24"/>
          <w:lang w:eastAsia="en-US"/>
        </w:rPr>
        <w:t>(a)</w:t>
      </w:r>
      <w:r w:rsidRPr="000B46A1">
        <w:rPr>
          <w:szCs w:val="24"/>
          <w:lang w:eastAsia="en-US"/>
        </w:rPr>
        <w:tab/>
      </w:r>
      <w:proofErr w:type="gramStart"/>
      <w:r w:rsidRPr="000B46A1">
        <w:rPr>
          <w:szCs w:val="24"/>
          <w:lang w:eastAsia="en-US"/>
        </w:rPr>
        <w:t>the</w:t>
      </w:r>
      <w:proofErr w:type="gramEnd"/>
      <w:r w:rsidRPr="000B46A1">
        <w:rPr>
          <w:szCs w:val="24"/>
          <w:lang w:eastAsia="en-US"/>
        </w:rPr>
        <w:t xml:space="preserve"> detailed topics to be provided in the ad hoc data sets and the reasons for such additional statistical needs;</w:t>
      </w:r>
    </w:p>
    <w:p w14:paraId="7768AE2E" w14:textId="77777777" w:rsidR="00F81A5B" w:rsidRPr="000B46A1" w:rsidRDefault="00F81A5B" w:rsidP="00F81A5B">
      <w:pPr>
        <w:spacing w:before="120" w:after="120" w:line="360" w:lineRule="auto"/>
        <w:ind w:left="1416" w:hanging="566"/>
        <w:rPr>
          <w:szCs w:val="24"/>
          <w:lang w:eastAsia="en-US"/>
        </w:rPr>
      </w:pPr>
      <w:r w:rsidRPr="000B46A1">
        <w:rPr>
          <w:szCs w:val="24"/>
          <w:lang w:eastAsia="en-US"/>
        </w:rPr>
        <w:t>(b)</w:t>
      </w:r>
      <w:r w:rsidRPr="000B46A1">
        <w:rPr>
          <w:szCs w:val="24"/>
          <w:lang w:eastAsia="en-US"/>
        </w:rPr>
        <w:tab/>
      </w:r>
      <w:proofErr w:type="gramStart"/>
      <w:r w:rsidRPr="000B46A1">
        <w:rPr>
          <w:szCs w:val="24"/>
          <w:lang w:eastAsia="en-US"/>
        </w:rPr>
        <w:t>the</w:t>
      </w:r>
      <w:proofErr w:type="gramEnd"/>
      <w:r w:rsidRPr="000B46A1">
        <w:rPr>
          <w:szCs w:val="24"/>
          <w:lang w:eastAsia="en-US"/>
        </w:rPr>
        <w:t xml:space="preserve"> reference times.</w:t>
      </w:r>
    </w:p>
    <w:p w14:paraId="05EF1FF0" w14:textId="77777777" w:rsidR="00F81A5B" w:rsidRPr="000B46A1" w:rsidRDefault="00F81A5B" w:rsidP="00F81A5B">
      <w:pPr>
        <w:spacing w:before="120" w:after="120" w:line="360" w:lineRule="auto"/>
        <w:ind w:left="850" w:hanging="850"/>
        <w:rPr>
          <w:szCs w:val="24"/>
          <w:lang w:eastAsia="en-US"/>
        </w:rPr>
      </w:pPr>
      <w:r w:rsidRPr="000B46A1">
        <w:rPr>
          <w:szCs w:val="24"/>
          <w:lang w:eastAsia="en-US"/>
        </w:rPr>
        <w:t>4.</w:t>
      </w:r>
      <w:r w:rsidRPr="000B46A1">
        <w:rPr>
          <w:szCs w:val="24"/>
          <w:lang w:eastAsia="en-US"/>
        </w:rPr>
        <w:tab/>
        <w:t>The Commission is empowered to adopt delegated acts referred to in paragraph 2 starting with reference year 2027 and with a minimum of two years between each ad hoc collection.</w:t>
      </w:r>
    </w:p>
    <w:p w14:paraId="41A8FA67" w14:textId="77777777" w:rsidR="00F81A5B" w:rsidRPr="000B46A1" w:rsidRDefault="00F81A5B" w:rsidP="00F81A5B">
      <w:pPr>
        <w:spacing w:before="120" w:after="120" w:line="360" w:lineRule="auto"/>
        <w:ind w:left="850" w:hanging="850"/>
        <w:rPr>
          <w:szCs w:val="24"/>
          <w:lang w:eastAsia="en-US"/>
        </w:rPr>
      </w:pPr>
      <w:r w:rsidRPr="000B46A1">
        <w:rPr>
          <w:szCs w:val="24"/>
          <w:lang w:eastAsia="en-US"/>
        </w:rPr>
        <w:t>5.</w:t>
      </w:r>
      <w:r w:rsidRPr="000B46A1">
        <w:rPr>
          <w:szCs w:val="24"/>
          <w:lang w:eastAsia="en-US"/>
        </w:rPr>
        <w:tab/>
        <w:t>The Commission shall adopt implementing acts to specify the technical properties of the ad hoc data sets and metadata referred to in paragraph 2. Those implementing acts shall specify the following technical elements, where appropriate:</w:t>
      </w:r>
    </w:p>
    <w:p w14:paraId="0A9B0E73" w14:textId="77777777" w:rsidR="00F81A5B" w:rsidRPr="000B46A1" w:rsidRDefault="00F81A5B" w:rsidP="00F81A5B">
      <w:pPr>
        <w:spacing w:before="120" w:after="120" w:line="360" w:lineRule="auto"/>
        <w:ind w:left="1416" w:hanging="566"/>
        <w:rPr>
          <w:szCs w:val="24"/>
          <w:lang w:eastAsia="en-US"/>
        </w:rPr>
      </w:pPr>
      <w:r w:rsidRPr="000B46A1">
        <w:rPr>
          <w:szCs w:val="24"/>
          <w:lang w:eastAsia="en-US"/>
        </w:rPr>
        <w:lastRenderedPageBreak/>
        <w:t>(a)</w:t>
      </w:r>
      <w:r w:rsidRPr="000B46A1">
        <w:rPr>
          <w:szCs w:val="24"/>
          <w:lang w:eastAsia="en-US"/>
        </w:rPr>
        <w:tab/>
      </w:r>
      <w:proofErr w:type="gramStart"/>
      <w:r w:rsidRPr="000B46A1">
        <w:rPr>
          <w:szCs w:val="24"/>
          <w:lang w:eastAsia="en-US"/>
        </w:rPr>
        <w:t>titles</w:t>
      </w:r>
      <w:proofErr w:type="gramEnd"/>
      <w:r w:rsidRPr="000B46A1">
        <w:rPr>
          <w:szCs w:val="24"/>
          <w:lang w:eastAsia="en-US"/>
        </w:rPr>
        <w:t xml:space="preserve"> of variables, their technical specifications and breakdowns;</w:t>
      </w:r>
    </w:p>
    <w:p w14:paraId="7985FAC3" w14:textId="77777777" w:rsidR="00F81A5B" w:rsidRPr="000B46A1" w:rsidRDefault="00F81A5B" w:rsidP="00F81A5B">
      <w:pPr>
        <w:spacing w:before="120" w:after="120" w:line="360" w:lineRule="auto"/>
        <w:ind w:left="1416" w:hanging="566"/>
        <w:rPr>
          <w:szCs w:val="24"/>
          <w:lang w:eastAsia="en-US"/>
        </w:rPr>
      </w:pPr>
      <w:r w:rsidRPr="000B46A1">
        <w:rPr>
          <w:szCs w:val="24"/>
          <w:lang w:eastAsia="en-US"/>
        </w:rPr>
        <w:t>(</w:t>
      </w:r>
      <w:proofErr w:type="gramStart"/>
      <w:r w:rsidRPr="000B46A1">
        <w:rPr>
          <w:szCs w:val="24"/>
          <w:lang w:eastAsia="en-US"/>
        </w:rPr>
        <w:t>b</w:t>
      </w:r>
      <w:proofErr w:type="gramEnd"/>
      <w:r w:rsidRPr="000B46A1">
        <w:rPr>
          <w:szCs w:val="24"/>
          <w:lang w:eastAsia="en-US"/>
        </w:rPr>
        <w:t>)</w:t>
      </w:r>
      <w:r w:rsidRPr="000B46A1">
        <w:rPr>
          <w:szCs w:val="24"/>
          <w:lang w:eastAsia="en-US"/>
        </w:rPr>
        <w:tab/>
        <w:t>detailed specifications of the statistical units and metadata;</w:t>
      </w:r>
    </w:p>
    <w:p w14:paraId="23F1F265" w14:textId="77777777" w:rsidR="00F81A5B" w:rsidRPr="000B46A1" w:rsidRDefault="00F81A5B" w:rsidP="00F81A5B">
      <w:pPr>
        <w:spacing w:before="120" w:after="120" w:line="360" w:lineRule="auto"/>
        <w:ind w:left="1416" w:hanging="566"/>
        <w:rPr>
          <w:szCs w:val="24"/>
          <w:lang w:eastAsia="en-US"/>
        </w:rPr>
      </w:pPr>
      <w:r w:rsidRPr="000B46A1">
        <w:rPr>
          <w:szCs w:val="24"/>
          <w:lang w:eastAsia="en-US"/>
        </w:rPr>
        <w:t>(c)</w:t>
      </w:r>
      <w:r w:rsidRPr="000B46A1">
        <w:rPr>
          <w:szCs w:val="24"/>
          <w:lang w:eastAsia="en-US"/>
        </w:rPr>
        <w:tab/>
      </w:r>
      <w:proofErr w:type="gramStart"/>
      <w:r w:rsidRPr="000B46A1">
        <w:rPr>
          <w:szCs w:val="24"/>
          <w:lang w:eastAsia="en-US"/>
        </w:rPr>
        <w:t>statistical</w:t>
      </w:r>
      <w:proofErr w:type="gramEnd"/>
      <w:r w:rsidRPr="000B46A1">
        <w:rPr>
          <w:szCs w:val="24"/>
          <w:lang w:eastAsia="en-US"/>
        </w:rPr>
        <w:t xml:space="preserve"> classifications to be used;</w:t>
      </w:r>
    </w:p>
    <w:p w14:paraId="13ECC15E" w14:textId="77777777" w:rsidR="00F81A5B" w:rsidRPr="000B46A1" w:rsidRDefault="00F81A5B" w:rsidP="00F81A5B">
      <w:pPr>
        <w:spacing w:before="120" w:after="120" w:line="360" w:lineRule="auto"/>
        <w:ind w:left="1416" w:hanging="566"/>
        <w:rPr>
          <w:szCs w:val="24"/>
          <w:lang w:eastAsia="en-US"/>
        </w:rPr>
      </w:pPr>
      <w:r w:rsidRPr="000B46A1">
        <w:rPr>
          <w:szCs w:val="24"/>
          <w:lang w:eastAsia="en-US"/>
        </w:rPr>
        <w:t>(d)</w:t>
      </w:r>
      <w:r w:rsidRPr="000B46A1">
        <w:rPr>
          <w:szCs w:val="24"/>
          <w:lang w:eastAsia="en-US"/>
        </w:rPr>
        <w:tab/>
      </w:r>
      <w:proofErr w:type="gramStart"/>
      <w:r w:rsidRPr="000B46A1">
        <w:rPr>
          <w:szCs w:val="24"/>
          <w:lang w:eastAsia="en-US"/>
        </w:rPr>
        <w:t>provision</w:t>
      </w:r>
      <w:proofErr w:type="gramEnd"/>
      <w:r w:rsidRPr="000B46A1">
        <w:rPr>
          <w:szCs w:val="24"/>
          <w:lang w:eastAsia="en-US"/>
        </w:rPr>
        <w:t xml:space="preserve"> deadlines.</w:t>
      </w:r>
    </w:p>
    <w:p w14:paraId="7CC30138" w14:textId="73645ECD" w:rsidR="00F81A5B" w:rsidRPr="000B46A1" w:rsidRDefault="00F81A5B" w:rsidP="00F81A5B">
      <w:pPr>
        <w:spacing w:before="120" w:after="120" w:line="360" w:lineRule="auto"/>
        <w:ind w:left="850"/>
        <w:rPr>
          <w:szCs w:val="24"/>
          <w:lang w:eastAsia="en-US"/>
        </w:rPr>
      </w:pPr>
      <w:r w:rsidRPr="000B46A1">
        <w:rPr>
          <w:szCs w:val="24"/>
          <w:lang w:eastAsia="en-US"/>
        </w:rPr>
        <w:t>Those implementing acts shall be adopted in accordance with the examination procedure referred to in Article 18(2) no later than 12 months before the beginning of the reference time.</w:t>
      </w:r>
    </w:p>
    <w:p w14:paraId="6012CBE2" w14:textId="60992B3F" w:rsidR="00F81A5B" w:rsidRPr="000B46A1" w:rsidRDefault="00F81A5B" w:rsidP="00F81A5B">
      <w:pPr>
        <w:spacing w:before="120" w:after="120" w:line="360" w:lineRule="auto"/>
        <w:jc w:val="center"/>
        <w:rPr>
          <w:szCs w:val="24"/>
          <w:lang w:eastAsia="en-US"/>
        </w:rPr>
      </w:pPr>
      <w:r w:rsidRPr="000B46A1">
        <w:rPr>
          <w:szCs w:val="24"/>
          <w:lang w:eastAsia="en-US"/>
        </w:rPr>
        <w:t>Article 8</w:t>
      </w:r>
      <w:r w:rsidRPr="000B46A1">
        <w:rPr>
          <w:szCs w:val="24"/>
          <w:lang w:eastAsia="en-US"/>
        </w:rPr>
        <w:br/>
        <w:t xml:space="preserve">Data sets and metadata to be </w:t>
      </w:r>
      <w:r w:rsidRPr="000B46A1">
        <w:rPr>
          <w:b/>
          <w:i/>
          <w:szCs w:val="24"/>
          <w:lang w:eastAsia="en-US"/>
        </w:rPr>
        <w:t>transmitted</w:t>
      </w:r>
      <w:r w:rsidRPr="000B46A1">
        <w:rPr>
          <w:szCs w:val="24"/>
          <w:lang w:eastAsia="en-US"/>
        </w:rPr>
        <w:t xml:space="preserve"> to the Commission</w:t>
      </w:r>
    </w:p>
    <w:p w14:paraId="4C2497C2" w14:textId="77777777" w:rsidR="00F81A5B" w:rsidRPr="000B46A1" w:rsidRDefault="00F81A5B" w:rsidP="00F81A5B">
      <w:pPr>
        <w:spacing w:before="120" w:after="120" w:line="360" w:lineRule="auto"/>
        <w:ind w:left="850" w:hanging="850"/>
        <w:rPr>
          <w:szCs w:val="24"/>
          <w:lang w:eastAsia="en-US"/>
        </w:rPr>
      </w:pPr>
      <w:r w:rsidRPr="000B46A1">
        <w:rPr>
          <w:szCs w:val="24"/>
          <w:lang w:eastAsia="en-US"/>
        </w:rPr>
        <w:t>1.</w:t>
      </w:r>
      <w:r w:rsidRPr="000B46A1">
        <w:rPr>
          <w:szCs w:val="24"/>
          <w:lang w:eastAsia="en-US"/>
        </w:rPr>
        <w:tab/>
        <w:t xml:space="preserve">Member States shall </w:t>
      </w:r>
      <w:r w:rsidRPr="000B46A1">
        <w:rPr>
          <w:b/>
          <w:i/>
          <w:szCs w:val="24"/>
          <w:lang w:eastAsia="en-US"/>
        </w:rPr>
        <w:t>transmit to the Commission (Eurostat)</w:t>
      </w:r>
      <w:r w:rsidRPr="000B46A1">
        <w:rPr>
          <w:szCs w:val="24"/>
          <w:lang w:eastAsia="en-US"/>
        </w:rPr>
        <w:t xml:space="preserve"> pre-checked data sets and metadata </w:t>
      </w:r>
      <w:r w:rsidRPr="000B46A1">
        <w:rPr>
          <w:b/>
          <w:i/>
          <w:szCs w:val="24"/>
          <w:lang w:eastAsia="en-US"/>
        </w:rPr>
        <w:t xml:space="preserve">in accordance with the Annex </w:t>
      </w:r>
      <w:r w:rsidRPr="000B46A1">
        <w:rPr>
          <w:szCs w:val="24"/>
          <w:lang w:eastAsia="en-US"/>
        </w:rPr>
        <w:t xml:space="preserve">using a technical format specified by the Commission (Eurostat). The single entry point services shall be used to </w:t>
      </w:r>
      <w:r w:rsidRPr="000B46A1">
        <w:rPr>
          <w:b/>
          <w:i/>
          <w:szCs w:val="24"/>
          <w:lang w:eastAsia="en-US"/>
        </w:rPr>
        <w:t>transmit</w:t>
      </w:r>
      <w:r w:rsidRPr="000B46A1">
        <w:rPr>
          <w:szCs w:val="24"/>
          <w:lang w:eastAsia="en-US"/>
        </w:rPr>
        <w:t xml:space="preserve"> the data sets and metadata to the Commission (Eurostat).</w:t>
      </w:r>
    </w:p>
    <w:p w14:paraId="32DED494" w14:textId="77777777" w:rsidR="00F81A5B" w:rsidRPr="000B46A1" w:rsidRDefault="00F81A5B" w:rsidP="00F81A5B">
      <w:pPr>
        <w:spacing w:before="120" w:after="120" w:line="360" w:lineRule="auto"/>
        <w:ind w:left="850" w:hanging="850"/>
        <w:rPr>
          <w:szCs w:val="24"/>
          <w:lang w:eastAsia="en-US"/>
        </w:rPr>
      </w:pPr>
      <w:r w:rsidRPr="000B46A1">
        <w:rPr>
          <w:szCs w:val="24"/>
          <w:lang w:eastAsia="en-US"/>
        </w:rPr>
        <w:t>2.</w:t>
      </w:r>
      <w:r w:rsidRPr="000B46A1">
        <w:rPr>
          <w:szCs w:val="24"/>
          <w:lang w:eastAsia="en-US"/>
        </w:rPr>
        <w:tab/>
        <w:t xml:space="preserve">Where Member States publish </w:t>
      </w:r>
      <w:r w:rsidRPr="000B46A1">
        <w:rPr>
          <w:b/>
          <w:i/>
          <w:szCs w:val="24"/>
          <w:lang w:eastAsia="en-US"/>
        </w:rPr>
        <w:t>data</w:t>
      </w:r>
      <w:r w:rsidRPr="000B46A1">
        <w:rPr>
          <w:szCs w:val="24"/>
          <w:lang w:eastAsia="en-US"/>
        </w:rPr>
        <w:t xml:space="preserve"> required by this Regulation at national level ahead of the </w:t>
      </w:r>
      <w:r w:rsidRPr="000B46A1">
        <w:rPr>
          <w:b/>
          <w:i/>
          <w:szCs w:val="24"/>
          <w:lang w:eastAsia="en-US"/>
        </w:rPr>
        <w:t>transmission</w:t>
      </w:r>
      <w:r w:rsidRPr="000B46A1">
        <w:rPr>
          <w:szCs w:val="24"/>
          <w:lang w:eastAsia="en-US"/>
        </w:rPr>
        <w:t xml:space="preserve"> deadlines established pursuant to Articles 5(5), point (d), and Article 7(5), point (d), they shall provide them to the Commission (Eurostat) </w:t>
      </w:r>
      <w:r w:rsidRPr="000B46A1">
        <w:rPr>
          <w:b/>
          <w:i/>
          <w:szCs w:val="24"/>
          <w:lang w:eastAsia="en-US"/>
        </w:rPr>
        <w:t>without undue delay, at the latest within 21 calendar days of the national publication.</w:t>
      </w:r>
    </w:p>
    <w:p w14:paraId="298E0935" w14:textId="77777777" w:rsidR="00F81A5B" w:rsidRPr="000B46A1" w:rsidRDefault="00F81A5B" w:rsidP="00F81A5B">
      <w:pPr>
        <w:spacing w:before="120" w:after="120" w:line="360" w:lineRule="auto"/>
        <w:ind w:left="850" w:hanging="850"/>
        <w:rPr>
          <w:szCs w:val="24"/>
          <w:lang w:eastAsia="en-US"/>
        </w:rPr>
      </w:pPr>
      <w:r w:rsidRPr="000B46A1">
        <w:rPr>
          <w:szCs w:val="24"/>
          <w:lang w:eastAsia="en-US"/>
        </w:rPr>
        <w:t>3.</w:t>
      </w:r>
      <w:r w:rsidRPr="000B46A1">
        <w:rPr>
          <w:szCs w:val="24"/>
          <w:lang w:eastAsia="en-US"/>
        </w:rPr>
        <w:tab/>
        <w:t xml:space="preserve">Member States shall </w:t>
      </w:r>
      <w:r w:rsidRPr="000B46A1">
        <w:rPr>
          <w:b/>
          <w:i/>
          <w:szCs w:val="24"/>
          <w:lang w:eastAsia="en-US"/>
        </w:rPr>
        <w:t>transmit</w:t>
      </w:r>
      <w:r w:rsidRPr="000B46A1">
        <w:rPr>
          <w:szCs w:val="24"/>
          <w:lang w:eastAsia="en-US"/>
        </w:rPr>
        <w:t xml:space="preserve"> to the Commission (Eurostat):</w:t>
      </w:r>
    </w:p>
    <w:p w14:paraId="49040F1E" w14:textId="77777777" w:rsidR="00F81A5B" w:rsidRPr="000B46A1" w:rsidRDefault="00F81A5B" w:rsidP="00F81A5B">
      <w:pPr>
        <w:spacing w:before="120" w:after="120" w:line="360" w:lineRule="auto"/>
        <w:ind w:left="1416" w:hanging="566"/>
        <w:rPr>
          <w:szCs w:val="24"/>
          <w:lang w:eastAsia="en-US"/>
        </w:rPr>
      </w:pPr>
      <w:r w:rsidRPr="000B46A1">
        <w:rPr>
          <w:szCs w:val="24"/>
          <w:lang w:eastAsia="en-US"/>
        </w:rPr>
        <w:t>(a)</w:t>
      </w:r>
      <w:r w:rsidRPr="000B46A1">
        <w:rPr>
          <w:szCs w:val="24"/>
          <w:lang w:eastAsia="en-US"/>
        </w:rPr>
        <w:tab/>
      </w:r>
      <w:proofErr w:type="gramStart"/>
      <w:r w:rsidRPr="000B46A1">
        <w:rPr>
          <w:szCs w:val="24"/>
          <w:lang w:eastAsia="en-US"/>
        </w:rPr>
        <w:t>revised</w:t>
      </w:r>
      <w:proofErr w:type="gramEnd"/>
      <w:r w:rsidRPr="000B46A1">
        <w:rPr>
          <w:szCs w:val="24"/>
          <w:lang w:eastAsia="en-US"/>
        </w:rPr>
        <w:t xml:space="preserve"> data sets and metadata if a revision is conducted after the data sets required under this Regulation were initially provided;</w:t>
      </w:r>
    </w:p>
    <w:p w14:paraId="3BC4DC13" w14:textId="77777777" w:rsidR="00F81A5B" w:rsidRPr="000B46A1" w:rsidRDefault="00F81A5B" w:rsidP="00F81A5B">
      <w:pPr>
        <w:spacing w:before="120" w:after="120" w:line="360" w:lineRule="auto"/>
        <w:ind w:left="1416" w:hanging="566"/>
        <w:rPr>
          <w:szCs w:val="24"/>
          <w:lang w:eastAsia="en-US"/>
        </w:rPr>
      </w:pPr>
      <w:r w:rsidRPr="000B46A1">
        <w:rPr>
          <w:szCs w:val="24"/>
          <w:lang w:eastAsia="en-US"/>
        </w:rPr>
        <w:t>(b)</w:t>
      </w:r>
      <w:r w:rsidRPr="000B46A1">
        <w:rPr>
          <w:szCs w:val="24"/>
          <w:lang w:eastAsia="en-US"/>
        </w:rPr>
        <w:tab/>
      </w:r>
      <w:proofErr w:type="gramStart"/>
      <w:r w:rsidRPr="000B46A1">
        <w:rPr>
          <w:szCs w:val="24"/>
          <w:lang w:eastAsia="en-US"/>
        </w:rPr>
        <w:t>revised</w:t>
      </w:r>
      <w:proofErr w:type="gramEnd"/>
      <w:r w:rsidRPr="000B46A1">
        <w:rPr>
          <w:szCs w:val="24"/>
          <w:lang w:eastAsia="en-US"/>
        </w:rPr>
        <w:t xml:space="preserve"> data sets and metadata for relevant time series if a revision is conducted on data sets that had been provided to the Commission (Eurostat) before the application of this Regulation. </w:t>
      </w:r>
    </w:p>
    <w:p w14:paraId="0A3B8724" w14:textId="77777777" w:rsidR="00F81A5B" w:rsidRPr="000B46A1" w:rsidRDefault="00F81A5B" w:rsidP="00F81A5B">
      <w:pPr>
        <w:spacing w:before="120" w:after="120" w:line="360" w:lineRule="auto"/>
        <w:ind w:left="850"/>
        <w:rPr>
          <w:szCs w:val="24"/>
          <w:lang w:eastAsia="en-US"/>
        </w:rPr>
      </w:pPr>
      <w:r w:rsidRPr="000B46A1">
        <w:rPr>
          <w:szCs w:val="24"/>
          <w:lang w:eastAsia="en-US"/>
        </w:rPr>
        <w:t xml:space="preserve">The revised data sets and metadata shall be </w:t>
      </w:r>
      <w:r w:rsidRPr="000B46A1">
        <w:rPr>
          <w:b/>
          <w:i/>
          <w:szCs w:val="24"/>
          <w:lang w:eastAsia="en-US"/>
        </w:rPr>
        <w:t>transmitted</w:t>
      </w:r>
      <w:r w:rsidRPr="000B46A1">
        <w:rPr>
          <w:szCs w:val="24"/>
          <w:lang w:eastAsia="en-US"/>
        </w:rPr>
        <w:t xml:space="preserve"> within </w:t>
      </w:r>
      <w:r w:rsidRPr="000B46A1">
        <w:rPr>
          <w:b/>
          <w:i/>
          <w:szCs w:val="24"/>
          <w:lang w:eastAsia="en-US"/>
        </w:rPr>
        <w:t>14 calendar days of the revision</w:t>
      </w:r>
      <w:r w:rsidRPr="000B46A1">
        <w:rPr>
          <w:szCs w:val="24"/>
          <w:lang w:eastAsia="en-US"/>
        </w:rPr>
        <w:t xml:space="preserve"> and be complemented by quality reporting in accordance with Article 12.</w:t>
      </w:r>
    </w:p>
    <w:p w14:paraId="28BC396F" w14:textId="77777777" w:rsidR="00F81A5B" w:rsidRPr="000B46A1" w:rsidRDefault="00F81A5B" w:rsidP="00F81A5B">
      <w:pPr>
        <w:spacing w:before="120" w:after="120" w:line="360" w:lineRule="auto"/>
        <w:ind w:left="850" w:hanging="130"/>
        <w:rPr>
          <w:szCs w:val="24"/>
          <w:lang w:eastAsia="en-US"/>
        </w:rPr>
      </w:pPr>
      <w:r w:rsidRPr="000B46A1">
        <w:rPr>
          <w:b/>
          <w:i/>
          <w:szCs w:val="24"/>
          <w:lang w:eastAsia="en-US"/>
        </w:rPr>
        <w:t>Member States shall inform the Commission of any decision to revise data sets and metadata without undue delay.</w:t>
      </w:r>
    </w:p>
    <w:p w14:paraId="57F42A7E" w14:textId="77777777" w:rsidR="00F81A5B" w:rsidRPr="000B46A1" w:rsidRDefault="00F81A5B" w:rsidP="00F81A5B">
      <w:pPr>
        <w:spacing w:before="120" w:after="120" w:line="360" w:lineRule="auto"/>
        <w:jc w:val="center"/>
        <w:rPr>
          <w:szCs w:val="24"/>
          <w:lang w:eastAsia="en-US"/>
        </w:rPr>
      </w:pPr>
      <w:r w:rsidRPr="000B46A1">
        <w:rPr>
          <w:szCs w:val="24"/>
          <w:lang w:eastAsia="en-US"/>
        </w:rPr>
        <w:t>Article 9</w:t>
      </w:r>
      <w:r w:rsidRPr="000B46A1">
        <w:rPr>
          <w:szCs w:val="24"/>
          <w:lang w:eastAsia="en-US"/>
        </w:rPr>
        <w:br/>
      </w:r>
      <w:r w:rsidRPr="000B46A1">
        <w:rPr>
          <w:szCs w:val="24"/>
          <w:lang w:eastAsia="en-US"/>
        </w:rPr>
        <w:lastRenderedPageBreak/>
        <w:t>Data sources and methods</w:t>
      </w:r>
    </w:p>
    <w:p w14:paraId="4D0F1570" w14:textId="77777777" w:rsidR="00F81A5B" w:rsidRPr="000B46A1" w:rsidRDefault="00F81A5B" w:rsidP="00F81A5B">
      <w:pPr>
        <w:spacing w:before="120" w:after="120" w:line="360" w:lineRule="auto"/>
        <w:ind w:left="850" w:hanging="850"/>
        <w:rPr>
          <w:szCs w:val="24"/>
          <w:lang w:eastAsia="en-US"/>
        </w:rPr>
      </w:pPr>
      <w:r w:rsidRPr="000B46A1">
        <w:rPr>
          <w:szCs w:val="24"/>
          <w:lang w:eastAsia="en-US"/>
        </w:rPr>
        <w:t>1.</w:t>
      </w:r>
      <w:r w:rsidRPr="000B46A1">
        <w:rPr>
          <w:szCs w:val="24"/>
          <w:lang w:eastAsia="en-US"/>
        </w:rPr>
        <w:tab/>
        <w:t>Member States and the Commission (Eurostat) shall use one or a combination of the following data sources, provided that they allow for producing statistics that meet the quality requirements laid down in Article 12:</w:t>
      </w:r>
    </w:p>
    <w:p w14:paraId="56B65895" w14:textId="77777777" w:rsidR="00F81A5B" w:rsidRPr="000B46A1" w:rsidRDefault="00F81A5B" w:rsidP="00F81A5B">
      <w:pPr>
        <w:spacing w:before="120" w:after="120" w:line="360" w:lineRule="auto"/>
        <w:ind w:left="1416" w:hanging="566"/>
        <w:rPr>
          <w:szCs w:val="24"/>
          <w:lang w:eastAsia="en-US"/>
        </w:rPr>
      </w:pPr>
      <w:r w:rsidRPr="000B46A1">
        <w:rPr>
          <w:szCs w:val="24"/>
          <w:lang w:eastAsia="en-US"/>
        </w:rPr>
        <w:t>(a)</w:t>
      </w:r>
      <w:r w:rsidRPr="000B46A1">
        <w:rPr>
          <w:szCs w:val="24"/>
          <w:lang w:eastAsia="en-US"/>
        </w:rPr>
        <w:tab/>
      </w:r>
      <w:proofErr w:type="gramStart"/>
      <w:r w:rsidRPr="000B46A1">
        <w:rPr>
          <w:szCs w:val="24"/>
          <w:lang w:eastAsia="en-US"/>
        </w:rPr>
        <w:t>administrative</w:t>
      </w:r>
      <w:proofErr w:type="gramEnd"/>
      <w:r w:rsidRPr="000B46A1">
        <w:rPr>
          <w:szCs w:val="24"/>
          <w:lang w:eastAsia="en-US"/>
        </w:rPr>
        <w:t xml:space="preserve"> data sources;</w:t>
      </w:r>
    </w:p>
    <w:p w14:paraId="2C711F60" w14:textId="77777777" w:rsidR="00F81A5B" w:rsidRPr="000B46A1" w:rsidRDefault="00F81A5B" w:rsidP="00F81A5B">
      <w:pPr>
        <w:spacing w:before="120" w:after="120" w:line="360" w:lineRule="auto"/>
        <w:ind w:left="1416" w:hanging="566"/>
        <w:rPr>
          <w:szCs w:val="24"/>
          <w:lang w:eastAsia="en-US"/>
        </w:rPr>
      </w:pPr>
      <w:r w:rsidRPr="000B46A1">
        <w:rPr>
          <w:szCs w:val="24"/>
          <w:lang w:eastAsia="en-US"/>
        </w:rPr>
        <w:t>(b)</w:t>
      </w:r>
      <w:r w:rsidRPr="000B46A1">
        <w:rPr>
          <w:szCs w:val="24"/>
          <w:lang w:eastAsia="en-US"/>
        </w:rPr>
        <w:tab/>
      </w:r>
      <w:proofErr w:type="gramStart"/>
      <w:r w:rsidRPr="000B46A1">
        <w:rPr>
          <w:szCs w:val="24"/>
          <w:lang w:eastAsia="en-US"/>
        </w:rPr>
        <w:t>statistical</w:t>
      </w:r>
      <w:proofErr w:type="gramEnd"/>
      <w:r w:rsidRPr="000B46A1">
        <w:rPr>
          <w:szCs w:val="24"/>
          <w:lang w:eastAsia="en-US"/>
        </w:rPr>
        <w:t xml:space="preserve"> surveys or other statistical data collections;</w:t>
      </w:r>
    </w:p>
    <w:p w14:paraId="0ACD7826" w14:textId="77777777" w:rsidR="00F81A5B" w:rsidRPr="000B46A1" w:rsidRDefault="00F81A5B" w:rsidP="00F81A5B">
      <w:pPr>
        <w:spacing w:before="120" w:after="120" w:line="360" w:lineRule="auto"/>
        <w:ind w:left="1416" w:hanging="566"/>
        <w:rPr>
          <w:szCs w:val="24"/>
          <w:lang w:eastAsia="en-US"/>
        </w:rPr>
      </w:pPr>
      <w:r w:rsidRPr="000B46A1">
        <w:rPr>
          <w:szCs w:val="24"/>
          <w:lang w:eastAsia="en-US"/>
        </w:rPr>
        <w:t>(c)</w:t>
      </w:r>
      <w:r w:rsidRPr="000B46A1">
        <w:rPr>
          <w:szCs w:val="24"/>
          <w:lang w:eastAsia="en-US"/>
        </w:rPr>
        <w:tab/>
      </w:r>
      <w:proofErr w:type="gramStart"/>
      <w:r w:rsidRPr="000B46A1">
        <w:rPr>
          <w:szCs w:val="24"/>
          <w:lang w:eastAsia="en-US"/>
        </w:rPr>
        <w:t>other</w:t>
      </w:r>
      <w:proofErr w:type="gramEnd"/>
      <w:r w:rsidRPr="000B46A1">
        <w:rPr>
          <w:szCs w:val="24"/>
          <w:lang w:eastAsia="en-US"/>
        </w:rPr>
        <w:t xml:space="preserve"> sources including privately held data;</w:t>
      </w:r>
    </w:p>
    <w:p w14:paraId="07870E38" w14:textId="77777777" w:rsidR="00F81A5B" w:rsidRPr="000B46A1" w:rsidRDefault="00F81A5B" w:rsidP="00F81A5B">
      <w:pPr>
        <w:spacing w:before="120" w:after="120" w:line="360" w:lineRule="auto"/>
        <w:ind w:left="1416" w:hanging="566"/>
        <w:rPr>
          <w:szCs w:val="24"/>
          <w:lang w:eastAsia="en-US"/>
        </w:rPr>
      </w:pPr>
      <w:r w:rsidRPr="000B46A1">
        <w:rPr>
          <w:szCs w:val="24"/>
          <w:lang w:eastAsia="en-US"/>
        </w:rPr>
        <w:t>(d)</w:t>
      </w:r>
      <w:r w:rsidRPr="000B46A1">
        <w:rPr>
          <w:szCs w:val="24"/>
          <w:lang w:eastAsia="en-US"/>
        </w:rPr>
        <w:tab/>
      </w:r>
      <w:proofErr w:type="gramStart"/>
      <w:r w:rsidRPr="000B46A1">
        <w:rPr>
          <w:szCs w:val="24"/>
          <w:lang w:eastAsia="en-US"/>
        </w:rPr>
        <w:t>reuse</w:t>
      </w:r>
      <w:proofErr w:type="gramEnd"/>
      <w:r w:rsidRPr="000B46A1">
        <w:rPr>
          <w:szCs w:val="24"/>
          <w:lang w:eastAsia="en-US"/>
        </w:rPr>
        <w:t xml:space="preserve"> of data derived from data sharing between national statistical authorities and the Commission (Eurostat) within the ESS.</w:t>
      </w:r>
    </w:p>
    <w:p w14:paraId="63392799" w14:textId="77777777" w:rsidR="00F81A5B" w:rsidRPr="000B46A1" w:rsidRDefault="00F81A5B" w:rsidP="00F81A5B">
      <w:pPr>
        <w:spacing w:before="120" w:after="120" w:line="360" w:lineRule="auto"/>
        <w:ind w:left="850" w:hanging="850"/>
        <w:rPr>
          <w:szCs w:val="24"/>
          <w:lang w:eastAsia="en-US"/>
        </w:rPr>
      </w:pPr>
      <w:r w:rsidRPr="000B46A1">
        <w:rPr>
          <w:szCs w:val="24"/>
          <w:lang w:eastAsia="en-US"/>
        </w:rPr>
        <w:t>2.</w:t>
      </w:r>
      <w:r w:rsidRPr="000B46A1">
        <w:rPr>
          <w:szCs w:val="24"/>
          <w:lang w:eastAsia="en-US"/>
        </w:rPr>
        <w:tab/>
        <w:t>Member States shall assess and monitor the quality of their data sources, including of administrative records and other appropriate sources used.</w:t>
      </w:r>
    </w:p>
    <w:p w14:paraId="22B10DB2" w14:textId="77777777" w:rsidR="00F81A5B" w:rsidRPr="000B46A1" w:rsidRDefault="00F81A5B" w:rsidP="00F81A5B">
      <w:pPr>
        <w:spacing w:before="120" w:after="120" w:line="360" w:lineRule="auto"/>
        <w:ind w:left="850" w:hanging="850"/>
        <w:rPr>
          <w:szCs w:val="24"/>
          <w:lang w:eastAsia="en-US"/>
        </w:rPr>
      </w:pPr>
      <w:r w:rsidRPr="000B46A1">
        <w:rPr>
          <w:szCs w:val="24"/>
          <w:lang w:eastAsia="en-US"/>
        </w:rPr>
        <w:t>3.</w:t>
      </w:r>
      <w:r w:rsidRPr="000B46A1">
        <w:rPr>
          <w:szCs w:val="24"/>
          <w:lang w:eastAsia="en-US"/>
        </w:rPr>
        <w:tab/>
      </w:r>
      <w:r w:rsidRPr="000B46A1">
        <w:rPr>
          <w:b/>
          <w:i/>
          <w:szCs w:val="24"/>
          <w:lang w:eastAsia="en-US"/>
        </w:rPr>
        <w:t xml:space="preserve">Member States shall aim to continuously develop innovative sources and methods and use them to improve statistics compiled under this Regulation, provided that they allow for producing statistics that meet the quality requirements laid down in Article 12. </w:t>
      </w:r>
      <w:r w:rsidRPr="000B46A1">
        <w:rPr>
          <w:szCs w:val="24"/>
          <w:lang w:eastAsia="en-US"/>
        </w:rPr>
        <w:t>▌</w:t>
      </w:r>
    </w:p>
    <w:p w14:paraId="7D673BD4" w14:textId="77777777" w:rsidR="00F81A5B" w:rsidRPr="000B46A1" w:rsidRDefault="00F81A5B" w:rsidP="00F81A5B">
      <w:pPr>
        <w:spacing w:before="120" w:after="120" w:line="360" w:lineRule="auto"/>
        <w:ind w:left="850" w:hanging="850"/>
        <w:rPr>
          <w:szCs w:val="24"/>
          <w:lang w:eastAsia="en-US"/>
        </w:rPr>
      </w:pPr>
      <w:r w:rsidRPr="000B46A1">
        <w:rPr>
          <w:szCs w:val="24"/>
          <w:lang w:eastAsia="en-US"/>
        </w:rPr>
        <w:t>4.</w:t>
      </w:r>
      <w:r w:rsidRPr="000B46A1">
        <w:rPr>
          <w:szCs w:val="24"/>
          <w:lang w:eastAsia="en-US"/>
        </w:rPr>
        <w:tab/>
        <w:t>The statistics compiled under this Regulation shall be based on statistically sound and well-documented methods taking into account international recommendations and best practice such as ‘signs of life’ ▌ and other scientifically-based statistical estimation methods used for compiling usually resident population in the Member States.</w:t>
      </w:r>
    </w:p>
    <w:p w14:paraId="7C6F2FDE" w14:textId="77777777" w:rsidR="00F81A5B" w:rsidRPr="000B46A1" w:rsidRDefault="00F81A5B" w:rsidP="00F81A5B">
      <w:pPr>
        <w:spacing w:before="120" w:after="120" w:line="360" w:lineRule="auto"/>
        <w:ind w:left="850" w:hanging="850"/>
        <w:rPr>
          <w:szCs w:val="24"/>
          <w:lang w:eastAsia="en-US"/>
        </w:rPr>
      </w:pPr>
      <w:r w:rsidRPr="000B46A1">
        <w:rPr>
          <w:szCs w:val="24"/>
          <w:lang w:eastAsia="en-US"/>
        </w:rPr>
        <w:t>5.</w:t>
      </w:r>
      <w:r w:rsidRPr="000B46A1">
        <w:rPr>
          <w:szCs w:val="24"/>
          <w:lang w:eastAsia="en-US"/>
        </w:rPr>
        <w:tab/>
        <w:t>Upon</w:t>
      </w:r>
      <w:r w:rsidRPr="000B46A1">
        <w:rPr>
          <w:b/>
          <w:i/>
          <w:szCs w:val="24"/>
          <w:lang w:eastAsia="en-US"/>
        </w:rPr>
        <w:t xml:space="preserve"> a duly justified request from the Commission (Eurostat)</w:t>
      </w:r>
      <w:r w:rsidRPr="000B46A1">
        <w:rPr>
          <w:szCs w:val="24"/>
          <w:lang w:eastAsia="en-US"/>
        </w:rPr>
        <w:t>, Member States shall provide the Commission (Eurostat) with the assessment results of the data sources, the documentation of methods and necessary clarifications.</w:t>
      </w:r>
    </w:p>
    <w:p w14:paraId="508C6197" w14:textId="77777777" w:rsidR="00F81A5B" w:rsidRPr="000B46A1" w:rsidRDefault="00F81A5B" w:rsidP="00F81A5B">
      <w:pPr>
        <w:spacing w:before="120" w:after="120" w:line="360" w:lineRule="auto"/>
        <w:jc w:val="center"/>
        <w:rPr>
          <w:szCs w:val="24"/>
          <w:lang w:eastAsia="en-US"/>
        </w:rPr>
      </w:pPr>
      <w:r w:rsidRPr="000B46A1">
        <w:rPr>
          <w:szCs w:val="24"/>
          <w:lang w:eastAsia="en-US"/>
        </w:rPr>
        <w:t>Article 10</w:t>
      </w:r>
      <w:r w:rsidRPr="000B46A1">
        <w:rPr>
          <w:szCs w:val="24"/>
          <w:lang w:eastAsia="en-US"/>
        </w:rPr>
        <w:br/>
        <w:t>Timely access to and reuse of administrative data</w:t>
      </w:r>
    </w:p>
    <w:p w14:paraId="3488C721" w14:textId="77777777" w:rsidR="00F81A5B" w:rsidRPr="000B46A1" w:rsidRDefault="00F81A5B" w:rsidP="00F81A5B">
      <w:pPr>
        <w:spacing w:before="120" w:after="120" w:line="360" w:lineRule="auto"/>
        <w:ind w:left="850" w:hanging="850"/>
        <w:rPr>
          <w:szCs w:val="24"/>
          <w:lang w:eastAsia="en-US"/>
        </w:rPr>
      </w:pPr>
      <w:r w:rsidRPr="000B46A1">
        <w:rPr>
          <w:szCs w:val="24"/>
          <w:lang w:eastAsia="en-US"/>
        </w:rPr>
        <w:t>1.</w:t>
      </w:r>
      <w:r w:rsidRPr="000B46A1">
        <w:rPr>
          <w:szCs w:val="24"/>
          <w:lang w:eastAsia="en-US"/>
        </w:rPr>
        <w:tab/>
      </w:r>
      <w:r w:rsidRPr="000B46A1">
        <w:rPr>
          <w:b/>
          <w:i/>
          <w:szCs w:val="24"/>
          <w:lang w:eastAsia="en-US"/>
        </w:rPr>
        <w:t xml:space="preserve">In accordance with Article 17a of Regulation (EC) No 223/2009, </w:t>
      </w:r>
      <w:r w:rsidRPr="000B46A1">
        <w:rPr>
          <w:szCs w:val="24"/>
          <w:lang w:eastAsia="en-US"/>
        </w:rPr>
        <w:t xml:space="preserve">national authorities in charge of administrative data sources relevant for the purposes of this Regulation shall allow reuse of these data in time and frequency sufficient to produce and submit statistics within the deadlines and compliant with the specific quality requirements according to this Regulation. </w:t>
      </w:r>
      <w:r w:rsidRPr="000B46A1">
        <w:rPr>
          <w:b/>
          <w:i/>
          <w:szCs w:val="24"/>
          <w:lang w:eastAsia="en-US"/>
        </w:rPr>
        <w:t xml:space="preserve">National statistical authorities and the </w:t>
      </w:r>
      <w:r w:rsidRPr="000B46A1">
        <w:rPr>
          <w:b/>
          <w:i/>
          <w:szCs w:val="24"/>
          <w:lang w:eastAsia="en-US"/>
        </w:rPr>
        <w:lastRenderedPageBreak/>
        <w:t>national authorities in charge of the administrative records</w:t>
      </w:r>
      <w:r w:rsidRPr="000B46A1">
        <w:rPr>
          <w:szCs w:val="24"/>
          <w:lang w:eastAsia="en-US"/>
        </w:rPr>
        <w:t xml:space="preserve"> shall </w:t>
      </w:r>
      <w:r w:rsidRPr="000B46A1">
        <w:rPr>
          <w:b/>
          <w:i/>
          <w:szCs w:val="24"/>
          <w:lang w:eastAsia="en-US"/>
        </w:rPr>
        <w:t>establish the necessary</w:t>
      </w:r>
      <w:r w:rsidRPr="000B46A1">
        <w:rPr>
          <w:szCs w:val="24"/>
          <w:lang w:eastAsia="en-US"/>
        </w:rPr>
        <w:t xml:space="preserve"> cooperation </w:t>
      </w:r>
      <w:r w:rsidRPr="000B46A1">
        <w:rPr>
          <w:b/>
          <w:i/>
          <w:szCs w:val="24"/>
          <w:lang w:eastAsia="en-US"/>
        </w:rPr>
        <w:t>mechanisms for the timely and free of charge access to those records</w:t>
      </w:r>
      <w:r w:rsidRPr="000B46A1">
        <w:rPr>
          <w:szCs w:val="24"/>
          <w:lang w:eastAsia="en-US"/>
        </w:rPr>
        <w:t>.</w:t>
      </w:r>
    </w:p>
    <w:p w14:paraId="7E4C1EB1" w14:textId="64F06A6E" w:rsidR="00F81A5B" w:rsidRPr="000B46A1" w:rsidRDefault="00F81A5B" w:rsidP="00F81A5B">
      <w:pPr>
        <w:spacing w:before="120" w:after="120" w:line="360" w:lineRule="auto"/>
        <w:ind w:left="850" w:hanging="850"/>
        <w:rPr>
          <w:szCs w:val="24"/>
          <w:lang w:eastAsia="en-US"/>
        </w:rPr>
      </w:pPr>
      <w:r w:rsidRPr="000B46A1">
        <w:rPr>
          <w:b/>
          <w:i/>
          <w:szCs w:val="24"/>
          <w:lang w:eastAsia="en-US"/>
        </w:rPr>
        <w:t>1a.</w:t>
      </w:r>
      <w:r w:rsidRPr="000B46A1">
        <w:rPr>
          <w:szCs w:val="24"/>
          <w:lang w:eastAsia="en-US"/>
        </w:rPr>
        <w:tab/>
      </w:r>
      <w:r w:rsidRPr="000B46A1">
        <w:rPr>
          <w:b/>
          <w:i/>
          <w:szCs w:val="24"/>
          <w:lang w:eastAsia="en-US"/>
        </w:rPr>
        <w:t>For the purpose of producing statistics on the detailed topic of energy related characteristics of buildings, national statistical authorities shall have timely and regular access to the national databases on energy performance of buildings according to Directive</w:t>
      </w:r>
      <w:r w:rsidR="00841434">
        <w:rPr>
          <w:b/>
          <w:i/>
          <w:szCs w:val="24"/>
          <w:lang w:eastAsia="en-US"/>
        </w:rPr>
        <w:t xml:space="preserve"> </w:t>
      </w:r>
      <w:r w:rsidR="00F04BD3">
        <w:rPr>
          <w:b/>
          <w:i/>
          <w:szCs w:val="24"/>
          <w:lang w:eastAsia="en-US"/>
        </w:rPr>
        <w:t xml:space="preserve">(EU) </w:t>
      </w:r>
      <w:r w:rsidR="00841434" w:rsidRPr="00EF6A92">
        <w:rPr>
          <w:b/>
          <w:i/>
          <w:szCs w:val="24"/>
          <w:lang w:eastAsia="en-US"/>
        </w:rPr>
        <w:t>2024/1275</w:t>
      </w:r>
      <w:r w:rsidRPr="000B46A1">
        <w:rPr>
          <w:b/>
          <w:i/>
          <w:szCs w:val="24"/>
          <w:lang w:eastAsia="en-US"/>
        </w:rPr>
        <w:t xml:space="preserve"> and shall be allowed to reuse administrative data from those databases.</w:t>
      </w:r>
    </w:p>
    <w:p w14:paraId="4942671C" w14:textId="75C1EACA" w:rsidR="00F81A5B" w:rsidRPr="000B46A1" w:rsidRDefault="00F81A5B" w:rsidP="00F81A5B">
      <w:pPr>
        <w:spacing w:before="120" w:after="120" w:line="360" w:lineRule="auto"/>
        <w:ind w:left="850" w:hanging="850"/>
        <w:rPr>
          <w:szCs w:val="24"/>
          <w:lang w:eastAsia="en-US"/>
        </w:rPr>
      </w:pPr>
      <w:r w:rsidRPr="000B46A1">
        <w:rPr>
          <w:b/>
          <w:i/>
          <w:szCs w:val="24"/>
          <w:lang w:eastAsia="en-US"/>
        </w:rPr>
        <w:t>1b.</w:t>
      </w:r>
      <w:r w:rsidRPr="000B46A1">
        <w:rPr>
          <w:szCs w:val="24"/>
          <w:lang w:eastAsia="en-US"/>
        </w:rPr>
        <w:tab/>
      </w:r>
      <w:r w:rsidRPr="000B46A1">
        <w:rPr>
          <w:b/>
          <w:i/>
          <w:szCs w:val="24"/>
          <w:lang w:eastAsia="en-US"/>
        </w:rPr>
        <w:t>For the purpose of producing population breakdowns by sex, national statistical institutes shall use information available in national administrative data sources.</w:t>
      </w:r>
    </w:p>
    <w:p w14:paraId="137A6BED" w14:textId="77777777" w:rsidR="00F81A5B" w:rsidRPr="000B46A1" w:rsidRDefault="00F81A5B" w:rsidP="00F81A5B">
      <w:pPr>
        <w:spacing w:before="120" w:after="120" w:line="360" w:lineRule="auto"/>
        <w:ind w:left="850" w:hanging="850"/>
        <w:rPr>
          <w:szCs w:val="24"/>
          <w:lang w:eastAsia="en-US"/>
        </w:rPr>
      </w:pPr>
      <w:r w:rsidRPr="000B46A1">
        <w:rPr>
          <w:szCs w:val="24"/>
          <w:lang w:eastAsia="en-US"/>
        </w:rPr>
        <w:t>2.</w:t>
      </w:r>
      <w:r w:rsidRPr="000B46A1">
        <w:rPr>
          <w:szCs w:val="24"/>
          <w:lang w:eastAsia="en-US"/>
        </w:rPr>
        <w:tab/>
        <w:t>For the purposes of this Regulation, the Commission (Eurostat) shall be allowed, upon request, to access and reuse in a timely manner relevant data and metadata from databases and interoperability systems maintained by Union bodies and agencies, including under Regulations (EU) No 910/2014, (EU) 2018/1724 and statistical data stored in the central repository for reporting and statistics (CRRS)</w:t>
      </w:r>
      <w:r w:rsidRPr="000B46A1">
        <w:rPr>
          <w:b/>
          <w:i/>
          <w:szCs w:val="24"/>
          <w:lang w:eastAsia="en-US"/>
        </w:rPr>
        <w:t>. In particular, data from the interoperable Large Scale IT Systems (LSITs) in the area of freedom, security and justice shall be accessed by the Commission (Eurostat) from the CRRS</w:t>
      </w:r>
      <w:r w:rsidRPr="000B46A1">
        <w:rPr>
          <w:szCs w:val="24"/>
          <w:lang w:eastAsia="en-US"/>
        </w:rPr>
        <w:t>, in accordance with Regulations (EU) 2019/817 and (EU) 2019/818 and the Regulations establishing the systems whose statistical data are stored in CRRS. For that purpose, the Commission (Eurostat) shall further cooperate with the relevant Union bodies and agencies with a view to specifying the customised statistical data and metadata required, where possible under Union law, for European statistics on population and housing, the operational modalities for their provision and the necessary accompanying physical and logical safeguards.</w:t>
      </w:r>
    </w:p>
    <w:p w14:paraId="5A8B12E7" w14:textId="77777777" w:rsidR="00F81A5B" w:rsidRPr="000B46A1" w:rsidRDefault="00F81A5B" w:rsidP="00F81A5B">
      <w:pPr>
        <w:spacing w:before="120" w:after="120" w:line="360" w:lineRule="auto"/>
        <w:jc w:val="center"/>
        <w:rPr>
          <w:szCs w:val="24"/>
          <w:lang w:eastAsia="en-US"/>
        </w:rPr>
      </w:pPr>
      <w:r w:rsidRPr="000B46A1">
        <w:rPr>
          <w:szCs w:val="24"/>
          <w:lang w:eastAsia="en-US"/>
        </w:rPr>
        <w:t>Article 11</w:t>
      </w:r>
      <w:r w:rsidRPr="000B46A1">
        <w:rPr>
          <w:szCs w:val="24"/>
          <w:lang w:eastAsia="en-US"/>
        </w:rPr>
        <w:br/>
        <w:t>Lists of countries and territories</w:t>
      </w:r>
    </w:p>
    <w:p w14:paraId="2460FD6A" w14:textId="77777777" w:rsidR="00F81A5B" w:rsidRPr="000B46A1" w:rsidRDefault="00F81A5B" w:rsidP="00F81A5B">
      <w:pPr>
        <w:spacing w:before="120" w:after="120" w:line="360" w:lineRule="auto"/>
        <w:ind w:left="850" w:hanging="850"/>
        <w:rPr>
          <w:szCs w:val="24"/>
          <w:lang w:eastAsia="en-US"/>
        </w:rPr>
      </w:pPr>
      <w:r w:rsidRPr="000B46A1">
        <w:rPr>
          <w:szCs w:val="24"/>
          <w:lang w:eastAsia="en-US"/>
        </w:rPr>
        <w:t>1.</w:t>
      </w:r>
      <w:r w:rsidRPr="000B46A1">
        <w:rPr>
          <w:szCs w:val="24"/>
          <w:lang w:eastAsia="en-US"/>
        </w:rPr>
        <w:tab/>
        <w:t>Where data sets include information by countries or territories, Member States shall use specific breakdowns for the purposes of this Regulation and of Regulation (EC) No 862/2007.</w:t>
      </w:r>
    </w:p>
    <w:p w14:paraId="37E688A6" w14:textId="77777777" w:rsidR="00F81A5B" w:rsidRPr="000B46A1" w:rsidRDefault="00F81A5B" w:rsidP="00F81A5B">
      <w:pPr>
        <w:spacing w:before="120" w:after="120" w:line="360" w:lineRule="auto"/>
        <w:ind w:left="850" w:hanging="850"/>
        <w:rPr>
          <w:szCs w:val="24"/>
          <w:lang w:eastAsia="en-US"/>
        </w:rPr>
      </w:pPr>
      <w:r w:rsidRPr="000B46A1">
        <w:rPr>
          <w:szCs w:val="24"/>
          <w:lang w:eastAsia="en-US"/>
        </w:rPr>
        <w:t>2.</w:t>
      </w:r>
      <w:r w:rsidRPr="000B46A1">
        <w:rPr>
          <w:szCs w:val="24"/>
          <w:lang w:eastAsia="en-US"/>
        </w:rPr>
        <w:tab/>
        <w:t xml:space="preserve">The Commission shall adopt implementing acts specifying or updating the lists of countries and </w:t>
      </w:r>
      <w:r w:rsidRPr="000B46A1">
        <w:rPr>
          <w:b/>
          <w:i/>
          <w:szCs w:val="24"/>
          <w:lang w:eastAsia="en-US"/>
        </w:rPr>
        <w:t>territories</w:t>
      </w:r>
      <w:r w:rsidRPr="000B46A1">
        <w:rPr>
          <w:szCs w:val="24"/>
          <w:lang w:eastAsia="en-US"/>
        </w:rPr>
        <w:t xml:space="preserve"> that shall apply to breakdowns of statistics compiled under this Regulation. Those implementing acts shall be adopted in accordance with the </w:t>
      </w:r>
      <w:r w:rsidRPr="000B46A1">
        <w:rPr>
          <w:szCs w:val="24"/>
          <w:lang w:eastAsia="en-US"/>
        </w:rPr>
        <w:lastRenderedPageBreak/>
        <w:t>examination procedure referred to in Article 18(2) of this Regulation. ▌</w:t>
      </w:r>
    </w:p>
    <w:p w14:paraId="22152A8A" w14:textId="77777777" w:rsidR="00F81A5B" w:rsidRPr="000B46A1" w:rsidRDefault="00F81A5B" w:rsidP="00F81A5B">
      <w:pPr>
        <w:spacing w:before="120" w:after="120" w:line="360" w:lineRule="auto"/>
        <w:ind w:left="850" w:hanging="850"/>
        <w:rPr>
          <w:szCs w:val="24"/>
          <w:lang w:eastAsia="en-US"/>
        </w:rPr>
      </w:pPr>
      <w:r w:rsidRPr="000B46A1">
        <w:rPr>
          <w:szCs w:val="24"/>
          <w:lang w:eastAsia="en-US"/>
        </w:rPr>
        <w:t>3.</w:t>
      </w:r>
      <w:r w:rsidRPr="000B46A1">
        <w:rPr>
          <w:szCs w:val="24"/>
          <w:lang w:eastAsia="en-US"/>
        </w:rPr>
        <w:tab/>
        <w:t>Implementing acts amending more than one third of the breakdown categories of countries or territories shall apply at the earliest 12 months after their entry into force.</w:t>
      </w:r>
    </w:p>
    <w:p w14:paraId="210DA8A2" w14:textId="77777777" w:rsidR="00F81A5B" w:rsidRPr="000B46A1" w:rsidRDefault="00F81A5B" w:rsidP="00F81A5B">
      <w:pPr>
        <w:spacing w:before="120" w:after="120" w:line="360" w:lineRule="auto"/>
        <w:jc w:val="center"/>
        <w:rPr>
          <w:szCs w:val="24"/>
          <w:lang w:eastAsia="en-US"/>
        </w:rPr>
      </w:pPr>
      <w:r w:rsidRPr="000B46A1">
        <w:rPr>
          <w:szCs w:val="24"/>
          <w:lang w:eastAsia="en-US"/>
        </w:rPr>
        <w:t>Article 12</w:t>
      </w:r>
      <w:r w:rsidRPr="000B46A1">
        <w:rPr>
          <w:szCs w:val="24"/>
          <w:lang w:eastAsia="en-US"/>
        </w:rPr>
        <w:br/>
        <w:t>Quality requirements and quality reporting</w:t>
      </w:r>
    </w:p>
    <w:p w14:paraId="240B00AE" w14:textId="77777777" w:rsidR="00F81A5B" w:rsidRPr="000B46A1" w:rsidRDefault="00F81A5B" w:rsidP="00F81A5B">
      <w:pPr>
        <w:spacing w:before="120" w:after="120" w:line="360" w:lineRule="auto"/>
        <w:ind w:left="850" w:hanging="850"/>
        <w:rPr>
          <w:szCs w:val="24"/>
          <w:lang w:eastAsia="en-US"/>
        </w:rPr>
      </w:pPr>
      <w:r w:rsidRPr="000B46A1">
        <w:rPr>
          <w:szCs w:val="24"/>
          <w:lang w:eastAsia="en-US"/>
        </w:rPr>
        <w:t>1.</w:t>
      </w:r>
      <w:r w:rsidRPr="000B46A1">
        <w:rPr>
          <w:szCs w:val="24"/>
          <w:lang w:eastAsia="en-US"/>
        </w:rPr>
        <w:tab/>
        <w:t xml:space="preserve">Member States shall take the necessary measures to ensure the quality of the data sets and metadata </w:t>
      </w:r>
      <w:r w:rsidRPr="000B46A1">
        <w:rPr>
          <w:b/>
          <w:i/>
          <w:szCs w:val="24"/>
          <w:lang w:eastAsia="en-US"/>
        </w:rPr>
        <w:t>transmitted</w:t>
      </w:r>
      <w:r w:rsidRPr="000B46A1">
        <w:rPr>
          <w:szCs w:val="24"/>
          <w:lang w:eastAsia="en-US"/>
        </w:rPr>
        <w:t>.</w:t>
      </w:r>
    </w:p>
    <w:p w14:paraId="5525E508" w14:textId="77777777" w:rsidR="00F81A5B" w:rsidRPr="000B46A1" w:rsidRDefault="00F81A5B" w:rsidP="00F81A5B">
      <w:pPr>
        <w:spacing w:before="120" w:after="120" w:line="360" w:lineRule="auto"/>
        <w:ind w:left="850" w:hanging="850"/>
        <w:rPr>
          <w:szCs w:val="24"/>
          <w:lang w:eastAsia="en-US"/>
        </w:rPr>
      </w:pPr>
      <w:r w:rsidRPr="000B46A1">
        <w:rPr>
          <w:szCs w:val="24"/>
          <w:lang w:eastAsia="en-US"/>
        </w:rPr>
        <w:t>2.</w:t>
      </w:r>
      <w:r w:rsidRPr="000B46A1">
        <w:rPr>
          <w:szCs w:val="24"/>
          <w:lang w:eastAsia="en-US"/>
        </w:rPr>
        <w:tab/>
        <w:t>Member States shall take appropriate and effective measures to:</w:t>
      </w:r>
    </w:p>
    <w:p w14:paraId="29D04B3C" w14:textId="77777777" w:rsidR="00F81A5B" w:rsidRPr="000B46A1" w:rsidRDefault="00F81A5B" w:rsidP="00F81A5B">
      <w:pPr>
        <w:spacing w:before="120" w:after="120" w:line="360" w:lineRule="auto"/>
        <w:ind w:left="1416" w:hanging="566"/>
        <w:rPr>
          <w:szCs w:val="24"/>
          <w:lang w:eastAsia="en-US"/>
        </w:rPr>
      </w:pPr>
      <w:r w:rsidRPr="000B46A1">
        <w:rPr>
          <w:szCs w:val="24"/>
          <w:lang w:eastAsia="en-US"/>
        </w:rPr>
        <w:t>(a)</w:t>
      </w:r>
      <w:r w:rsidRPr="000B46A1">
        <w:rPr>
          <w:szCs w:val="24"/>
          <w:lang w:eastAsia="en-US"/>
        </w:rPr>
        <w:tab/>
      </w:r>
      <w:proofErr w:type="gramStart"/>
      <w:r w:rsidRPr="000B46A1">
        <w:rPr>
          <w:szCs w:val="24"/>
          <w:lang w:eastAsia="en-US"/>
        </w:rPr>
        <w:t>implement</w:t>
      </w:r>
      <w:proofErr w:type="gramEnd"/>
      <w:r w:rsidRPr="000B46A1">
        <w:rPr>
          <w:szCs w:val="24"/>
          <w:lang w:eastAsia="en-US"/>
        </w:rPr>
        <w:t xml:space="preserve"> the rules related to the population base as laid down in Article 3, uniformly and independently of the data sources used;</w:t>
      </w:r>
    </w:p>
    <w:p w14:paraId="36E302C8" w14:textId="77777777" w:rsidR="00F81A5B" w:rsidRPr="000B46A1" w:rsidRDefault="00F81A5B" w:rsidP="00F81A5B">
      <w:pPr>
        <w:spacing w:before="120" w:after="120" w:line="360" w:lineRule="auto"/>
        <w:ind w:left="1416" w:hanging="566"/>
        <w:rPr>
          <w:szCs w:val="24"/>
          <w:lang w:eastAsia="en-US"/>
        </w:rPr>
      </w:pPr>
      <w:r w:rsidRPr="000B46A1">
        <w:rPr>
          <w:szCs w:val="24"/>
          <w:lang w:eastAsia="en-US"/>
        </w:rPr>
        <w:t>(b)</w:t>
      </w:r>
      <w:r w:rsidRPr="000B46A1">
        <w:rPr>
          <w:szCs w:val="24"/>
          <w:lang w:eastAsia="en-US"/>
        </w:rPr>
        <w:tab/>
      </w:r>
      <w:proofErr w:type="gramStart"/>
      <w:r w:rsidRPr="000B46A1">
        <w:rPr>
          <w:szCs w:val="24"/>
          <w:lang w:eastAsia="en-US"/>
        </w:rPr>
        <w:t>capture</w:t>
      </w:r>
      <w:proofErr w:type="gramEnd"/>
      <w:r w:rsidRPr="000B46A1">
        <w:rPr>
          <w:szCs w:val="24"/>
          <w:lang w:eastAsia="en-US"/>
        </w:rPr>
        <w:t xml:space="preserve"> or estimate hard-to-reach population groups;</w:t>
      </w:r>
    </w:p>
    <w:p w14:paraId="3DEE7F29" w14:textId="77777777" w:rsidR="00F81A5B" w:rsidRPr="000B46A1" w:rsidRDefault="00F81A5B" w:rsidP="00F81A5B">
      <w:pPr>
        <w:spacing w:before="120" w:after="120" w:line="360" w:lineRule="auto"/>
        <w:ind w:left="1416" w:hanging="566"/>
        <w:rPr>
          <w:szCs w:val="24"/>
          <w:lang w:eastAsia="en-US"/>
        </w:rPr>
      </w:pPr>
      <w:r w:rsidRPr="000B46A1">
        <w:rPr>
          <w:szCs w:val="24"/>
          <w:lang w:eastAsia="en-US"/>
        </w:rPr>
        <w:t>(c)</w:t>
      </w:r>
      <w:r w:rsidRPr="000B46A1">
        <w:rPr>
          <w:szCs w:val="24"/>
          <w:lang w:eastAsia="en-US"/>
        </w:rPr>
        <w:tab/>
      </w:r>
      <w:proofErr w:type="gramStart"/>
      <w:r w:rsidRPr="000B46A1">
        <w:rPr>
          <w:szCs w:val="24"/>
          <w:lang w:eastAsia="en-US"/>
        </w:rPr>
        <w:t>control</w:t>
      </w:r>
      <w:proofErr w:type="gramEnd"/>
      <w:r w:rsidRPr="000B46A1">
        <w:rPr>
          <w:szCs w:val="24"/>
          <w:lang w:eastAsia="en-US"/>
        </w:rPr>
        <w:t xml:space="preserve"> the exhaustiveness and accuracy of the population covered in accordance with Article 3;</w:t>
      </w:r>
    </w:p>
    <w:p w14:paraId="01910CD5" w14:textId="77777777" w:rsidR="00F81A5B" w:rsidRPr="000B46A1" w:rsidRDefault="00F81A5B" w:rsidP="00F81A5B">
      <w:pPr>
        <w:spacing w:before="120" w:after="120" w:line="360" w:lineRule="auto"/>
        <w:ind w:left="1416" w:hanging="566"/>
        <w:rPr>
          <w:szCs w:val="24"/>
          <w:lang w:eastAsia="en-US"/>
        </w:rPr>
      </w:pPr>
      <w:r w:rsidRPr="000B46A1">
        <w:rPr>
          <w:szCs w:val="24"/>
          <w:lang w:eastAsia="en-US"/>
        </w:rPr>
        <w:t>(d)</w:t>
      </w:r>
      <w:r w:rsidRPr="000B46A1">
        <w:rPr>
          <w:szCs w:val="24"/>
          <w:lang w:eastAsia="en-US"/>
        </w:rPr>
        <w:tab/>
      </w:r>
      <w:proofErr w:type="gramStart"/>
      <w:r w:rsidRPr="000B46A1">
        <w:rPr>
          <w:szCs w:val="24"/>
          <w:lang w:eastAsia="en-US"/>
        </w:rPr>
        <w:t>establish</w:t>
      </w:r>
      <w:proofErr w:type="gramEnd"/>
      <w:r w:rsidRPr="000B46A1">
        <w:rPr>
          <w:szCs w:val="24"/>
          <w:lang w:eastAsia="en-US"/>
        </w:rPr>
        <w:t xml:space="preserve"> frames that are fit for the purposes of this Regulation and of Article 12 of Regulation (EU) 2019/1700;</w:t>
      </w:r>
    </w:p>
    <w:p w14:paraId="34A5FF0D" w14:textId="77777777" w:rsidR="00F81A5B" w:rsidRPr="000B46A1" w:rsidRDefault="00F81A5B" w:rsidP="00F81A5B">
      <w:pPr>
        <w:spacing w:before="120" w:after="120" w:line="360" w:lineRule="auto"/>
        <w:ind w:left="1416" w:hanging="566"/>
        <w:rPr>
          <w:szCs w:val="24"/>
          <w:lang w:eastAsia="en-US"/>
        </w:rPr>
      </w:pPr>
      <w:r w:rsidRPr="000B46A1">
        <w:rPr>
          <w:szCs w:val="24"/>
          <w:lang w:eastAsia="en-US"/>
        </w:rPr>
        <w:t>(e)</w:t>
      </w:r>
      <w:r w:rsidRPr="000B46A1">
        <w:rPr>
          <w:szCs w:val="24"/>
          <w:lang w:eastAsia="en-US"/>
        </w:rPr>
        <w:tab/>
        <w:t>avoid possible risks of undercounting or double counting related to the free movement of persons in the Union, the access of persons to cross-border services linked to vital events and the person rights to buy cross-border, own and use housing property across the Union</w:t>
      </w:r>
      <w:r w:rsidRPr="000B46A1">
        <w:rPr>
          <w:b/>
          <w:i/>
          <w:szCs w:val="24"/>
          <w:lang w:eastAsia="en-US"/>
        </w:rPr>
        <w:t>, such as by introducing single digital identifiers</w:t>
      </w:r>
      <w:r w:rsidRPr="000B46A1">
        <w:rPr>
          <w:szCs w:val="24"/>
          <w:lang w:eastAsia="en-US"/>
        </w:rPr>
        <w:t>;</w:t>
      </w:r>
    </w:p>
    <w:p w14:paraId="5F366DFD" w14:textId="77777777" w:rsidR="00F81A5B" w:rsidRPr="000B46A1" w:rsidRDefault="00F81A5B" w:rsidP="00F81A5B">
      <w:pPr>
        <w:spacing w:before="120" w:after="120" w:line="360" w:lineRule="auto"/>
        <w:ind w:left="1416" w:hanging="566"/>
        <w:rPr>
          <w:szCs w:val="24"/>
          <w:lang w:eastAsia="en-US"/>
        </w:rPr>
      </w:pPr>
      <w:r w:rsidRPr="000B46A1">
        <w:rPr>
          <w:szCs w:val="24"/>
          <w:lang w:eastAsia="en-US"/>
        </w:rPr>
        <w:t>(f)</w:t>
      </w:r>
      <w:r w:rsidRPr="000B46A1">
        <w:rPr>
          <w:szCs w:val="24"/>
          <w:lang w:eastAsia="en-US"/>
        </w:rPr>
        <w:tab/>
      </w:r>
      <w:proofErr w:type="gramStart"/>
      <w:r w:rsidRPr="000B46A1">
        <w:rPr>
          <w:b/>
          <w:i/>
          <w:szCs w:val="24"/>
          <w:lang w:eastAsia="en-US"/>
        </w:rPr>
        <w:t>avoid</w:t>
      </w:r>
      <w:proofErr w:type="gramEnd"/>
      <w:r w:rsidRPr="000B46A1">
        <w:rPr>
          <w:b/>
          <w:i/>
          <w:szCs w:val="24"/>
          <w:lang w:eastAsia="en-US"/>
        </w:rPr>
        <w:t xml:space="preserve"> possible risks of undercounting or double counting and ensure better comparability</w:t>
      </w:r>
      <w:r w:rsidRPr="000B46A1">
        <w:rPr>
          <w:szCs w:val="24"/>
          <w:lang w:eastAsia="en-US"/>
        </w:rPr>
        <w:t xml:space="preserve"> of migration flows;</w:t>
      </w:r>
    </w:p>
    <w:p w14:paraId="46266734" w14:textId="77777777" w:rsidR="00F81A5B" w:rsidRPr="000B46A1" w:rsidRDefault="00F81A5B" w:rsidP="00F81A5B">
      <w:pPr>
        <w:spacing w:before="120" w:after="120" w:line="360" w:lineRule="auto"/>
        <w:ind w:left="1416" w:hanging="566"/>
        <w:rPr>
          <w:szCs w:val="24"/>
          <w:lang w:eastAsia="en-US"/>
        </w:rPr>
      </w:pPr>
      <w:r w:rsidRPr="000B46A1">
        <w:rPr>
          <w:szCs w:val="24"/>
          <w:lang w:eastAsia="en-US"/>
        </w:rPr>
        <w:t>(g)</w:t>
      </w:r>
      <w:r w:rsidRPr="000B46A1">
        <w:rPr>
          <w:szCs w:val="24"/>
          <w:lang w:eastAsia="en-US"/>
        </w:rPr>
        <w:tab/>
      </w:r>
      <w:proofErr w:type="gramStart"/>
      <w:r w:rsidRPr="000B46A1">
        <w:rPr>
          <w:szCs w:val="24"/>
          <w:lang w:eastAsia="en-US"/>
        </w:rPr>
        <w:t>provide</w:t>
      </w:r>
      <w:proofErr w:type="gramEnd"/>
      <w:r w:rsidRPr="000B46A1">
        <w:rPr>
          <w:szCs w:val="24"/>
          <w:lang w:eastAsia="en-US"/>
        </w:rPr>
        <w:t xml:space="preserve"> all data to the Commission (Eurostat) that are needed to ensure the completeness of published European statistics.</w:t>
      </w:r>
    </w:p>
    <w:p w14:paraId="4A52016B" w14:textId="77777777" w:rsidR="00F81A5B" w:rsidRPr="000B46A1" w:rsidRDefault="00F81A5B" w:rsidP="00F81A5B">
      <w:pPr>
        <w:spacing w:before="120" w:after="120" w:line="360" w:lineRule="auto"/>
        <w:ind w:left="851" w:hanging="851"/>
        <w:rPr>
          <w:szCs w:val="24"/>
          <w:lang w:eastAsia="en-US"/>
        </w:rPr>
      </w:pPr>
      <w:r w:rsidRPr="000B46A1">
        <w:rPr>
          <w:b/>
          <w:i/>
          <w:szCs w:val="24"/>
          <w:lang w:eastAsia="en-US"/>
        </w:rPr>
        <w:t>2a.</w:t>
      </w:r>
      <w:r w:rsidRPr="000B46A1">
        <w:rPr>
          <w:szCs w:val="24"/>
          <w:lang w:eastAsia="en-US"/>
        </w:rPr>
        <w:tab/>
      </w:r>
      <w:r w:rsidRPr="000B46A1">
        <w:rPr>
          <w:b/>
          <w:i/>
          <w:szCs w:val="24"/>
          <w:lang w:eastAsia="en-US"/>
        </w:rPr>
        <w:t>The Commission (Eurostat) shall assess the quality of the metadata on the specifications, of the data with a view, inter alia, to publishing them in a user‐friendly manner on the Commission (Eurostat) website.</w:t>
      </w:r>
    </w:p>
    <w:p w14:paraId="470D434E" w14:textId="77777777" w:rsidR="00F81A5B" w:rsidRPr="000B46A1" w:rsidRDefault="00F81A5B" w:rsidP="00F81A5B">
      <w:pPr>
        <w:spacing w:before="120" w:after="120" w:line="360" w:lineRule="auto"/>
        <w:ind w:left="850" w:hanging="850"/>
        <w:rPr>
          <w:szCs w:val="24"/>
          <w:lang w:eastAsia="en-US"/>
        </w:rPr>
      </w:pPr>
      <w:r w:rsidRPr="000B46A1">
        <w:rPr>
          <w:szCs w:val="24"/>
          <w:lang w:eastAsia="en-US"/>
        </w:rPr>
        <w:t>3.</w:t>
      </w:r>
      <w:r w:rsidRPr="000B46A1">
        <w:rPr>
          <w:szCs w:val="24"/>
          <w:lang w:eastAsia="en-US"/>
        </w:rPr>
        <w:tab/>
        <w:t xml:space="preserve">Member States shall transmit to the Commission (Eurostat), for the first time by 31 March 2027 and every year thereafter ending with ‘0’, ‘3’ or ‘7’, a quality report </w:t>
      </w:r>
      <w:r w:rsidRPr="000B46A1">
        <w:rPr>
          <w:szCs w:val="24"/>
          <w:lang w:eastAsia="en-US"/>
        </w:rPr>
        <w:lastRenderedPageBreak/>
        <w:t>describing the quality of the statistics provided and the statistical processes for the data sets provided during the period</w:t>
      </w:r>
      <w:r w:rsidRPr="000B46A1">
        <w:rPr>
          <w:b/>
          <w:i/>
          <w:szCs w:val="24"/>
          <w:lang w:eastAsia="en-US"/>
        </w:rPr>
        <w:t>. Those quality reports shall include information</w:t>
      </w:r>
      <w:r w:rsidRPr="000B46A1">
        <w:rPr>
          <w:szCs w:val="24"/>
          <w:lang w:eastAsia="en-US"/>
        </w:rPr>
        <w:t xml:space="preserve"> on the data sources and methods used, the application of the concepts and definitions and related possible effects on quality of the selected data sources, data revisions and their reasons and impacts</w:t>
      </w:r>
      <w:r w:rsidRPr="000B46A1">
        <w:rPr>
          <w:b/>
          <w:i/>
          <w:szCs w:val="24"/>
          <w:lang w:eastAsia="en-US"/>
        </w:rPr>
        <w:t xml:space="preserve"> and</w:t>
      </w:r>
      <w:r w:rsidRPr="000B46A1">
        <w:rPr>
          <w:szCs w:val="24"/>
          <w:lang w:eastAsia="en-US"/>
        </w:rPr>
        <w:t xml:space="preserve"> the statistical disclosure control methods</w:t>
      </w:r>
      <w:r w:rsidRPr="000B46A1">
        <w:rPr>
          <w:b/>
          <w:i/>
          <w:szCs w:val="24"/>
          <w:lang w:eastAsia="en-US"/>
        </w:rPr>
        <w:t>. The quality reports shall also detail how Member States have applied the measures</w:t>
      </w:r>
      <w:r w:rsidRPr="000B46A1">
        <w:rPr>
          <w:szCs w:val="24"/>
          <w:lang w:eastAsia="en-US"/>
        </w:rPr>
        <w:t xml:space="preserve"> referred to in paragraph </w:t>
      </w:r>
      <w:r w:rsidRPr="000B46A1">
        <w:rPr>
          <w:b/>
          <w:i/>
          <w:szCs w:val="24"/>
          <w:lang w:eastAsia="en-US"/>
        </w:rPr>
        <w:t>1 and how the quality criteria</w:t>
      </w:r>
      <w:r w:rsidRPr="000B46A1">
        <w:rPr>
          <w:szCs w:val="24"/>
          <w:lang w:eastAsia="en-US"/>
        </w:rPr>
        <w:t xml:space="preserve"> referred to in paragraph </w:t>
      </w:r>
      <w:r w:rsidRPr="000B46A1">
        <w:rPr>
          <w:b/>
          <w:i/>
          <w:szCs w:val="24"/>
          <w:lang w:eastAsia="en-US"/>
        </w:rPr>
        <w:t>2 have been met</w:t>
      </w:r>
      <w:r w:rsidRPr="000B46A1">
        <w:rPr>
          <w:szCs w:val="24"/>
          <w:lang w:eastAsia="en-US"/>
        </w:rPr>
        <w:t>.</w:t>
      </w:r>
    </w:p>
    <w:p w14:paraId="62DBF494" w14:textId="77777777" w:rsidR="00F81A5B" w:rsidRPr="000B46A1" w:rsidRDefault="00F81A5B" w:rsidP="00F81A5B">
      <w:pPr>
        <w:spacing w:before="120" w:after="120" w:line="360" w:lineRule="auto"/>
        <w:ind w:left="850" w:hanging="850"/>
        <w:rPr>
          <w:szCs w:val="24"/>
          <w:lang w:eastAsia="en-US"/>
        </w:rPr>
      </w:pPr>
      <w:r w:rsidRPr="000B46A1">
        <w:rPr>
          <w:szCs w:val="24"/>
          <w:lang w:eastAsia="en-US"/>
        </w:rPr>
        <w:t>4.</w:t>
      </w:r>
      <w:r w:rsidRPr="000B46A1">
        <w:rPr>
          <w:szCs w:val="24"/>
          <w:lang w:eastAsia="en-US"/>
        </w:rPr>
        <w:tab/>
        <w:t xml:space="preserve">The Commission shall adopt implementing acts setting out the practical arrangements for the quality reports and their contents. </w:t>
      </w:r>
    </w:p>
    <w:p w14:paraId="2B42CB87" w14:textId="77777777" w:rsidR="00F81A5B" w:rsidRPr="000B46A1" w:rsidRDefault="00F81A5B" w:rsidP="00F81A5B">
      <w:pPr>
        <w:spacing w:before="120" w:after="120" w:line="360" w:lineRule="auto"/>
        <w:ind w:left="850" w:hanging="130"/>
        <w:rPr>
          <w:szCs w:val="24"/>
          <w:lang w:eastAsia="en-US"/>
        </w:rPr>
      </w:pPr>
      <w:r w:rsidRPr="000B46A1">
        <w:rPr>
          <w:szCs w:val="24"/>
          <w:lang w:eastAsia="en-US"/>
        </w:rPr>
        <w:t>Those implementing acts shall</w:t>
      </w:r>
      <w:r w:rsidRPr="000B46A1">
        <w:rPr>
          <w:b/>
          <w:i/>
          <w:szCs w:val="24"/>
          <w:lang w:eastAsia="en-US"/>
        </w:rPr>
        <w:t xml:space="preserve"> not impose a significant additional burden and costs on the Member States</w:t>
      </w:r>
      <w:r w:rsidRPr="000B46A1">
        <w:rPr>
          <w:szCs w:val="24"/>
          <w:lang w:eastAsia="en-US"/>
        </w:rPr>
        <w:t xml:space="preserve">. </w:t>
      </w:r>
    </w:p>
    <w:p w14:paraId="3C86B3E3" w14:textId="77777777" w:rsidR="00F81A5B" w:rsidRPr="000B46A1" w:rsidRDefault="00F81A5B" w:rsidP="00F81A5B">
      <w:pPr>
        <w:spacing w:before="120" w:after="120" w:line="360" w:lineRule="auto"/>
        <w:ind w:left="850" w:hanging="130"/>
        <w:rPr>
          <w:szCs w:val="24"/>
          <w:lang w:eastAsia="en-US"/>
        </w:rPr>
      </w:pPr>
      <w:r w:rsidRPr="000B46A1">
        <w:rPr>
          <w:szCs w:val="24"/>
          <w:lang w:eastAsia="en-US"/>
        </w:rPr>
        <w:t>They shall be adopted in accordance with the examination procedure referred to in Article 18(2).</w:t>
      </w:r>
    </w:p>
    <w:p w14:paraId="16AFEE00" w14:textId="77777777" w:rsidR="00F81A5B" w:rsidRPr="000B46A1" w:rsidRDefault="00F81A5B" w:rsidP="00F81A5B">
      <w:pPr>
        <w:spacing w:before="120" w:after="120" w:line="360" w:lineRule="auto"/>
        <w:ind w:left="850" w:hanging="850"/>
        <w:rPr>
          <w:szCs w:val="24"/>
          <w:lang w:eastAsia="en-US"/>
        </w:rPr>
      </w:pPr>
      <w:r w:rsidRPr="000B46A1">
        <w:rPr>
          <w:b/>
          <w:i/>
          <w:szCs w:val="24"/>
          <w:lang w:eastAsia="en-US"/>
        </w:rPr>
        <w:t>4a.</w:t>
      </w:r>
      <w:r w:rsidRPr="000B46A1">
        <w:rPr>
          <w:szCs w:val="24"/>
          <w:lang w:eastAsia="en-US"/>
        </w:rPr>
        <w:tab/>
      </w:r>
      <w:proofErr w:type="gramStart"/>
      <w:r w:rsidRPr="000B46A1">
        <w:rPr>
          <w:b/>
          <w:i/>
          <w:szCs w:val="24"/>
          <w:lang w:eastAsia="en-US"/>
        </w:rPr>
        <w:t>Any</w:t>
      </w:r>
      <w:proofErr w:type="gramEnd"/>
      <w:r w:rsidRPr="000B46A1">
        <w:rPr>
          <w:b/>
          <w:i/>
          <w:szCs w:val="24"/>
          <w:lang w:eastAsia="en-US"/>
        </w:rPr>
        <w:t xml:space="preserve"> major adaptation provided for by such implementing acts may be the subject of a financial and technical support pursuant to Article 15 or a derogation pursuant to Article 19(1a).</w:t>
      </w:r>
    </w:p>
    <w:p w14:paraId="764A2401" w14:textId="77777777" w:rsidR="00F81A5B" w:rsidRPr="000B46A1" w:rsidRDefault="00F81A5B" w:rsidP="00F81A5B">
      <w:pPr>
        <w:spacing w:before="120" w:after="120" w:line="360" w:lineRule="auto"/>
        <w:ind w:left="850" w:hanging="850"/>
        <w:rPr>
          <w:szCs w:val="24"/>
          <w:lang w:eastAsia="en-US"/>
        </w:rPr>
      </w:pPr>
      <w:r w:rsidRPr="000B46A1">
        <w:rPr>
          <w:szCs w:val="24"/>
          <w:lang w:eastAsia="en-US"/>
        </w:rPr>
        <w:t>5.</w:t>
      </w:r>
      <w:r w:rsidRPr="000B46A1">
        <w:rPr>
          <w:szCs w:val="24"/>
          <w:lang w:eastAsia="en-US"/>
        </w:rPr>
        <w:tab/>
        <w:t>Member States shall inform the Commission (Eurostat) as soon as possible of any relevant information or changes with regard to the implementation of this Regulation that would influence the quality of the statistics provided</w:t>
      </w:r>
      <w:r w:rsidRPr="000B46A1">
        <w:rPr>
          <w:b/>
          <w:i/>
          <w:szCs w:val="24"/>
          <w:lang w:eastAsia="en-US"/>
        </w:rPr>
        <w:t xml:space="preserve"> and shall take measures to resolve the issue without undue delay</w:t>
      </w:r>
      <w:r w:rsidRPr="000B46A1">
        <w:rPr>
          <w:szCs w:val="24"/>
          <w:lang w:eastAsia="en-US"/>
        </w:rPr>
        <w:t>.</w:t>
      </w:r>
    </w:p>
    <w:p w14:paraId="15542870" w14:textId="77777777" w:rsidR="00F81A5B" w:rsidRPr="000B46A1" w:rsidRDefault="00F81A5B" w:rsidP="00F81A5B">
      <w:pPr>
        <w:spacing w:before="120" w:after="120" w:line="360" w:lineRule="auto"/>
        <w:ind w:left="850" w:hanging="850"/>
        <w:rPr>
          <w:szCs w:val="24"/>
          <w:lang w:eastAsia="en-US"/>
        </w:rPr>
      </w:pPr>
      <w:r w:rsidRPr="000B46A1">
        <w:rPr>
          <w:szCs w:val="24"/>
          <w:lang w:eastAsia="en-US"/>
        </w:rPr>
        <w:t>6.</w:t>
      </w:r>
      <w:r w:rsidRPr="000B46A1">
        <w:rPr>
          <w:szCs w:val="24"/>
          <w:lang w:eastAsia="en-US"/>
        </w:rPr>
        <w:tab/>
        <w:t>Upon</w:t>
      </w:r>
      <w:r w:rsidRPr="000B46A1">
        <w:rPr>
          <w:b/>
          <w:i/>
          <w:szCs w:val="24"/>
          <w:lang w:eastAsia="en-US"/>
        </w:rPr>
        <w:t xml:space="preserve"> a duly justified</w:t>
      </w:r>
      <w:r w:rsidRPr="000B46A1">
        <w:rPr>
          <w:szCs w:val="24"/>
          <w:lang w:eastAsia="en-US"/>
        </w:rPr>
        <w:t xml:space="preserve"> request </w:t>
      </w:r>
      <w:r w:rsidRPr="000B46A1">
        <w:rPr>
          <w:b/>
          <w:i/>
          <w:szCs w:val="24"/>
          <w:lang w:eastAsia="en-US"/>
        </w:rPr>
        <w:t>from</w:t>
      </w:r>
      <w:r w:rsidRPr="000B46A1">
        <w:rPr>
          <w:szCs w:val="24"/>
          <w:lang w:eastAsia="en-US"/>
        </w:rPr>
        <w:t xml:space="preserve"> the Commission (Eurostat), Member States shall provide, without undue delay, necessary additional clarifications to evaluate the quality of the </w:t>
      </w:r>
      <w:r w:rsidRPr="000B46A1">
        <w:rPr>
          <w:b/>
          <w:i/>
          <w:szCs w:val="24"/>
          <w:lang w:eastAsia="en-US"/>
        </w:rPr>
        <w:t>statistical information, such as the assessment results of the data sources and the documentation of methods</w:t>
      </w:r>
      <w:r w:rsidRPr="000B46A1">
        <w:rPr>
          <w:szCs w:val="24"/>
          <w:lang w:eastAsia="en-US"/>
        </w:rPr>
        <w:t>.</w:t>
      </w:r>
    </w:p>
    <w:p w14:paraId="589FFDB8" w14:textId="77777777" w:rsidR="00F81A5B" w:rsidRPr="000B46A1" w:rsidRDefault="00F81A5B" w:rsidP="00F81A5B">
      <w:pPr>
        <w:spacing w:before="120" w:after="120" w:line="360" w:lineRule="auto"/>
        <w:jc w:val="center"/>
        <w:rPr>
          <w:szCs w:val="24"/>
          <w:lang w:eastAsia="en-US"/>
        </w:rPr>
      </w:pPr>
      <w:r w:rsidRPr="000B46A1">
        <w:rPr>
          <w:szCs w:val="24"/>
          <w:lang w:eastAsia="en-US"/>
        </w:rPr>
        <w:t>Article 13</w:t>
      </w:r>
      <w:r w:rsidRPr="000B46A1">
        <w:rPr>
          <w:szCs w:val="24"/>
          <w:lang w:eastAsia="en-US"/>
        </w:rPr>
        <w:br/>
        <w:t>Data sharing</w:t>
      </w:r>
    </w:p>
    <w:p w14:paraId="0CD55C0E" w14:textId="77777777" w:rsidR="00F81A5B" w:rsidRPr="000B46A1" w:rsidRDefault="00F81A5B" w:rsidP="00F81A5B">
      <w:pPr>
        <w:spacing w:before="120" w:after="120" w:line="360" w:lineRule="auto"/>
        <w:ind w:left="850" w:hanging="850"/>
        <w:rPr>
          <w:szCs w:val="24"/>
          <w:lang w:eastAsia="en-US"/>
        </w:rPr>
      </w:pPr>
      <w:r w:rsidRPr="000B46A1">
        <w:rPr>
          <w:szCs w:val="24"/>
          <w:lang w:eastAsia="en-US"/>
        </w:rPr>
        <w:t>1.</w:t>
      </w:r>
      <w:r w:rsidRPr="000B46A1">
        <w:rPr>
          <w:szCs w:val="24"/>
          <w:lang w:eastAsia="en-US"/>
        </w:rPr>
        <w:tab/>
      </w:r>
      <w:r w:rsidRPr="000B46A1">
        <w:rPr>
          <w:b/>
          <w:i/>
          <w:szCs w:val="24"/>
          <w:lang w:eastAsia="en-US"/>
        </w:rPr>
        <w:t>The purpose of data sharing between national statistical institutes and other</w:t>
      </w:r>
      <w:r w:rsidRPr="000B46A1">
        <w:rPr>
          <w:szCs w:val="24"/>
          <w:lang w:eastAsia="en-US"/>
        </w:rPr>
        <w:t xml:space="preserve"> national authorities </w:t>
      </w:r>
      <w:r w:rsidRPr="000B46A1">
        <w:rPr>
          <w:b/>
          <w:i/>
          <w:szCs w:val="24"/>
          <w:lang w:eastAsia="en-US"/>
        </w:rPr>
        <w:t>on the list referred to in Article 5(2) of Regulation (EC) No 223/2009 (national statistical authorities)</w:t>
      </w:r>
      <w:r w:rsidRPr="000B46A1">
        <w:rPr>
          <w:szCs w:val="24"/>
          <w:lang w:eastAsia="en-US"/>
        </w:rPr>
        <w:t xml:space="preserve">, and between those </w:t>
      </w:r>
      <w:r w:rsidRPr="000B46A1">
        <w:rPr>
          <w:b/>
          <w:i/>
          <w:szCs w:val="24"/>
          <w:lang w:eastAsia="en-US"/>
        </w:rPr>
        <w:t>national statistical</w:t>
      </w:r>
      <w:r w:rsidRPr="000B46A1">
        <w:rPr>
          <w:szCs w:val="24"/>
          <w:lang w:eastAsia="en-US"/>
        </w:rPr>
        <w:t xml:space="preserve"> authorities and the Commission (Eurostat), </w:t>
      </w:r>
      <w:r w:rsidRPr="000B46A1">
        <w:rPr>
          <w:b/>
          <w:i/>
          <w:szCs w:val="24"/>
          <w:lang w:eastAsia="en-US"/>
        </w:rPr>
        <w:t xml:space="preserve">shall be exclusively to </w:t>
      </w:r>
      <w:r w:rsidRPr="000B46A1">
        <w:rPr>
          <w:szCs w:val="24"/>
          <w:lang w:eastAsia="en-US"/>
        </w:rPr>
        <w:t xml:space="preserve">develop and </w:t>
      </w:r>
      <w:r w:rsidRPr="000B46A1">
        <w:rPr>
          <w:szCs w:val="24"/>
          <w:lang w:eastAsia="en-US"/>
        </w:rPr>
        <w:lastRenderedPageBreak/>
        <w:t>produce European statistics that fall within the scope of this Regulation and ▌to improve their quality.</w:t>
      </w:r>
    </w:p>
    <w:p w14:paraId="70394140" w14:textId="77777777" w:rsidR="00F81A5B" w:rsidRPr="000B46A1" w:rsidRDefault="00F81A5B" w:rsidP="00F81A5B">
      <w:pPr>
        <w:spacing w:before="120" w:after="120" w:line="360" w:lineRule="auto"/>
        <w:ind w:left="850" w:hanging="850"/>
        <w:rPr>
          <w:szCs w:val="24"/>
          <w:lang w:eastAsia="en-US"/>
        </w:rPr>
      </w:pPr>
      <w:r w:rsidRPr="000B46A1">
        <w:rPr>
          <w:szCs w:val="24"/>
          <w:lang w:eastAsia="en-US"/>
        </w:rPr>
        <w:t>2.</w:t>
      </w:r>
      <w:r w:rsidRPr="000B46A1">
        <w:rPr>
          <w:szCs w:val="24"/>
          <w:lang w:eastAsia="en-US"/>
        </w:rPr>
        <w:tab/>
        <w:t xml:space="preserve">In the interest of secure data sharing within the ESS, all necessary safeguards </w:t>
      </w:r>
      <w:r w:rsidRPr="000B46A1">
        <w:rPr>
          <w:b/>
          <w:i/>
          <w:szCs w:val="24"/>
          <w:lang w:eastAsia="en-US"/>
        </w:rPr>
        <w:t xml:space="preserve">including a secure data sharing infrastructure </w:t>
      </w:r>
      <w:r w:rsidRPr="000B46A1">
        <w:rPr>
          <w:szCs w:val="24"/>
          <w:lang w:eastAsia="en-US"/>
        </w:rPr>
        <w:t>with regard to the physical</w:t>
      </w:r>
      <w:r w:rsidRPr="000B46A1">
        <w:rPr>
          <w:b/>
          <w:i/>
          <w:szCs w:val="24"/>
          <w:lang w:eastAsia="en-US"/>
        </w:rPr>
        <w:t>, technical</w:t>
      </w:r>
      <w:r w:rsidRPr="000B46A1">
        <w:rPr>
          <w:szCs w:val="24"/>
          <w:lang w:eastAsia="en-US"/>
        </w:rPr>
        <w:t xml:space="preserve"> and logical protection of data shall be taken. The Commission (Eurostat) shall set up a secure infrastructure to facilitate data sharing referred to in paragraph 1. ▌National </w:t>
      </w:r>
      <w:r w:rsidRPr="000B46A1">
        <w:rPr>
          <w:b/>
          <w:i/>
          <w:szCs w:val="24"/>
          <w:lang w:eastAsia="en-US"/>
        </w:rPr>
        <w:t xml:space="preserve">statistical </w:t>
      </w:r>
      <w:r w:rsidRPr="000B46A1">
        <w:rPr>
          <w:szCs w:val="24"/>
          <w:lang w:eastAsia="en-US"/>
        </w:rPr>
        <w:t xml:space="preserve">authorities </w:t>
      </w:r>
      <w:r w:rsidRPr="000B46A1">
        <w:rPr>
          <w:b/>
          <w:i/>
          <w:szCs w:val="24"/>
          <w:lang w:eastAsia="en-US"/>
        </w:rPr>
        <w:t>may use this secure data sharing infrastructure for the purpose specified in paragraph 1. The Commission (Eurostat) and the national statistical authorities that</w:t>
      </w:r>
      <w:r w:rsidRPr="000B46A1">
        <w:rPr>
          <w:szCs w:val="24"/>
          <w:lang w:eastAsia="en-US"/>
        </w:rPr>
        <w:t xml:space="preserve"> use this secure data sharing infrastructure for the </w:t>
      </w:r>
      <w:r w:rsidRPr="000B46A1">
        <w:rPr>
          <w:b/>
          <w:i/>
          <w:szCs w:val="24"/>
          <w:lang w:eastAsia="en-US"/>
        </w:rPr>
        <w:t xml:space="preserve">processing of personal data in accordance with </w:t>
      </w:r>
      <w:r w:rsidRPr="000B46A1">
        <w:rPr>
          <w:szCs w:val="24"/>
          <w:lang w:eastAsia="en-US"/>
        </w:rPr>
        <w:t xml:space="preserve">paragraph </w:t>
      </w:r>
      <w:r w:rsidRPr="000B46A1">
        <w:rPr>
          <w:b/>
          <w:i/>
          <w:szCs w:val="24"/>
          <w:lang w:eastAsia="en-US"/>
        </w:rPr>
        <w:t>3 shall be considered as joint controllers for the processing of personal data in the secure data sharing infrastructure. In the event that the national statistical authorities use another data sharing infrastructure, they shall ensure that such infrastructure provides for at least equivalent security than the one set up by the Commission (Eurostat)</w:t>
      </w:r>
      <w:r w:rsidRPr="000B46A1">
        <w:rPr>
          <w:szCs w:val="24"/>
          <w:lang w:eastAsia="en-US"/>
        </w:rPr>
        <w:t>.</w:t>
      </w:r>
    </w:p>
    <w:p w14:paraId="5F892EFB" w14:textId="77777777" w:rsidR="00F81A5B" w:rsidRPr="000B46A1" w:rsidRDefault="00F81A5B" w:rsidP="00F81A5B">
      <w:pPr>
        <w:spacing w:before="120" w:after="120" w:line="360" w:lineRule="auto"/>
        <w:ind w:left="850" w:hanging="850"/>
        <w:rPr>
          <w:szCs w:val="24"/>
          <w:lang w:eastAsia="en-US"/>
        </w:rPr>
      </w:pPr>
      <w:r w:rsidRPr="000B46A1">
        <w:rPr>
          <w:szCs w:val="24"/>
          <w:lang w:eastAsia="en-US"/>
        </w:rPr>
        <w:t>3.</w:t>
      </w:r>
      <w:r w:rsidRPr="000B46A1">
        <w:rPr>
          <w:szCs w:val="24"/>
          <w:lang w:eastAsia="en-US"/>
        </w:rPr>
        <w:tab/>
        <w:t>When the data concerned are confidential data within the meaning of Article 3, point (7), of Regulation (EC) No 223/2009 or personal data according to Regulations (EU) 2016/679 and (EU) 2018/1725, the sharing of such data ▌ may take place on a voluntary basis provided that it is:</w:t>
      </w:r>
    </w:p>
    <w:p w14:paraId="2CDC4168" w14:textId="77777777" w:rsidR="00F81A5B" w:rsidRPr="000B46A1" w:rsidRDefault="00F81A5B" w:rsidP="00F81A5B">
      <w:pPr>
        <w:spacing w:before="120" w:after="120" w:line="360" w:lineRule="auto"/>
        <w:ind w:left="1416" w:hanging="566"/>
        <w:rPr>
          <w:szCs w:val="24"/>
          <w:lang w:eastAsia="en-US"/>
        </w:rPr>
      </w:pPr>
      <w:r w:rsidRPr="000B46A1">
        <w:rPr>
          <w:szCs w:val="24"/>
          <w:lang w:eastAsia="en-US"/>
        </w:rPr>
        <w:t>(a)</w:t>
      </w:r>
      <w:r w:rsidRPr="000B46A1">
        <w:rPr>
          <w:szCs w:val="24"/>
          <w:lang w:eastAsia="en-US"/>
        </w:rPr>
        <w:tab/>
      </w:r>
      <w:proofErr w:type="gramStart"/>
      <w:r w:rsidRPr="000B46A1">
        <w:rPr>
          <w:szCs w:val="24"/>
          <w:lang w:eastAsia="en-US"/>
        </w:rPr>
        <w:t>based</w:t>
      </w:r>
      <w:proofErr w:type="gramEnd"/>
      <w:r w:rsidRPr="000B46A1">
        <w:rPr>
          <w:szCs w:val="24"/>
          <w:lang w:eastAsia="en-US"/>
        </w:rPr>
        <w:t xml:space="preserve"> on a request justifying the necessity to share the data in each individual case, in particular with regard to the quality issues to be specifically addressed;</w:t>
      </w:r>
    </w:p>
    <w:p w14:paraId="18C5EDAD" w14:textId="77777777" w:rsidR="00F81A5B" w:rsidRPr="000B46A1" w:rsidRDefault="00F81A5B" w:rsidP="00F81A5B">
      <w:pPr>
        <w:spacing w:before="120" w:after="120" w:line="360" w:lineRule="auto"/>
        <w:ind w:left="1416" w:hanging="566"/>
        <w:rPr>
          <w:szCs w:val="24"/>
          <w:lang w:eastAsia="en-US"/>
        </w:rPr>
      </w:pPr>
      <w:r w:rsidRPr="000B46A1">
        <w:rPr>
          <w:szCs w:val="24"/>
          <w:lang w:eastAsia="en-US"/>
        </w:rPr>
        <w:t>(b)</w:t>
      </w:r>
      <w:r w:rsidRPr="000B46A1">
        <w:rPr>
          <w:szCs w:val="24"/>
          <w:lang w:eastAsia="en-US"/>
        </w:rPr>
        <w:tab/>
        <w:t>based ▌ on privacy enhancing technologies that are specifically designed to implement the principles of Regulations (EU) 2016/679 and (EU) 2018/1725, with particular regard to purpose limitation, data minimisation, storage limitation, integrity and confidentiality;</w:t>
      </w:r>
    </w:p>
    <w:p w14:paraId="7C3BD6D7" w14:textId="77777777" w:rsidR="00F81A5B" w:rsidRPr="000B46A1" w:rsidRDefault="00F81A5B" w:rsidP="00F81A5B">
      <w:pPr>
        <w:spacing w:before="120" w:after="120" w:line="360" w:lineRule="auto"/>
        <w:ind w:left="1416" w:hanging="566"/>
        <w:rPr>
          <w:szCs w:val="24"/>
          <w:lang w:eastAsia="en-US"/>
        </w:rPr>
      </w:pPr>
      <w:r w:rsidRPr="000B46A1">
        <w:rPr>
          <w:szCs w:val="24"/>
          <w:lang w:eastAsia="en-US"/>
        </w:rPr>
        <w:t>(c)</w:t>
      </w:r>
      <w:r w:rsidRPr="000B46A1">
        <w:rPr>
          <w:szCs w:val="24"/>
          <w:lang w:eastAsia="en-US"/>
        </w:rPr>
        <w:tab/>
      </w:r>
      <w:proofErr w:type="gramStart"/>
      <w:r w:rsidRPr="000B46A1">
        <w:rPr>
          <w:szCs w:val="24"/>
          <w:lang w:eastAsia="en-US"/>
        </w:rPr>
        <w:t>without</w:t>
      </w:r>
      <w:proofErr w:type="gramEnd"/>
      <w:r w:rsidRPr="000B46A1">
        <w:rPr>
          <w:szCs w:val="24"/>
          <w:lang w:eastAsia="en-US"/>
        </w:rPr>
        <w:t xml:space="preserve"> prejudice to Chapter V of Regulation (EC) No 223/2009.</w:t>
      </w:r>
    </w:p>
    <w:p w14:paraId="1EAE03DF" w14:textId="77777777" w:rsidR="00F81A5B" w:rsidRPr="000B46A1" w:rsidRDefault="00F81A5B" w:rsidP="00F81A5B">
      <w:pPr>
        <w:spacing w:before="120" w:after="120" w:line="360" w:lineRule="auto"/>
        <w:ind w:left="1416" w:hanging="566"/>
        <w:rPr>
          <w:szCs w:val="24"/>
          <w:lang w:eastAsia="en-US"/>
        </w:rPr>
      </w:pPr>
      <w:r w:rsidRPr="000B46A1">
        <w:rPr>
          <w:b/>
          <w:i/>
          <w:szCs w:val="24"/>
          <w:lang w:eastAsia="en-US"/>
        </w:rPr>
        <w:t>3a.</w:t>
      </w:r>
      <w:r w:rsidRPr="000B46A1">
        <w:rPr>
          <w:szCs w:val="24"/>
          <w:lang w:eastAsia="en-US"/>
        </w:rPr>
        <w:tab/>
      </w:r>
      <w:r w:rsidRPr="000B46A1">
        <w:rPr>
          <w:b/>
          <w:i/>
          <w:szCs w:val="24"/>
          <w:lang w:eastAsia="en-US"/>
        </w:rPr>
        <w:t>For the purpose of data sharing referred to in paragraph 1, non-confidential data shall be shared between national statistical institutes and other national authorities of different Member States and between these national statistical authorities and the Commission (Eurostat).</w:t>
      </w:r>
    </w:p>
    <w:p w14:paraId="14D74EF7" w14:textId="77777777" w:rsidR="00F81A5B" w:rsidRPr="000B46A1" w:rsidRDefault="00F81A5B" w:rsidP="00F81A5B">
      <w:pPr>
        <w:spacing w:before="120" w:after="120" w:line="360" w:lineRule="auto"/>
        <w:ind w:left="850" w:hanging="850"/>
        <w:rPr>
          <w:szCs w:val="24"/>
          <w:lang w:eastAsia="en-US"/>
        </w:rPr>
      </w:pPr>
      <w:r w:rsidRPr="000B46A1">
        <w:rPr>
          <w:szCs w:val="24"/>
          <w:lang w:eastAsia="en-US"/>
        </w:rPr>
        <w:t>4.</w:t>
      </w:r>
      <w:r w:rsidRPr="000B46A1">
        <w:rPr>
          <w:szCs w:val="24"/>
          <w:lang w:eastAsia="en-US"/>
        </w:rPr>
        <w:tab/>
        <w:t xml:space="preserve">The Commission (Eurostat) and the Member States shall test and assess, by means of pilot studies, the </w:t>
      </w:r>
      <w:r w:rsidRPr="000B46A1">
        <w:rPr>
          <w:b/>
          <w:i/>
          <w:szCs w:val="24"/>
          <w:lang w:eastAsia="en-US"/>
        </w:rPr>
        <w:t xml:space="preserve">infrastructure for and </w:t>
      </w:r>
      <w:r w:rsidRPr="000B46A1">
        <w:rPr>
          <w:szCs w:val="24"/>
          <w:lang w:eastAsia="en-US"/>
        </w:rPr>
        <w:t>fitness of relevant privacy enhancing technologies for data sharing.</w:t>
      </w:r>
    </w:p>
    <w:p w14:paraId="22FD221D" w14:textId="77777777" w:rsidR="00F81A5B" w:rsidRPr="000B46A1" w:rsidRDefault="00F81A5B" w:rsidP="00F81A5B">
      <w:pPr>
        <w:spacing w:before="120" w:after="120" w:line="360" w:lineRule="auto"/>
        <w:ind w:left="850" w:hanging="850"/>
        <w:rPr>
          <w:szCs w:val="24"/>
          <w:lang w:eastAsia="en-US"/>
        </w:rPr>
      </w:pPr>
      <w:r w:rsidRPr="000B46A1">
        <w:rPr>
          <w:szCs w:val="24"/>
          <w:lang w:eastAsia="en-US"/>
        </w:rPr>
        <w:lastRenderedPageBreak/>
        <w:t>5.</w:t>
      </w:r>
      <w:r w:rsidRPr="000B46A1">
        <w:rPr>
          <w:szCs w:val="24"/>
          <w:lang w:eastAsia="en-US"/>
        </w:rPr>
        <w:tab/>
        <w:t>Where the pilot studies carried out pursuant to paragraph 4 of this Article identify effective and secure data sharing solutions for the purposes referred to in paragraph 1 of this Article, the Commission may adopt implementing acts laying down technical specifications for the data sharing and measures for the confidentiality and security of information. Such implementing acts shall be adopted in accordance with the examination procedure referred to in Article 18(2).</w:t>
      </w:r>
    </w:p>
    <w:p w14:paraId="641277D8" w14:textId="77777777" w:rsidR="00F81A5B" w:rsidRPr="000B46A1" w:rsidRDefault="00F81A5B" w:rsidP="00F81A5B">
      <w:pPr>
        <w:spacing w:before="120" w:after="120" w:line="360" w:lineRule="auto"/>
        <w:jc w:val="center"/>
        <w:rPr>
          <w:szCs w:val="24"/>
          <w:lang w:eastAsia="en-US"/>
        </w:rPr>
      </w:pPr>
      <w:r w:rsidRPr="000B46A1">
        <w:rPr>
          <w:szCs w:val="24"/>
          <w:lang w:eastAsia="en-US"/>
        </w:rPr>
        <w:t>Article 14</w:t>
      </w:r>
      <w:r w:rsidRPr="000B46A1">
        <w:rPr>
          <w:szCs w:val="24"/>
          <w:lang w:eastAsia="en-US"/>
        </w:rPr>
        <w:br/>
        <w:t>Pilot and feasibility studies</w:t>
      </w:r>
    </w:p>
    <w:p w14:paraId="338C73FC" w14:textId="77777777" w:rsidR="00F81A5B" w:rsidRPr="000B46A1" w:rsidRDefault="00F81A5B" w:rsidP="00F81A5B">
      <w:pPr>
        <w:spacing w:before="120" w:after="120" w:line="360" w:lineRule="auto"/>
        <w:ind w:left="850" w:hanging="850"/>
        <w:rPr>
          <w:szCs w:val="24"/>
          <w:lang w:eastAsia="en-US"/>
        </w:rPr>
      </w:pPr>
      <w:r w:rsidRPr="000B46A1">
        <w:rPr>
          <w:szCs w:val="24"/>
          <w:lang w:eastAsia="en-US"/>
        </w:rPr>
        <w:t>1.</w:t>
      </w:r>
      <w:r w:rsidRPr="000B46A1">
        <w:rPr>
          <w:szCs w:val="24"/>
          <w:lang w:eastAsia="en-US"/>
        </w:rPr>
        <w:tab/>
        <w:t>The Commission (Eurostat) shall, where necessary and appropriate for the purposes of this Regulation, launch pilot and feasibility studies that aim to:</w:t>
      </w:r>
    </w:p>
    <w:p w14:paraId="2E4A4E35" w14:textId="77777777" w:rsidR="00F81A5B" w:rsidRPr="000B46A1" w:rsidRDefault="00F81A5B" w:rsidP="00F81A5B">
      <w:pPr>
        <w:spacing w:before="120" w:after="120" w:line="360" w:lineRule="auto"/>
        <w:ind w:left="1416" w:hanging="566"/>
        <w:rPr>
          <w:szCs w:val="24"/>
          <w:lang w:eastAsia="en-US"/>
        </w:rPr>
      </w:pPr>
      <w:r w:rsidRPr="000B46A1">
        <w:rPr>
          <w:szCs w:val="24"/>
          <w:lang w:eastAsia="en-US"/>
        </w:rPr>
        <w:t>(a)</w:t>
      </w:r>
      <w:r w:rsidRPr="000B46A1">
        <w:rPr>
          <w:szCs w:val="24"/>
          <w:lang w:eastAsia="en-US"/>
        </w:rPr>
        <w:tab/>
      </w:r>
      <w:proofErr w:type="gramStart"/>
      <w:r w:rsidRPr="000B46A1">
        <w:rPr>
          <w:szCs w:val="24"/>
          <w:lang w:eastAsia="en-US"/>
        </w:rPr>
        <w:t>assess</w:t>
      </w:r>
      <w:proofErr w:type="gramEnd"/>
      <w:r w:rsidRPr="000B46A1">
        <w:rPr>
          <w:szCs w:val="24"/>
          <w:lang w:eastAsia="en-US"/>
        </w:rPr>
        <w:t xml:space="preserve"> the availability of data sources and their quality, including of publicly and privately held data in Member States and at Union level;</w:t>
      </w:r>
    </w:p>
    <w:p w14:paraId="73A721EA" w14:textId="77777777" w:rsidR="00F81A5B" w:rsidRPr="000B46A1" w:rsidRDefault="00F81A5B" w:rsidP="00F81A5B">
      <w:pPr>
        <w:spacing w:before="120" w:after="120" w:line="360" w:lineRule="auto"/>
        <w:ind w:left="1416" w:hanging="566"/>
        <w:rPr>
          <w:szCs w:val="24"/>
          <w:lang w:eastAsia="en-US"/>
        </w:rPr>
      </w:pPr>
      <w:r w:rsidRPr="000B46A1">
        <w:rPr>
          <w:szCs w:val="24"/>
          <w:lang w:eastAsia="en-US"/>
        </w:rPr>
        <w:t>(b)</w:t>
      </w:r>
      <w:r w:rsidRPr="000B46A1">
        <w:rPr>
          <w:szCs w:val="24"/>
          <w:lang w:eastAsia="en-US"/>
        </w:rPr>
        <w:tab/>
      </w:r>
      <w:proofErr w:type="gramStart"/>
      <w:r w:rsidRPr="000B46A1">
        <w:rPr>
          <w:szCs w:val="24"/>
          <w:lang w:eastAsia="en-US"/>
        </w:rPr>
        <w:t>develop</w:t>
      </w:r>
      <w:proofErr w:type="gramEnd"/>
      <w:r w:rsidRPr="000B46A1">
        <w:rPr>
          <w:szCs w:val="24"/>
          <w:lang w:eastAsia="en-US"/>
        </w:rPr>
        <w:t xml:space="preserve"> and assess the feasibility of implementing new ▌ detailed topics, statistical units, variables and their breakdowns;</w:t>
      </w:r>
    </w:p>
    <w:p w14:paraId="6DCD05F7" w14:textId="77777777" w:rsidR="00F81A5B" w:rsidRPr="000B46A1" w:rsidRDefault="00F81A5B" w:rsidP="00F81A5B">
      <w:pPr>
        <w:spacing w:before="120" w:after="120" w:line="360" w:lineRule="auto"/>
        <w:ind w:left="1416" w:hanging="566"/>
        <w:rPr>
          <w:szCs w:val="24"/>
          <w:lang w:eastAsia="en-US"/>
        </w:rPr>
      </w:pPr>
      <w:r w:rsidRPr="000B46A1">
        <w:rPr>
          <w:b/>
          <w:i/>
          <w:szCs w:val="24"/>
          <w:lang w:eastAsia="en-US"/>
        </w:rPr>
        <w:t>(</w:t>
      </w:r>
      <w:proofErr w:type="spellStart"/>
      <w:r w:rsidRPr="000B46A1">
        <w:rPr>
          <w:b/>
          <w:i/>
          <w:szCs w:val="24"/>
          <w:lang w:eastAsia="en-US"/>
        </w:rPr>
        <w:t>ba</w:t>
      </w:r>
      <w:proofErr w:type="spellEnd"/>
      <w:r w:rsidRPr="000B46A1">
        <w:rPr>
          <w:b/>
          <w:i/>
          <w:szCs w:val="24"/>
          <w:lang w:eastAsia="en-US"/>
        </w:rPr>
        <w:t>)</w:t>
      </w:r>
      <w:r w:rsidRPr="000B46A1">
        <w:rPr>
          <w:szCs w:val="24"/>
          <w:lang w:eastAsia="en-US"/>
        </w:rPr>
        <w:tab/>
      </w:r>
      <w:r w:rsidRPr="000B46A1">
        <w:rPr>
          <w:b/>
          <w:i/>
          <w:szCs w:val="24"/>
          <w:lang w:eastAsia="en-US"/>
        </w:rPr>
        <w:t>assess the availability of data sources and enhancing methods for providing statistics on the disability of persons and testing disaggregating statistics, including their comparability, in accordance with national law and practice on data protection and disclosure control;</w:t>
      </w:r>
    </w:p>
    <w:p w14:paraId="6D6ACD96" w14:textId="77777777" w:rsidR="00F81A5B" w:rsidRPr="000B46A1" w:rsidRDefault="00F81A5B" w:rsidP="00F81A5B">
      <w:pPr>
        <w:spacing w:before="120" w:after="120" w:line="360" w:lineRule="auto"/>
        <w:ind w:left="1416" w:hanging="566"/>
        <w:rPr>
          <w:szCs w:val="24"/>
          <w:lang w:eastAsia="en-US"/>
        </w:rPr>
      </w:pPr>
      <w:r w:rsidRPr="000B46A1">
        <w:rPr>
          <w:szCs w:val="24"/>
          <w:lang w:eastAsia="en-US"/>
        </w:rPr>
        <w:t>(c)</w:t>
      </w:r>
      <w:r w:rsidRPr="000B46A1">
        <w:rPr>
          <w:szCs w:val="24"/>
          <w:lang w:eastAsia="en-US"/>
        </w:rPr>
        <w:tab/>
      </w:r>
      <w:proofErr w:type="gramStart"/>
      <w:r w:rsidRPr="000B46A1">
        <w:rPr>
          <w:szCs w:val="24"/>
          <w:lang w:eastAsia="en-US"/>
        </w:rPr>
        <w:t>develop</w:t>
      </w:r>
      <w:proofErr w:type="gramEnd"/>
      <w:r w:rsidRPr="000B46A1">
        <w:rPr>
          <w:szCs w:val="24"/>
          <w:lang w:eastAsia="en-US"/>
        </w:rPr>
        <w:t xml:space="preserve"> new methodologies and statistical techniques to reinforce quality</w:t>
      </w:r>
      <w:r w:rsidRPr="000B46A1">
        <w:rPr>
          <w:b/>
          <w:i/>
          <w:szCs w:val="24"/>
          <w:lang w:eastAsia="en-US"/>
        </w:rPr>
        <w:t xml:space="preserve"> and enhance information about hard-to-reach populations</w:t>
      </w:r>
      <w:r w:rsidRPr="000B46A1">
        <w:rPr>
          <w:szCs w:val="24"/>
          <w:lang w:eastAsia="en-US"/>
        </w:rPr>
        <w:t>;</w:t>
      </w:r>
    </w:p>
    <w:p w14:paraId="355DF33F" w14:textId="77777777" w:rsidR="00F81A5B" w:rsidRPr="000B46A1" w:rsidRDefault="00F81A5B" w:rsidP="00F81A5B">
      <w:pPr>
        <w:spacing w:before="120" w:after="120" w:line="360" w:lineRule="auto"/>
        <w:ind w:left="1416" w:hanging="566"/>
        <w:rPr>
          <w:szCs w:val="24"/>
          <w:lang w:eastAsia="en-US"/>
        </w:rPr>
      </w:pPr>
      <w:r w:rsidRPr="000B46A1">
        <w:rPr>
          <w:szCs w:val="24"/>
          <w:lang w:eastAsia="en-US"/>
        </w:rPr>
        <w:t>(d)</w:t>
      </w:r>
      <w:r w:rsidRPr="000B46A1">
        <w:rPr>
          <w:szCs w:val="24"/>
          <w:lang w:eastAsia="en-US"/>
        </w:rPr>
        <w:tab/>
      </w:r>
      <w:proofErr w:type="gramStart"/>
      <w:r w:rsidRPr="000B46A1">
        <w:rPr>
          <w:szCs w:val="24"/>
          <w:lang w:eastAsia="en-US"/>
        </w:rPr>
        <w:t>reduce</w:t>
      </w:r>
      <w:proofErr w:type="gramEnd"/>
      <w:r w:rsidRPr="000B46A1">
        <w:rPr>
          <w:szCs w:val="24"/>
          <w:lang w:eastAsia="en-US"/>
        </w:rPr>
        <w:t xml:space="preserve"> </w:t>
      </w:r>
      <w:r w:rsidRPr="000B46A1">
        <w:rPr>
          <w:b/>
          <w:i/>
          <w:szCs w:val="24"/>
          <w:lang w:eastAsia="en-US"/>
        </w:rPr>
        <w:t>discrepancies in data</w:t>
      </w:r>
      <w:r w:rsidRPr="000B46A1">
        <w:rPr>
          <w:szCs w:val="24"/>
          <w:lang w:eastAsia="en-US"/>
        </w:rPr>
        <w:t xml:space="preserve"> of migration flows</w:t>
      </w:r>
      <w:r w:rsidRPr="000B46A1">
        <w:rPr>
          <w:b/>
          <w:i/>
          <w:szCs w:val="24"/>
          <w:lang w:eastAsia="en-US"/>
        </w:rPr>
        <w:t xml:space="preserve"> and ensuring their better comparability</w:t>
      </w:r>
      <w:r w:rsidRPr="000B46A1">
        <w:rPr>
          <w:szCs w:val="24"/>
          <w:lang w:eastAsia="en-US"/>
        </w:rPr>
        <w:t>;</w:t>
      </w:r>
    </w:p>
    <w:p w14:paraId="7049862F" w14:textId="77777777" w:rsidR="00F81A5B" w:rsidRPr="000B46A1" w:rsidRDefault="00F81A5B" w:rsidP="00F81A5B">
      <w:pPr>
        <w:spacing w:before="120" w:after="120" w:line="360" w:lineRule="auto"/>
        <w:ind w:left="1416" w:hanging="566"/>
        <w:rPr>
          <w:szCs w:val="24"/>
          <w:lang w:eastAsia="en-US"/>
        </w:rPr>
      </w:pPr>
      <w:r w:rsidRPr="000B46A1">
        <w:rPr>
          <w:b/>
          <w:i/>
          <w:szCs w:val="24"/>
          <w:lang w:eastAsia="en-US"/>
        </w:rPr>
        <w:t>(</w:t>
      </w:r>
      <w:proofErr w:type="gramStart"/>
      <w:r w:rsidRPr="000B46A1">
        <w:rPr>
          <w:b/>
          <w:i/>
          <w:szCs w:val="24"/>
          <w:lang w:eastAsia="en-US"/>
        </w:rPr>
        <w:t>da</w:t>
      </w:r>
      <w:proofErr w:type="gramEnd"/>
      <w:r w:rsidRPr="000B46A1">
        <w:rPr>
          <w:b/>
          <w:i/>
          <w:szCs w:val="24"/>
          <w:lang w:eastAsia="en-US"/>
        </w:rPr>
        <w:t>)</w:t>
      </w:r>
      <w:r w:rsidRPr="000B46A1">
        <w:rPr>
          <w:szCs w:val="24"/>
          <w:lang w:eastAsia="en-US"/>
        </w:rPr>
        <w:tab/>
      </w:r>
      <w:r w:rsidRPr="000B46A1">
        <w:rPr>
          <w:b/>
          <w:i/>
          <w:szCs w:val="24"/>
          <w:lang w:eastAsia="en-US"/>
        </w:rPr>
        <w:t>reduce possible undercounting or double counting of people;</w:t>
      </w:r>
    </w:p>
    <w:p w14:paraId="4FADB228" w14:textId="7389D896" w:rsidR="00F81A5B" w:rsidRPr="000B46A1" w:rsidRDefault="00F81A5B" w:rsidP="00F81A5B">
      <w:pPr>
        <w:spacing w:before="120" w:after="120" w:line="360" w:lineRule="auto"/>
        <w:ind w:left="1416" w:hanging="566"/>
        <w:rPr>
          <w:szCs w:val="24"/>
          <w:lang w:eastAsia="en-US"/>
        </w:rPr>
      </w:pPr>
      <w:r w:rsidRPr="000B46A1">
        <w:rPr>
          <w:szCs w:val="24"/>
          <w:lang w:eastAsia="en-US"/>
        </w:rPr>
        <w:t>(e)</w:t>
      </w:r>
      <w:r w:rsidRPr="000B46A1">
        <w:rPr>
          <w:szCs w:val="24"/>
          <w:lang w:eastAsia="en-US"/>
        </w:rPr>
        <w:tab/>
      </w:r>
      <w:proofErr w:type="gramStart"/>
      <w:r w:rsidRPr="000B46A1">
        <w:rPr>
          <w:szCs w:val="24"/>
          <w:lang w:eastAsia="en-US"/>
        </w:rPr>
        <w:t>test</w:t>
      </w:r>
      <w:proofErr w:type="gramEnd"/>
      <w:r w:rsidRPr="000B46A1">
        <w:rPr>
          <w:szCs w:val="24"/>
          <w:lang w:eastAsia="en-US"/>
        </w:rPr>
        <w:t xml:space="preserve"> and assess the </w:t>
      </w:r>
      <w:r w:rsidRPr="000B46A1">
        <w:rPr>
          <w:b/>
          <w:i/>
          <w:szCs w:val="24"/>
          <w:lang w:eastAsia="en-US"/>
        </w:rPr>
        <w:t xml:space="preserve">infrastructure for and </w:t>
      </w:r>
      <w:r w:rsidRPr="000B46A1">
        <w:rPr>
          <w:szCs w:val="24"/>
          <w:lang w:eastAsia="en-US"/>
        </w:rPr>
        <w:t>fitness of relevant privacy enhancing technologies for secure data sharing within the ESS in accordance with Article 13(4)</w:t>
      </w:r>
      <w:r w:rsidR="00841434">
        <w:rPr>
          <w:szCs w:val="24"/>
          <w:lang w:eastAsia="en-US"/>
        </w:rPr>
        <w:t>.</w:t>
      </w:r>
    </w:p>
    <w:p w14:paraId="559896C0" w14:textId="77777777" w:rsidR="00F81A5B" w:rsidRPr="000B46A1" w:rsidRDefault="00F81A5B" w:rsidP="00F81A5B">
      <w:pPr>
        <w:spacing w:before="120" w:after="120" w:line="360" w:lineRule="auto"/>
        <w:ind w:left="850" w:hanging="850"/>
        <w:rPr>
          <w:szCs w:val="24"/>
          <w:lang w:eastAsia="en-US"/>
        </w:rPr>
      </w:pPr>
      <w:r w:rsidRPr="000B46A1">
        <w:rPr>
          <w:szCs w:val="24"/>
          <w:lang w:eastAsia="en-US"/>
        </w:rPr>
        <w:t>2.</w:t>
      </w:r>
      <w:r w:rsidRPr="000B46A1">
        <w:rPr>
          <w:szCs w:val="24"/>
          <w:lang w:eastAsia="en-US"/>
        </w:rPr>
        <w:tab/>
        <w:t>Member States may participate in those studies but shall, together with the Commission (Eurostat), ensure the representativeness of those studies at Union level.</w:t>
      </w:r>
    </w:p>
    <w:p w14:paraId="59DC2501" w14:textId="77777777" w:rsidR="00F81A5B" w:rsidRPr="000B46A1" w:rsidRDefault="00F81A5B" w:rsidP="00F81A5B">
      <w:pPr>
        <w:spacing w:before="120" w:after="120" w:line="360" w:lineRule="auto"/>
        <w:ind w:left="850" w:hanging="850"/>
        <w:rPr>
          <w:szCs w:val="24"/>
          <w:lang w:eastAsia="en-US"/>
        </w:rPr>
      </w:pPr>
      <w:r w:rsidRPr="000B46A1">
        <w:rPr>
          <w:szCs w:val="24"/>
          <w:lang w:eastAsia="en-US"/>
        </w:rPr>
        <w:t>3.</w:t>
      </w:r>
      <w:r w:rsidRPr="000B46A1">
        <w:rPr>
          <w:szCs w:val="24"/>
          <w:lang w:eastAsia="en-US"/>
        </w:rPr>
        <w:tab/>
        <w:t xml:space="preserve">The results of those studies shall be evaluated by the Commission (Eurostat) in cooperation with Member States. The Commission (Eurostat) shall prepare in </w:t>
      </w:r>
      <w:r w:rsidRPr="000B46A1">
        <w:rPr>
          <w:szCs w:val="24"/>
          <w:lang w:eastAsia="en-US"/>
        </w:rPr>
        <w:lastRenderedPageBreak/>
        <w:t>cooperation with the Member States reports on the findings of those studies.</w:t>
      </w:r>
    </w:p>
    <w:p w14:paraId="6D848EB9" w14:textId="77777777" w:rsidR="00F81A5B" w:rsidRPr="000B46A1" w:rsidRDefault="00F81A5B" w:rsidP="00F81A5B">
      <w:pPr>
        <w:spacing w:before="120" w:after="120" w:line="360" w:lineRule="auto"/>
        <w:jc w:val="center"/>
        <w:rPr>
          <w:szCs w:val="24"/>
          <w:lang w:eastAsia="en-US"/>
        </w:rPr>
      </w:pPr>
      <w:r w:rsidRPr="000B46A1">
        <w:rPr>
          <w:szCs w:val="24"/>
          <w:lang w:eastAsia="en-US"/>
        </w:rPr>
        <w:t>Article 15</w:t>
      </w:r>
      <w:r w:rsidRPr="000B46A1">
        <w:rPr>
          <w:szCs w:val="24"/>
          <w:lang w:eastAsia="en-US"/>
        </w:rPr>
        <w:br/>
        <w:t>Financing</w:t>
      </w:r>
    </w:p>
    <w:p w14:paraId="1164369C" w14:textId="0A46DC85" w:rsidR="00F81A5B" w:rsidRPr="000B46A1" w:rsidRDefault="00F81A5B" w:rsidP="00F81A5B">
      <w:pPr>
        <w:spacing w:before="120" w:after="120" w:line="360" w:lineRule="auto"/>
        <w:ind w:left="850" w:hanging="850"/>
        <w:rPr>
          <w:szCs w:val="24"/>
          <w:lang w:eastAsia="en-US"/>
        </w:rPr>
      </w:pPr>
      <w:r w:rsidRPr="000B46A1">
        <w:rPr>
          <w:szCs w:val="24"/>
          <w:lang w:eastAsia="en-US"/>
        </w:rPr>
        <w:t>1.</w:t>
      </w:r>
      <w:r w:rsidRPr="000B46A1">
        <w:rPr>
          <w:szCs w:val="24"/>
          <w:lang w:eastAsia="en-US"/>
        </w:rPr>
        <w:tab/>
      </w:r>
      <w:r w:rsidRPr="000B46A1">
        <w:rPr>
          <w:b/>
          <w:i/>
          <w:szCs w:val="24"/>
          <w:lang w:eastAsia="en-US"/>
        </w:rPr>
        <w:t xml:space="preserve">As regards the implementation of this Regulation, </w:t>
      </w:r>
      <w:r w:rsidRPr="000B46A1">
        <w:rPr>
          <w:szCs w:val="24"/>
          <w:lang w:eastAsia="en-US"/>
        </w:rPr>
        <w:t xml:space="preserve">financial contribution </w:t>
      </w:r>
      <w:r w:rsidRPr="000B46A1">
        <w:rPr>
          <w:b/>
          <w:i/>
          <w:szCs w:val="24"/>
          <w:lang w:eastAsia="en-US"/>
        </w:rPr>
        <w:t>shall be made available</w:t>
      </w:r>
      <w:r w:rsidRPr="000B46A1">
        <w:rPr>
          <w:szCs w:val="24"/>
          <w:lang w:eastAsia="en-US"/>
        </w:rPr>
        <w:t xml:space="preserve"> from the </w:t>
      </w:r>
      <w:r w:rsidRPr="000B46A1">
        <w:rPr>
          <w:b/>
          <w:i/>
          <w:szCs w:val="24"/>
          <w:lang w:eastAsia="en-US"/>
        </w:rPr>
        <w:t>Single Market Programme established by Regulation (EU) 2021/690</w:t>
      </w:r>
      <w:r w:rsidRPr="000B46A1">
        <w:rPr>
          <w:szCs w:val="24"/>
          <w:lang w:eastAsia="en-US"/>
        </w:rPr>
        <w:t xml:space="preserve"> </w:t>
      </w:r>
      <w:r w:rsidRPr="000B46A1">
        <w:rPr>
          <w:b/>
          <w:i/>
          <w:szCs w:val="24"/>
          <w:lang w:eastAsia="en-US"/>
        </w:rPr>
        <w:t xml:space="preserve">, in accordance with Regulation (EU, </w:t>
      </w:r>
      <w:proofErr w:type="spellStart"/>
      <w:r w:rsidRPr="000B46A1">
        <w:rPr>
          <w:b/>
          <w:i/>
          <w:szCs w:val="24"/>
          <w:lang w:eastAsia="en-US"/>
        </w:rPr>
        <w:t>Euratom</w:t>
      </w:r>
      <w:proofErr w:type="spellEnd"/>
      <w:r w:rsidRPr="000B46A1">
        <w:rPr>
          <w:b/>
          <w:i/>
          <w:szCs w:val="24"/>
          <w:lang w:eastAsia="en-US"/>
        </w:rPr>
        <w:t xml:space="preserve">) 2018/1046, </w:t>
      </w:r>
      <w:r w:rsidRPr="000B46A1">
        <w:rPr>
          <w:szCs w:val="24"/>
          <w:lang w:eastAsia="en-US"/>
        </w:rPr>
        <w:t>to the national statistical authorities referred to in Article 5(2) of Regulation (EC) No 223/2009, for:</w:t>
      </w:r>
    </w:p>
    <w:p w14:paraId="4C8FCB9F" w14:textId="77777777" w:rsidR="00F81A5B" w:rsidRPr="000B46A1" w:rsidRDefault="00F81A5B" w:rsidP="00F81A5B">
      <w:pPr>
        <w:spacing w:before="120" w:after="120" w:line="360" w:lineRule="auto"/>
        <w:ind w:left="1416" w:hanging="566"/>
        <w:rPr>
          <w:szCs w:val="24"/>
          <w:lang w:eastAsia="en-US"/>
        </w:rPr>
      </w:pPr>
      <w:r w:rsidRPr="000B46A1">
        <w:rPr>
          <w:szCs w:val="24"/>
          <w:lang w:eastAsia="en-US"/>
        </w:rPr>
        <w:t>(a)</w:t>
      </w:r>
      <w:r w:rsidRPr="000B46A1">
        <w:rPr>
          <w:szCs w:val="24"/>
          <w:lang w:eastAsia="en-US"/>
        </w:rPr>
        <w:tab/>
      </w:r>
      <w:r w:rsidRPr="000B46A1">
        <w:rPr>
          <w:b/>
          <w:i/>
          <w:szCs w:val="24"/>
          <w:lang w:eastAsia="en-US"/>
        </w:rPr>
        <w:t xml:space="preserve">adaptations of infrastructure and training in the national statistical system necessary for </w:t>
      </w:r>
      <w:r w:rsidRPr="000B46A1">
        <w:rPr>
          <w:szCs w:val="24"/>
          <w:lang w:eastAsia="en-US"/>
        </w:rPr>
        <w:t>the development and implementation of new or enhanced data sources, methodologies, data sharing, statistical units, topics, detailed topics, variables and their breakdowns;</w:t>
      </w:r>
    </w:p>
    <w:p w14:paraId="43838181" w14:textId="5B868EB1" w:rsidR="00F81A5B" w:rsidRPr="000B46A1" w:rsidRDefault="00F81A5B" w:rsidP="00F81A5B">
      <w:pPr>
        <w:spacing w:before="120" w:after="120" w:line="360" w:lineRule="auto"/>
        <w:ind w:left="1416" w:hanging="566"/>
        <w:rPr>
          <w:szCs w:val="24"/>
          <w:lang w:eastAsia="en-US"/>
        </w:rPr>
      </w:pPr>
      <w:r w:rsidRPr="000B46A1">
        <w:rPr>
          <w:b/>
          <w:i/>
          <w:szCs w:val="24"/>
          <w:lang w:eastAsia="en-US"/>
        </w:rPr>
        <w:t>(</w:t>
      </w:r>
      <w:proofErr w:type="gramStart"/>
      <w:r w:rsidRPr="000B46A1">
        <w:rPr>
          <w:b/>
          <w:i/>
          <w:szCs w:val="24"/>
          <w:lang w:eastAsia="en-US"/>
        </w:rPr>
        <w:t>aa</w:t>
      </w:r>
      <w:proofErr w:type="gramEnd"/>
      <w:r w:rsidRPr="000B46A1">
        <w:rPr>
          <w:b/>
          <w:i/>
          <w:szCs w:val="24"/>
          <w:lang w:eastAsia="en-US"/>
        </w:rPr>
        <w:t>)</w:t>
      </w:r>
      <w:r w:rsidRPr="000B46A1">
        <w:rPr>
          <w:szCs w:val="24"/>
          <w:lang w:eastAsia="en-US"/>
        </w:rPr>
        <w:tab/>
      </w:r>
      <w:r w:rsidRPr="000B46A1">
        <w:rPr>
          <w:b/>
          <w:i/>
          <w:szCs w:val="24"/>
          <w:lang w:eastAsia="en-US"/>
        </w:rPr>
        <w:t>the</w:t>
      </w:r>
      <w:r w:rsidRPr="000B46A1">
        <w:rPr>
          <w:szCs w:val="24"/>
          <w:lang w:eastAsia="en-US"/>
        </w:rPr>
        <w:t xml:space="preserve"> </w:t>
      </w:r>
      <w:r w:rsidRPr="000B46A1">
        <w:rPr>
          <w:b/>
          <w:i/>
          <w:szCs w:val="24"/>
          <w:lang w:eastAsia="en-US"/>
        </w:rPr>
        <w:t>preparation and implementation of ad-hoc data collection as referred to in Article 7;</w:t>
      </w:r>
    </w:p>
    <w:p w14:paraId="270C1D89" w14:textId="77777777" w:rsidR="00F81A5B" w:rsidRPr="000B46A1" w:rsidRDefault="00F81A5B" w:rsidP="00F81A5B">
      <w:pPr>
        <w:spacing w:before="120" w:after="120" w:line="360" w:lineRule="auto"/>
        <w:ind w:left="1416" w:hanging="566"/>
        <w:rPr>
          <w:szCs w:val="24"/>
          <w:lang w:eastAsia="en-US"/>
        </w:rPr>
      </w:pPr>
      <w:r w:rsidRPr="000B46A1">
        <w:rPr>
          <w:szCs w:val="24"/>
          <w:lang w:eastAsia="en-US"/>
        </w:rPr>
        <w:t>(b)</w:t>
      </w:r>
      <w:r w:rsidRPr="000B46A1">
        <w:rPr>
          <w:szCs w:val="24"/>
          <w:lang w:eastAsia="en-US"/>
        </w:rPr>
        <w:tab/>
      </w:r>
      <w:proofErr w:type="gramStart"/>
      <w:r w:rsidRPr="000B46A1">
        <w:rPr>
          <w:szCs w:val="24"/>
          <w:lang w:eastAsia="en-US"/>
        </w:rPr>
        <w:t>the</w:t>
      </w:r>
      <w:proofErr w:type="gramEnd"/>
      <w:r w:rsidRPr="000B46A1">
        <w:rPr>
          <w:szCs w:val="24"/>
          <w:lang w:eastAsia="en-US"/>
        </w:rPr>
        <w:t xml:space="preserve"> participation of the Member States in representative pilot and feasibility studies referred to in Article 14.</w:t>
      </w:r>
    </w:p>
    <w:p w14:paraId="16D5EB49" w14:textId="77777777" w:rsidR="00F81A5B" w:rsidRPr="000B46A1" w:rsidRDefault="00F81A5B" w:rsidP="00F81A5B">
      <w:pPr>
        <w:spacing w:before="120" w:after="120" w:line="360" w:lineRule="auto"/>
        <w:ind w:left="851" w:hanging="851"/>
        <w:rPr>
          <w:szCs w:val="24"/>
          <w:lang w:eastAsia="en-US"/>
        </w:rPr>
      </w:pPr>
      <w:r w:rsidRPr="000B46A1">
        <w:rPr>
          <w:b/>
          <w:i/>
          <w:szCs w:val="24"/>
          <w:lang w:eastAsia="en-US"/>
        </w:rPr>
        <w:t>1a.</w:t>
      </w:r>
      <w:r w:rsidRPr="000B46A1">
        <w:rPr>
          <w:szCs w:val="24"/>
          <w:lang w:eastAsia="en-US"/>
        </w:rPr>
        <w:tab/>
      </w:r>
      <w:proofErr w:type="gramStart"/>
      <w:r w:rsidRPr="000B46A1">
        <w:rPr>
          <w:b/>
          <w:i/>
          <w:szCs w:val="24"/>
          <w:lang w:eastAsia="en-US"/>
        </w:rPr>
        <w:t>The</w:t>
      </w:r>
      <w:proofErr w:type="gramEnd"/>
      <w:r w:rsidRPr="000B46A1">
        <w:rPr>
          <w:b/>
          <w:i/>
          <w:szCs w:val="24"/>
          <w:lang w:eastAsia="en-US"/>
        </w:rPr>
        <w:t xml:space="preserve"> amount of the Union financial contribution made available pursuant to this Article shall be established in accordance with the rules of the Single Market Programme as part of the annual budgetary procedure, subject to the availability of funding.</w:t>
      </w:r>
    </w:p>
    <w:p w14:paraId="27B0132E" w14:textId="77777777" w:rsidR="00F81A5B" w:rsidRPr="000B46A1" w:rsidRDefault="00F81A5B" w:rsidP="00F81A5B">
      <w:pPr>
        <w:spacing w:before="120" w:after="120" w:line="360" w:lineRule="auto"/>
        <w:ind w:left="850"/>
        <w:rPr>
          <w:szCs w:val="24"/>
          <w:lang w:eastAsia="en-US"/>
        </w:rPr>
      </w:pPr>
      <w:r w:rsidRPr="000B46A1">
        <w:rPr>
          <w:b/>
          <w:i/>
          <w:szCs w:val="24"/>
          <w:lang w:eastAsia="en-US"/>
        </w:rPr>
        <w:t>In addition, national statistical authorities as referred to in Article 5(2) of Regulation (EC) No 223/2009 may apply for support from other applicable financial programmes of the European Union in accordance with the rules of such programmes. Member States may also apply for support from the Technical Support Instrument to improve the quality of statistics and to develop methodologies according to the requirements of this Regulation in accordance with the rules of the Technical Support Instrument and its objective to foster the production, provision and quality monitoring of data and statistics.</w:t>
      </w:r>
    </w:p>
    <w:p w14:paraId="28DCA660" w14:textId="77777777" w:rsidR="00F81A5B" w:rsidRPr="000B46A1" w:rsidRDefault="00F81A5B" w:rsidP="00F81A5B">
      <w:pPr>
        <w:spacing w:before="120" w:after="120" w:line="360" w:lineRule="auto"/>
        <w:ind w:left="850" w:hanging="850"/>
        <w:rPr>
          <w:szCs w:val="24"/>
          <w:lang w:eastAsia="en-US"/>
        </w:rPr>
      </w:pPr>
      <w:r w:rsidRPr="000B46A1">
        <w:rPr>
          <w:szCs w:val="24"/>
          <w:lang w:eastAsia="en-US"/>
        </w:rPr>
        <w:t>2.</w:t>
      </w:r>
      <w:r w:rsidRPr="000B46A1">
        <w:rPr>
          <w:szCs w:val="24"/>
          <w:lang w:eastAsia="en-US"/>
        </w:rPr>
        <w:tab/>
        <w:t>The Union financial contribution shall not exceed 90% of the eligible costs.</w:t>
      </w:r>
    </w:p>
    <w:p w14:paraId="33E78279" w14:textId="77777777" w:rsidR="00F81A5B" w:rsidRPr="000B46A1" w:rsidRDefault="00F81A5B" w:rsidP="00F81A5B">
      <w:pPr>
        <w:spacing w:before="120" w:after="120" w:line="360" w:lineRule="auto"/>
        <w:jc w:val="center"/>
        <w:rPr>
          <w:szCs w:val="24"/>
          <w:lang w:eastAsia="en-US"/>
        </w:rPr>
      </w:pPr>
      <w:r w:rsidRPr="000B46A1">
        <w:rPr>
          <w:szCs w:val="24"/>
          <w:lang w:eastAsia="en-US"/>
        </w:rPr>
        <w:t>Article 16</w:t>
      </w:r>
      <w:r w:rsidRPr="000B46A1">
        <w:rPr>
          <w:szCs w:val="24"/>
          <w:lang w:eastAsia="en-US"/>
        </w:rPr>
        <w:br/>
        <w:t>Protection of the financial interests of the Union</w:t>
      </w:r>
    </w:p>
    <w:p w14:paraId="53852E61" w14:textId="77777777" w:rsidR="00F81A5B" w:rsidRPr="000B46A1" w:rsidRDefault="00F81A5B" w:rsidP="00F81A5B">
      <w:pPr>
        <w:spacing w:before="120" w:after="120" w:line="360" w:lineRule="auto"/>
        <w:rPr>
          <w:szCs w:val="24"/>
          <w:lang w:eastAsia="en-US"/>
        </w:rPr>
      </w:pPr>
      <w:r w:rsidRPr="000B46A1">
        <w:rPr>
          <w:szCs w:val="24"/>
          <w:lang w:eastAsia="en-US"/>
        </w:rPr>
        <w:lastRenderedPageBreak/>
        <w:t xml:space="preserve">Where a third country participates in the actions financed under this Regulation by means of a decision adopted pursuant to an international agreement or on the basis of any other legal instrument, the third country shall grant the necessary rights and access required for the authorising officer responsible, the European Anti-Fraud Office (OLAF), the Court of Auditors and the EPPO to comprehensively exercise their respective competences. In the case of OLAF, such rights shall include the right to carry out investigations, including on-the-spot checks and inspections, pursuant to Regulation (EU, </w:t>
      </w:r>
      <w:proofErr w:type="spellStart"/>
      <w:proofErr w:type="gramStart"/>
      <w:r w:rsidRPr="000B46A1">
        <w:rPr>
          <w:szCs w:val="24"/>
          <w:lang w:eastAsia="en-US"/>
        </w:rPr>
        <w:t>Euratom</w:t>
      </w:r>
      <w:proofErr w:type="spellEnd"/>
      <w:proofErr w:type="gramEnd"/>
      <w:r w:rsidRPr="000B46A1">
        <w:rPr>
          <w:szCs w:val="24"/>
          <w:lang w:eastAsia="en-US"/>
        </w:rPr>
        <w:t>) No 883/2013.</w:t>
      </w:r>
    </w:p>
    <w:p w14:paraId="37511196" w14:textId="77777777" w:rsidR="00F81A5B" w:rsidRPr="000B46A1" w:rsidRDefault="00F81A5B" w:rsidP="00F81A5B">
      <w:pPr>
        <w:spacing w:before="120" w:after="120" w:line="360" w:lineRule="auto"/>
        <w:jc w:val="center"/>
        <w:rPr>
          <w:szCs w:val="24"/>
          <w:lang w:eastAsia="en-US"/>
        </w:rPr>
      </w:pPr>
      <w:r w:rsidRPr="000B46A1">
        <w:rPr>
          <w:szCs w:val="24"/>
          <w:lang w:eastAsia="en-US"/>
        </w:rPr>
        <w:t>Article 17</w:t>
      </w:r>
      <w:r w:rsidRPr="000B46A1">
        <w:rPr>
          <w:szCs w:val="24"/>
          <w:lang w:eastAsia="en-US"/>
        </w:rPr>
        <w:br/>
        <w:t>Exercise of the delegation</w:t>
      </w:r>
    </w:p>
    <w:p w14:paraId="3C1C72DF" w14:textId="77777777" w:rsidR="00F81A5B" w:rsidRPr="000B46A1" w:rsidRDefault="00F81A5B" w:rsidP="00F81A5B">
      <w:pPr>
        <w:spacing w:before="120" w:after="120" w:line="360" w:lineRule="auto"/>
        <w:ind w:left="850" w:hanging="850"/>
        <w:rPr>
          <w:szCs w:val="24"/>
          <w:lang w:eastAsia="en-US"/>
        </w:rPr>
      </w:pPr>
      <w:r w:rsidRPr="000B46A1">
        <w:rPr>
          <w:szCs w:val="24"/>
          <w:lang w:eastAsia="en-US"/>
        </w:rPr>
        <w:t>1.</w:t>
      </w:r>
      <w:r w:rsidRPr="000B46A1">
        <w:rPr>
          <w:szCs w:val="24"/>
          <w:lang w:eastAsia="en-US"/>
        </w:rPr>
        <w:tab/>
        <w:t>The power to adopt delegated acts is conferred on the Commission subject to the conditions laid down in this Article.</w:t>
      </w:r>
    </w:p>
    <w:p w14:paraId="2A6FA483" w14:textId="77777777" w:rsidR="00F81A5B" w:rsidRPr="000B46A1" w:rsidRDefault="00F81A5B" w:rsidP="00F81A5B">
      <w:pPr>
        <w:spacing w:before="120" w:after="120" w:line="360" w:lineRule="auto"/>
        <w:ind w:left="850" w:hanging="850"/>
        <w:rPr>
          <w:szCs w:val="24"/>
          <w:lang w:eastAsia="en-US"/>
        </w:rPr>
      </w:pPr>
      <w:r w:rsidRPr="000B46A1">
        <w:rPr>
          <w:szCs w:val="24"/>
          <w:lang w:eastAsia="en-US"/>
        </w:rPr>
        <w:t>2.</w:t>
      </w:r>
      <w:r w:rsidRPr="000B46A1">
        <w:rPr>
          <w:szCs w:val="24"/>
          <w:lang w:eastAsia="en-US"/>
        </w:rPr>
        <w:tab/>
        <w:t>The power to adopt delegated acts referred to in Article 5(3), Article 6(6) and Article 7(2) shall be conferred on the Commission for an indeterminate period of time from [OJ: please insert the date of entry into force of this Regulation].</w:t>
      </w:r>
    </w:p>
    <w:p w14:paraId="180704B8" w14:textId="77777777" w:rsidR="00F81A5B" w:rsidRPr="000B46A1" w:rsidRDefault="00F81A5B" w:rsidP="00F81A5B">
      <w:pPr>
        <w:spacing w:before="120" w:after="120" w:line="360" w:lineRule="auto"/>
        <w:ind w:left="850" w:hanging="850"/>
        <w:rPr>
          <w:szCs w:val="24"/>
          <w:lang w:eastAsia="en-US"/>
        </w:rPr>
      </w:pPr>
      <w:r w:rsidRPr="000B46A1">
        <w:rPr>
          <w:szCs w:val="24"/>
          <w:lang w:eastAsia="en-US"/>
        </w:rPr>
        <w:t>3.</w:t>
      </w:r>
      <w:r w:rsidRPr="000B46A1">
        <w:rPr>
          <w:szCs w:val="24"/>
          <w:lang w:eastAsia="en-US"/>
        </w:rPr>
        <w:tab/>
        <w:t xml:space="preserve">The delegation of power referred to in Article 5(3), Article 6(6) and Article 7(2) may be revoked at any time by the European Parliament or by the Council. A decision to revoke shall put an end to the delegation of the power specified in that decision. It shall take effect on the day following the publication of the decision in the </w:t>
      </w:r>
      <w:bookmarkStart w:id="8" w:name="_GoBack"/>
      <w:r w:rsidRPr="002F35CF">
        <w:rPr>
          <w:i/>
          <w:szCs w:val="24"/>
          <w:lang w:eastAsia="en-US"/>
        </w:rPr>
        <w:t>Official Journal of the European Union</w:t>
      </w:r>
      <w:bookmarkEnd w:id="8"/>
      <w:r w:rsidRPr="000B46A1">
        <w:rPr>
          <w:szCs w:val="24"/>
          <w:lang w:eastAsia="en-US"/>
        </w:rPr>
        <w:t xml:space="preserve"> or at a later date specified therein. It shall not affect the validity of any delegated acts already in force.</w:t>
      </w:r>
    </w:p>
    <w:p w14:paraId="604CB320" w14:textId="77777777" w:rsidR="00F81A5B" w:rsidRPr="000B46A1" w:rsidRDefault="00F81A5B" w:rsidP="00F81A5B">
      <w:pPr>
        <w:spacing w:before="120" w:after="120" w:line="360" w:lineRule="auto"/>
        <w:ind w:left="850" w:hanging="850"/>
        <w:rPr>
          <w:szCs w:val="24"/>
          <w:lang w:eastAsia="en-US"/>
        </w:rPr>
      </w:pPr>
      <w:r w:rsidRPr="000B46A1">
        <w:rPr>
          <w:szCs w:val="24"/>
          <w:lang w:eastAsia="en-US"/>
        </w:rPr>
        <w:t>4.</w:t>
      </w:r>
      <w:r w:rsidRPr="000B46A1">
        <w:rPr>
          <w:szCs w:val="24"/>
          <w:lang w:eastAsia="en-US"/>
        </w:rPr>
        <w:tab/>
        <w:t xml:space="preserve">Before adopting a delegated act, the Commission shall consult experts designated by each Member State in accordance with the principles laid down in the </w:t>
      </w:r>
      <w:proofErr w:type="spellStart"/>
      <w:r w:rsidRPr="000B46A1">
        <w:rPr>
          <w:szCs w:val="24"/>
          <w:lang w:eastAsia="en-US"/>
        </w:rPr>
        <w:t>Interinstitutional</w:t>
      </w:r>
      <w:proofErr w:type="spellEnd"/>
      <w:r w:rsidRPr="000B46A1">
        <w:rPr>
          <w:szCs w:val="24"/>
          <w:lang w:eastAsia="en-US"/>
        </w:rPr>
        <w:t xml:space="preserve"> Agreement of 13 April 2016 on Better Law-Making</w:t>
      </w:r>
      <w:r w:rsidRPr="000B46A1">
        <w:rPr>
          <w:b/>
          <w:i/>
          <w:szCs w:val="24"/>
          <w:lang w:eastAsia="en-US"/>
        </w:rPr>
        <w:t xml:space="preserve"> and shall keep the European Parliament informed about its preparatory work</w:t>
      </w:r>
      <w:r w:rsidRPr="000B46A1">
        <w:rPr>
          <w:szCs w:val="24"/>
          <w:lang w:eastAsia="en-US"/>
        </w:rPr>
        <w:t>.</w:t>
      </w:r>
    </w:p>
    <w:p w14:paraId="7980B9DF" w14:textId="77777777" w:rsidR="00F81A5B" w:rsidRPr="000B46A1" w:rsidRDefault="00F81A5B" w:rsidP="00F81A5B">
      <w:pPr>
        <w:spacing w:before="120" w:after="120" w:line="360" w:lineRule="auto"/>
        <w:ind w:left="850" w:hanging="850"/>
        <w:rPr>
          <w:szCs w:val="24"/>
          <w:lang w:eastAsia="en-US"/>
        </w:rPr>
      </w:pPr>
      <w:r w:rsidRPr="000B46A1">
        <w:rPr>
          <w:szCs w:val="24"/>
          <w:lang w:eastAsia="en-US"/>
        </w:rPr>
        <w:t>5.</w:t>
      </w:r>
      <w:r w:rsidRPr="000B46A1">
        <w:rPr>
          <w:szCs w:val="24"/>
          <w:lang w:eastAsia="en-US"/>
        </w:rPr>
        <w:tab/>
        <w:t>As soon as it adopts a delegated act, the Commission shall notify it simultaneously to the European Parliament and to the Council.</w:t>
      </w:r>
    </w:p>
    <w:p w14:paraId="5A67ABC0" w14:textId="77777777" w:rsidR="00F81A5B" w:rsidRPr="000B46A1" w:rsidRDefault="00F81A5B" w:rsidP="00F81A5B">
      <w:pPr>
        <w:spacing w:before="120" w:after="120" w:line="360" w:lineRule="auto"/>
        <w:ind w:left="850" w:hanging="850"/>
        <w:rPr>
          <w:szCs w:val="24"/>
          <w:lang w:eastAsia="en-US"/>
        </w:rPr>
      </w:pPr>
      <w:r w:rsidRPr="000B46A1">
        <w:rPr>
          <w:szCs w:val="24"/>
          <w:lang w:eastAsia="en-US"/>
        </w:rPr>
        <w:t>6.</w:t>
      </w:r>
      <w:r w:rsidRPr="000B46A1">
        <w:rPr>
          <w:szCs w:val="24"/>
          <w:lang w:eastAsia="en-US"/>
        </w:rPr>
        <w:tab/>
        <w:t xml:space="preserve">A delegated act adopted pursuant to Article 5(3), Article 6(6) or Article 7(2) shall enter into force only if no objection has been expressed either by the European Parliament or by the Council within a period of two months of notification of that act to the European Parliament and the Council or if, before the expiry of that period, the European Parliament and the Council have both informed the Commission that they will not object. That period shall be extended by two months at the initiative of the </w:t>
      </w:r>
      <w:r w:rsidRPr="000B46A1">
        <w:rPr>
          <w:szCs w:val="24"/>
          <w:lang w:eastAsia="en-US"/>
        </w:rPr>
        <w:lastRenderedPageBreak/>
        <w:t>European Parliament or the Council.</w:t>
      </w:r>
    </w:p>
    <w:p w14:paraId="5634DBCF" w14:textId="77777777" w:rsidR="00F81A5B" w:rsidRPr="000B46A1" w:rsidRDefault="00F81A5B" w:rsidP="00F81A5B">
      <w:pPr>
        <w:spacing w:before="120" w:after="120" w:line="360" w:lineRule="auto"/>
        <w:jc w:val="center"/>
        <w:rPr>
          <w:szCs w:val="24"/>
          <w:lang w:eastAsia="en-US"/>
        </w:rPr>
      </w:pPr>
      <w:r w:rsidRPr="000B46A1">
        <w:rPr>
          <w:szCs w:val="24"/>
          <w:lang w:eastAsia="en-US"/>
        </w:rPr>
        <w:t>Article 18</w:t>
      </w:r>
      <w:r w:rsidRPr="000B46A1">
        <w:rPr>
          <w:szCs w:val="24"/>
          <w:lang w:eastAsia="en-US"/>
        </w:rPr>
        <w:br/>
        <w:t>Committee procedure</w:t>
      </w:r>
    </w:p>
    <w:p w14:paraId="44E18617" w14:textId="77777777" w:rsidR="00F81A5B" w:rsidRPr="000B46A1" w:rsidRDefault="00F81A5B" w:rsidP="00F81A5B">
      <w:pPr>
        <w:spacing w:before="120" w:after="120" w:line="360" w:lineRule="auto"/>
        <w:ind w:left="850" w:hanging="850"/>
        <w:rPr>
          <w:szCs w:val="24"/>
          <w:lang w:eastAsia="en-US"/>
        </w:rPr>
      </w:pPr>
      <w:r w:rsidRPr="000B46A1">
        <w:rPr>
          <w:szCs w:val="24"/>
          <w:lang w:eastAsia="en-US"/>
        </w:rPr>
        <w:t>1.</w:t>
      </w:r>
      <w:r w:rsidRPr="000B46A1">
        <w:rPr>
          <w:szCs w:val="24"/>
          <w:lang w:eastAsia="en-US"/>
        </w:rPr>
        <w:tab/>
        <w:t>The Commission shall be assisted by the European Statistical System Committee (ESSC) established by Article 7 of Regulation (EC) No 223/2009. That committee shall be a committee within the meaning of Regulation (EU) No 182/2011.</w:t>
      </w:r>
    </w:p>
    <w:p w14:paraId="1AE1FDCB" w14:textId="77777777" w:rsidR="00F81A5B" w:rsidRPr="000B46A1" w:rsidRDefault="00F81A5B" w:rsidP="00F81A5B">
      <w:pPr>
        <w:spacing w:before="120" w:after="120" w:line="360" w:lineRule="auto"/>
        <w:ind w:left="850" w:hanging="850"/>
        <w:rPr>
          <w:szCs w:val="24"/>
          <w:lang w:eastAsia="en-US"/>
        </w:rPr>
      </w:pPr>
      <w:r w:rsidRPr="000B46A1">
        <w:rPr>
          <w:szCs w:val="24"/>
          <w:lang w:eastAsia="en-US"/>
        </w:rPr>
        <w:t>2.</w:t>
      </w:r>
      <w:r w:rsidRPr="000B46A1">
        <w:rPr>
          <w:szCs w:val="24"/>
          <w:lang w:eastAsia="en-US"/>
        </w:rPr>
        <w:tab/>
        <w:t>Where reference is made to this paragraph, Article 5 of Regulation (EU) No 182/2011 shall apply.</w:t>
      </w:r>
    </w:p>
    <w:p w14:paraId="6AD21BA0" w14:textId="77777777" w:rsidR="00F81A5B" w:rsidRPr="000B46A1" w:rsidRDefault="00F81A5B" w:rsidP="00F81A5B">
      <w:pPr>
        <w:spacing w:before="120" w:after="120" w:line="360" w:lineRule="auto"/>
        <w:jc w:val="center"/>
        <w:rPr>
          <w:szCs w:val="24"/>
          <w:lang w:eastAsia="en-US"/>
        </w:rPr>
      </w:pPr>
      <w:r w:rsidRPr="000B46A1">
        <w:rPr>
          <w:szCs w:val="24"/>
          <w:lang w:eastAsia="en-US"/>
        </w:rPr>
        <w:t>Article 19</w:t>
      </w:r>
      <w:r w:rsidRPr="000B46A1">
        <w:rPr>
          <w:szCs w:val="24"/>
          <w:lang w:eastAsia="en-US"/>
        </w:rPr>
        <w:br/>
        <w:t>Derogations</w:t>
      </w:r>
    </w:p>
    <w:p w14:paraId="197AC2E3" w14:textId="77777777" w:rsidR="00F81A5B" w:rsidRPr="000B46A1" w:rsidRDefault="00F81A5B" w:rsidP="00F81A5B">
      <w:pPr>
        <w:spacing w:before="120" w:after="120" w:line="360" w:lineRule="auto"/>
        <w:ind w:left="850" w:hanging="850"/>
        <w:rPr>
          <w:szCs w:val="24"/>
          <w:lang w:eastAsia="en-US"/>
        </w:rPr>
      </w:pPr>
      <w:r w:rsidRPr="000B46A1">
        <w:rPr>
          <w:szCs w:val="24"/>
          <w:lang w:eastAsia="en-US"/>
        </w:rPr>
        <w:t>1.</w:t>
      </w:r>
      <w:r w:rsidRPr="000B46A1">
        <w:rPr>
          <w:szCs w:val="24"/>
          <w:lang w:eastAsia="en-US"/>
        </w:rPr>
        <w:tab/>
        <w:t xml:space="preserve">Where the application of this Regulation ▌ requires major adaptations to be made to a Member State’s national statistical system, the Commission may grant, by means of implementing acts, derogations to </w:t>
      </w:r>
      <w:r w:rsidRPr="000B46A1">
        <w:rPr>
          <w:b/>
          <w:i/>
          <w:szCs w:val="24"/>
          <w:lang w:eastAsia="en-US"/>
        </w:rPr>
        <w:t xml:space="preserve">that </w:t>
      </w:r>
      <w:r w:rsidRPr="000B46A1">
        <w:rPr>
          <w:szCs w:val="24"/>
          <w:lang w:eastAsia="en-US"/>
        </w:rPr>
        <w:t xml:space="preserve">Member State, for a maximum duration of </w:t>
      </w:r>
      <w:r w:rsidRPr="000B46A1">
        <w:rPr>
          <w:b/>
          <w:i/>
          <w:szCs w:val="24"/>
          <w:lang w:eastAsia="en-US"/>
        </w:rPr>
        <w:t>seven</w:t>
      </w:r>
      <w:r w:rsidRPr="000B46A1">
        <w:rPr>
          <w:szCs w:val="24"/>
          <w:lang w:eastAsia="en-US"/>
        </w:rPr>
        <w:t xml:space="preserve"> years.</w:t>
      </w:r>
    </w:p>
    <w:p w14:paraId="15933863" w14:textId="77777777" w:rsidR="00F81A5B" w:rsidRPr="000B46A1" w:rsidRDefault="00F81A5B" w:rsidP="00F81A5B">
      <w:pPr>
        <w:spacing w:before="120" w:after="120" w:line="360" w:lineRule="auto"/>
        <w:ind w:left="850" w:hanging="850"/>
        <w:rPr>
          <w:szCs w:val="24"/>
          <w:lang w:eastAsia="en-US"/>
        </w:rPr>
      </w:pPr>
      <w:r w:rsidRPr="000B46A1">
        <w:rPr>
          <w:b/>
          <w:i/>
          <w:szCs w:val="24"/>
          <w:lang w:eastAsia="en-US"/>
        </w:rPr>
        <w:t>1a.</w:t>
      </w:r>
      <w:r w:rsidRPr="000B46A1">
        <w:rPr>
          <w:szCs w:val="24"/>
          <w:lang w:eastAsia="en-US"/>
        </w:rPr>
        <w:tab/>
      </w:r>
      <w:proofErr w:type="gramStart"/>
      <w:r w:rsidRPr="000B46A1">
        <w:rPr>
          <w:b/>
          <w:i/>
          <w:szCs w:val="24"/>
          <w:lang w:eastAsia="en-US"/>
        </w:rPr>
        <w:t>Where</w:t>
      </w:r>
      <w:proofErr w:type="gramEnd"/>
      <w:r w:rsidRPr="000B46A1">
        <w:rPr>
          <w:b/>
          <w:i/>
          <w:szCs w:val="24"/>
          <w:lang w:eastAsia="en-US"/>
        </w:rPr>
        <w:t xml:space="preserve"> delegated or implementing acts adopted pursuant to this Regulation require major adaptations to be made to a Member State’s national statistical system, the Commission may grant, by means of implementing acts, derogations to that Member State for a maximum duration of three years. </w:t>
      </w:r>
    </w:p>
    <w:p w14:paraId="4BE6F11A" w14:textId="77777777" w:rsidR="00F81A5B" w:rsidRPr="000B46A1" w:rsidRDefault="00F81A5B" w:rsidP="00F81A5B">
      <w:pPr>
        <w:spacing w:before="120" w:after="120" w:line="360" w:lineRule="auto"/>
        <w:ind w:left="850" w:hanging="850"/>
        <w:rPr>
          <w:szCs w:val="24"/>
          <w:lang w:eastAsia="en-US"/>
        </w:rPr>
      </w:pPr>
      <w:r w:rsidRPr="000B46A1">
        <w:rPr>
          <w:szCs w:val="24"/>
          <w:lang w:eastAsia="en-US"/>
        </w:rPr>
        <w:t>2.</w:t>
      </w:r>
      <w:r w:rsidRPr="000B46A1">
        <w:rPr>
          <w:szCs w:val="24"/>
          <w:lang w:eastAsia="en-US"/>
        </w:rPr>
        <w:tab/>
        <w:t>When granting derogations pursuant to paragraph 1 of this Article, the Commission shall take into account the comparability of Member States’ statistics and the timely calculation of the required representative and reliable European aggregates. When granting those derogations, the Commission shall also ensure that the requirements related to statistics, metadata and quality covered by this Regulation and previously covered by Regulation (EU) No 1260/2013 or by Article 3 of Regulation (EC) No 862/2007 are continued without interruption.</w:t>
      </w:r>
    </w:p>
    <w:p w14:paraId="75BC42B1" w14:textId="77777777" w:rsidR="00F81A5B" w:rsidRPr="000B46A1" w:rsidRDefault="00F81A5B" w:rsidP="00F81A5B">
      <w:pPr>
        <w:spacing w:before="120" w:after="120" w:line="360" w:lineRule="auto"/>
        <w:ind w:left="850" w:hanging="850"/>
        <w:rPr>
          <w:szCs w:val="24"/>
          <w:lang w:eastAsia="en-US"/>
        </w:rPr>
      </w:pPr>
      <w:r w:rsidRPr="000B46A1">
        <w:rPr>
          <w:szCs w:val="24"/>
          <w:lang w:eastAsia="en-US"/>
        </w:rPr>
        <w:t>3.</w:t>
      </w:r>
      <w:r w:rsidRPr="000B46A1">
        <w:rPr>
          <w:szCs w:val="24"/>
          <w:lang w:eastAsia="en-US"/>
        </w:rPr>
        <w:tab/>
        <w:t>The Member State shall submit a duly justified request for derogation to the Commission within two months of the date of the entry into force of the act concerned.</w:t>
      </w:r>
    </w:p>
    <w:p w14:paraId="52576EBF" w14:textId="77777777" w:rsidR="00F81A5B" w:rsidRPr="000B46A1" w:rsidRDefault="00F81A5B" w:rsidP="00F81A5B">
      <w:pPr>
        <w:spacing w:before="120" w:after="120" w:line="360" w:lineRule="auto"/>
        <w:ind w:left="850" w:hanging="850"/>
        <w:rPr>
          <w:szCs w:val="24"/>
          <w:lang w:eastAsia="en-US"/>
        </w:rPr>
      </w:pPr>
      <w:r w:rsidRPr="000B46A1">
        <w:rPr>
          <w:szCs w:val="24"/>
          <w:lang w:eastAsia="en-US"/>
        </w:rPr>
        <w:t>4.</w:t>
      </w:r>
      <w:r w:rsidRPr="000B46A1">
        <w:rPr>
          <w:szCs w:val="24"/>
          <w:lang w:eastAsia="en-US"/>
        </w:rPr>
        <w:tab/>
        <w:t xml:space="preserve">The Commission shall adopt the implementing acts referred to in </w:t>
      </w:r>
      <w:r w:rsidRPr="000B46A1">
        <w:rPr>
          <w:b/>
          <w:i/>
          <w:szCs w:val="24"/>
          <w:lang w:eastAsia="en-US"/>
        </w:rPr>
        <w:t>paragraphs</w:t>
      </w:r>
      <w:r w:rsidRPr="000B46A1">
        <w:rPr>
          <w:szCs w:val="24"/>
          <w:lang w:eastAsia="en-US"/>
        </w:rPr>
        <w:t xml:space="preserve"> 1</w:t>
      </w:r>
      <w:r w:rsidRPr="000B46A1">
        <w:rPr>
          <w:b/>
          <w:i/>
          <w:szCs w:val="24"/>
          <w:lang w:eastAsia="en-US"/>
        </w:rPr>
        <w:t>, 1a and</w:t>
      </w:r>
      <w:r w:rsidRPr="000B46A1">
        <w:rPr>
          <w:szCs w:val="24"/>
          <w:lang w:eastAsia="en-US"/>
        </w:rPr>
        <w:t xml:space="preserve"> </w:t>
      </w:r>
      <w:r w:rsidRPr="000B46A1">
        <w:rPr>
          <w:b/>
          <w:i/>
          <w:szCs w:val="24"/>
          <w:lang w:eastAsia="en-US"/>
        </w:rPr>
        <w:t>3</w:t>
      </w:r>
      <w:r w:rsidRPr="000B46A1">
        <w:rPr>
          <w:szCs w:val="24"/>
          <w:lang w:eastAsia="en-US"/>
        </w:rPr>
        <w:t xml:space="preserve"> of this Article in accordance with the examination procedure referred to in Article 18(2).</w:t>
      </w:r>
    </w:p>
    <w:p w14:paraId="7F406555" w14:textId="77777777" w:rsidR="00F81A5B" w:rsidRPr="000B46A1" w:rsidRDefault="00F81A5B" w:rsidP="00F81A5B">
      <w:pPr>
        <w:spacing w:before="120" w:after="120" w:line="360" w:lineRule="auto"/>
        <w:jc w:val="center"/>
        <w:rPr>
          <w:szCs w:val="24"/>
          <w:lang w:eastAsia="en-US"/>
        </w:rPr>
      </w:pPr>
      <w:r w:rsidRPr="000B46A1">
        <w:rPr>
          <w:szCs w:val="24"/>
          <w:lang w:eastAsia="en-US"/>
        </w:rPr>
        <w:lastRenderedPageBreak/>
        <w:t>Article 20</w:t>
      </w:r>
      <w:r w:rsidRPr="000B46A1">
        <w:rPr>
          <w:szCs w:val="24"/>
          <w:lang w:eastAsia="en-US"/>
        </w:rPr>
        <w:br/>
        <w:t>Amendments to Regulation (EC) No 862/2007</w:t>
      </w:r>
    </w:p>
    <w:p w14:paraId="647C66D0" w14:textId="77777777" w:rsidR="00F81A5B" w:rsidRPr="000B46A1" w:rsidRDefault="00F81A5B" w:rsidP="00F81A5B">
      <w:pPr>
        <w:spacing w:before="120" w:after="120" w:line="360" w:lineRule="auto"/>
        <w:rPr>
          <w:szCs w:val="24"/>
          <w:lang w:eastAsia="en-US"/>
        </w:rPr>
      </w:pPr>
      <w:r w:rsidRPr="000B46A1">
        <w:rPr>
          <w:szCs w:val="24"/>
          <w:lang w:eastAsia="en-US"/>
        </w:rPr>
        <w:t>Regulation (EC) No 862/2007 is amended as follows:</w:t>
      </w:r>
    </w:p>
    <w:p w14:paraId="13811A00" w14:textId="77777777" w:rsidR="00F81A5B" w:rsidRPr="000B46A1" w:rsidRDefault="00F81A5B" w:rsidP="00F81A5B">
      <w:pPr>
        <w:spacing w:before="120" w:after="120" w:line="360" w:lineRule="auto"/>
        <w:ind w:left="850" w:hanging="850"/>
        <w:rPr>
          <w:szCs w:val="24"/>
          <w:lang w:eastAsia="en-US"/>
        </w:rPr>
      </w:pPr>
      <w:r w:rsidRPr="000B46A1">
        <w:rPr>
          <w:szCs w:val="24"/>
          <w:lang w:eastAsia="en-US"/>
        </w:rPr>
        <w:t>(1)</w:t>
      </w:r>
      <w:r w:rsidRPr="000B46A1">
        <w:rPr>
          <w:szCs w:val="24"/>
          <w:lang w:eastAsia="en-US"/>
        </w:rPr>
        <w:tab/>
      </w:r>
      <w:proofErr w:type="gramStart"/>
      <w:r w:rsidRPr="000B46A1">
        <w:rPr>
          <w:szCs w:val="24"/>
          <w:lang w:eastAsia="en-US"/>
        </w:rPr>
        <w:t>the</w:t>
      </w:r>
      <w:proofErr w:type="gramEnd"/>
      <w:r w:rsidRPr="000B46A1">
        <w:rPr>
          <w:szCs w:val="24"/>
          <w:lang w:eastAsia="en-US"/>
        </w:rPr>
        <w:t xml:space="preserve"> title is replaced by the following: ‘Regulation (EC) No 862/2007 of 11 July 2007 on European statistics on asylum and administrative and judicial procedures related to immigration legislation and repealing Council Regulation (EEC) No 311/76 on the compilation of statistics on foreign workers’;</w:t>
      </w:r>
    </w:p>
    <w:p w14:paraId="5ACF1CB5" w14:textId="77777777" w:rsidR="00F81A5B" w:rsidRPr="000B46A1" w:rsidRDefault="00F81A5B" w:rsidP="00F81A5B">
      <w:pPr>
        <w:spacing w:before="120" w:after="120" w:line="360" w:lineRule="auto"/>
        <w:ind w:left="850" w:hanging="850"/>
        <w:rPr>
          <w:szCs w:val="24"/>
          <w:lang w:eastAsia="en-US"/>
        </w:rPr>
      </w:pPr>
      <w:r w:rsidRPr="000B46A1">
        <w:rPr>
          <w:szCs w:val="24"/>
          <w:lang w:eastAsia="en-US"/>
        </w:rPr>
        <w:t>(2)</w:t>
      </w:r>
      <w:r w:rsidRPr="000B46A1">
        <w:rPr>
          <w:szCs w:val="24"/>
          <w:lang w:eastAsia="en-US"/>
        </w:rPr>
        <w:tab/>
      </w:r>
      <w:proofErr w:type="gramStart"/>
      <w:r w:rsidRPr="000B46A1">
        <w:rPr>
          <w:szCs w:val="24"/>
          <w:lang w:eastAsia="en-US"/>
        </w:rPr>
        <w:t>in</w:t>
      </w:r>
      <w:proofErr w:type="gramEnd"/>
      <w:r w:rsidRPr="000B46A1">
        <w:rPr>
          <w:szCs w:val="24"/>
          <w:lang w:eastAsia="en-US"/>
        </w:rPr>
        <w:t xml:space="preserve"> Article 1, points (a) and (b) are deleted;</w:t>
      </w:r>
    </w:p>
    <w:p w14:paraId="568D3A1F" w14:textId="77777777" w:rsidR="00F81A5B" w:rsidRPr="000B46A1" w:rsidRDefault="00F81A5B" w:rsidP="00F81A5B">
      <w:pPr>
        <w:spacing w:before="120" w:after="120" w:line="360" w:lineRule="auto"/>
        <w:ind w:left="850" w:hanging="850"/>
        <w:rPr>
          <w:szCs w:val="24"/>
          <w:lang w:eastAsia="en-US"/>
        </w:rPr>
      </w:pPr>
      <w:r w:rsidRPr="000B46A1">
        <w:rPr>
          <w:szCs w:val="24"/>
          <w:lang w:eastAsia="en-US"/>
        </w:rPr>
        <w:t>(3)</w:t>
      </w:r>
      <w:r w:rsidRPr="000B46A1">
        <w:rPr>
          <w:szCs w:val="24"/>
          <w:lang w:eastAsia="en-US"/>
        </w:rPr>
        <w:tab/>
      </w:r>
      <w:proofErr w:type="gramStart"/>
      <w:r w:rsidRPr="000B46A1">
        <w:rPr>
          <w:szCs w:val="24"/>
          <w:lang w:eastAsia="en-US"/>
        </w:rPr>
        <w:t>in</w:t>
      </w:r>
      <w:proofErr w:type="gramEnd"/>
      <w:r w:rsidRPr="000B46A1">
        <w:rPr>
          <w:szCs w:val="24"/>
          <w:lang w:eastAsia="en-US"/>
        </w:rPr>
        <w:t xml:space="preserve"> Article 2(1), points (a), (b), (c), (f) and (g) are deleted;</w:t>
      </w:r>
    </w:p>
    <w:p w14:paraId="02FBA676" w14:textId="77777777" w:rsidR="00F81A5B" w:rsidRPr="000B46A1" w:rsidRDefault="00F81A5B" w:rsidP="00F81A5B">
      <w:pPr>
        <w:spacing w:before="120" w:after="120" w:line="360" w:lineRule="auto"/>
        <w:ind w:left="850" w:hanging="850"/>
        <w:rPr>
          <w:b/>
          <w:i/>
          <w:szCs w:val="24"/>
          <w:lang w:eastAsia="en-US"/>
        </w:rPr>
      </w:pPr>
      <w:r w:rsidRPr="000B46A1">
        <w:rPr>
          <w:b/>
          <w:i/>
          <w:szCs w:val="24"/>
          <w:lang w:eastAsia="en-US"/>
        </w:rPr>
        <w:t>(3a)</w:t>
      </w:r>
      <w:r w:rsidRPr="000B46A1">
        <w:rPr>
          <w:szCs w:val="24"/>
          <w:lang w:eastAsia="en-US"/>
        </w:rPr>
        <w:tab/>
      </w:r>
      <w:r w:rsidRPr="000B46A1">
        <w:rPr>
          <w:b/>
          <w:i/>
          <w:szCs w:val="24"/>
          <w:lang w:eastAsia="en-US"/>
        </w:rPr>
        <w:t xml:space="preserve">in Article 2(1), point (d) is replaced by the following: </w:t>
      </w:r>
    </w:p>
    <w:p w14:paraId="0B2D9F43" w14:textId="77777777" w:rsidR="00F81A5B" w:rsidRPr="000B46A1" w:rsidRDefault="00F81A5B" w:rsidP="00F81A5B">
      <w:pPr>
        <w:spacing w:before="120" w:after="120" w:line="360" w:lineRule="auto"/>
        <w:ind w:left="850"/>
        <w:rPr>
          <w:szCs w:val="24"/>
          <w:lang w:eastAsia="en-US"/>
        </w:rPr>
      </w:pPr>
      <w:r w:rsidRPr="000B46A1">
        <w:rPr>
          <w:b/>
          <w:i/>
          <w:szCs w:val="24"/>
          <w:lang w:eastAsia="en-US"/>
        </w:rPr>
        <w:t>“(d)</w:t>
      </w:r>
      <w:r w:rsidRPr="000B46A1">
        <w:rPr>
          <w:b/>
          <w:i/>
          <w:szCs w:val="24"/>
          <w:lang w:eastAsia="en-US"/>
        </w:rPr>
        <w:tab/>
        <w:t>‘citizenship’ means citizenship as defined in Article 2(1) of Regulation (EU) .../... of the European Parliament and of the Council</w:t>
      </w:r>
      <w:r w:rsidRPr="000B46A1">
        <w:rPr>
          <w:noProof/>
          <w:w w:val="0"/>
          <w:szCs w:val="24"/>
          <w:vertAlign w:val="superscript"/>
          <w:lang w:eastAsia="en-US"/>
        </w:rPr>
        <w:t>*</w:t>
      </w:r>
      <w:r w:rsidRPr="000B46A1">
        <w:rPr>
          <w:noProof/>
          <w:w w:val="0"/>
          <w:szCs w:val="24"/>
          <w:vertAlign w:val="superscript"/>
          <w:lang w:eastAsia="en-US"/>
        </w:rPr>
        <w:footnoteReference w:customMarkFollows="1" w:id="33"/>
        <w:t>+</w:t>
      </w:r>
      <w:r w:rsidRPr="000B46A1">
        <w:rPr>
          <w:b/>
          <w:i/>
          <w:szCs w:val="24"/>
          <w:lang w:eastAsia="en-US"/>
        </w:rPr>
        <w:t>”;</w:t>
      </w:r>
    </w:p>
    <w:p w14:paraId="70438F20" w14:textId="77777777" w:rsidR="00F81A5B" w:rsidRPr="000B46A1" w:rsidRDefault="00F81A5B" w:rsidP="00F81A5B">
      <w:pPr>
        <w:spacing w:before="120" w:after="120" w:line="360" w:lineRule="auto"/>
        <w:ind w:left="850" w:hanging="850"/>
        <w:rPr>
          <w:szCs w:val="24"/>
          <w:lang w:eastAsia="en-US"/>
        </w:rPr>
      </w:pPr>
      <w:r w:rsidRPr="000B46A1">
        <w:rPr>
          <w:szCs w:val="24"/>
          <w:lang w:eastAsia="en-US"/>
        </w:rPr>
        <w:t>(4)</w:t>
      </w:r>
      <w:r w:rsidRPr="000B46A1">
        <w:rPr>
          <w:szCs w:val="24"/>
          <w:lang w:eastAsia="en-US"/>
        </w:rPr>
        <w:tab/>
        <w:t>Article 3 is deleted;</w:t>
      </w:r>
    </w:p>
    <w:p w14:paraId="6AD6C1E3" w14:textId="77777777" w:rsidR="00F81A5B" w:rsidRPr="000B46A1" w:rsidRDefault="00F81A5B" w:rsidP="00F81A5B">
      <w:pPr>
        <w:spacing w:before="120" w:after="120" w:line="360" w:lineRule="auto"/>
        <w:ind w:left="850" w:hanging="850"/>
        <w:rPr>
          <w:szCs w:val="24"/>
          <w:lang w:eastAsia="en-US"/>
        </w:rPr>
      </w:pPr>
      <w:r w:rsidRPr="000B46A1">
        <w:rPr>
          <w:szCs w:val="24"/>
          <w:lang w:eastAsia="en-US"/>
        </w:rPr>
        <w:t>(5)</w:t>
      </w:r>
      <w:r w:rsidRPr="000B46A1">
        <w:rPr>
          <w:szCs w:val="24"/>
          <w:lang w:eastAsia="en-US"/>
        </w:rPr>
        <w:tab/>
      </w:r>
      <w:proofErr w:type="gramStart"/>
      <w:r w:rsidRPr="000B46A1">
        <w:rPr>
          <w:szCs w:val="24"/>
          <w:lang w:eastAsia="en-US"/>
        </w:rPr>
        <w:t>the</w:t>
      </w:r>
      <w:proofErr w:type="gramEnd"/>
      <w:r w:rsidRPr="000B46A1">
        <w:rPr>
          <w:szCs w:val="24"/>
          <w:lang w:eastAsia="en-US"/>
        </w:rPr>
        <w:t xml:space="preserve"> following article is inserted:</w:t>
      </w:r>
    </w:p>
    <w:p w14:paraId="4BD91B86" w14:textId="77777777" w:rsidR="00F81A5B" w:rsidRPr="000B46A1" w:rsidRDefault="00F81A5B" w:rsidP="00F81A5B">
      <w:pPr>
        <w:spacing w:before="120" w:after="120" w:line="360" w:lineRule="auto"/>
        <w:ind w:left="850"/>
        <w:rPr>
          <w:szCs w:val="24"/>
          <w:lang w:eastAsia="en-US"/>
        </w:rPr>
      </w:pPr>
      <w:r w:rsidRPr="000B46A1">
        <w:rPr>
          <w:szCs w:val="24"/>
          <w:lang w:eastAsia="en-US"/>
        </w:rPr>
        <w:t>“Article 9c</w:t>
      </w:r>
    </w:p>
    <w:p w14:paraId="6301B979" w14:textId="77777777" w:rsidR="00F81A5B" w:rsidRPr="000B46A1" w:rsidRDefault="00F81A5B" w:rsidP="00F81A5B">
      <w:pPr>
        <w:spacing w:before="120" w:after="120" w:line="360" w:lineRule="auto"/>
        <w:ind w:left="850"/>
        <w:rPr>
          <w:szCs w:val="24"/>
          <w:lang w:eastAsia="en-US"/>
        </w:rPr>
      </w:pPr>
      <w:r w:rsidRPr="000B46A1">
        <w:rPr>
          <w:szCs w:val="24"/>
          <w:lang w:eastAsia="en-US"/>
        </w:rPr>
        <w:t>Timely access to and reuse of administrative data</w:t>
      </w:r>
    </w:p>
    <w:p w14:paraId="54352FF9" w14:textId="77777777" w:rsidR="00F81A5B" w:rsidRPr="000B46A1" w:rsidRDefault="00F81A5B" w:rsidP="00F81A5B">
      <w:pPr>
        <w:spacing w:before="120" w:after="120" w:line="360" w:lineRule="auto"/>
        <w:ind w:left="1416" w:hanging="566"/>
        <w:rPr>
          <w:szCs w:val="24"/>
          <w:lang w:eastAsia="en-US"/>
        </w:rPr>
      </w:pPr>
      <w:r w:rsidRPr="000B46A1">
        <w:rPr>
          <w:szCs w:val="24"/>
          <w:lang w:eastAsia="en-US"/>
        </w:rPr>
        <w:t>1.</w:t>
      </w:r>
      <w:r w:rsidRPr="000B46A1">
        <w:rPr>
          <w:szCs w:val="24"/>
          <w:lang w:eastAsia="en-US"/>
        </w:rPr>
        <w:tab/>
      </w:r>
      <w:r w:rsidRPr="000B46A1">
        <w:rPr>
          <w:b/>
          <w:i/>
          <w:szCs w:val="24"/>
          <w:lang w:eastAsia="en-US"/>
        </w:rPr>
        <w:t xml:space="preserve">In accordance with Article 17a of Regulation (EC) No 223/2009, </w:t>
      </w:r>
      <w:r w:rsidRPr="000B46A1">
        <w:rPr>
          <w:szCs w:val="24"/>
          <w:lang w:eastAsia="en-US"/>
        </w:rPr>
        <w:t xml:space="preserve">national authorities in charge of administrative data sources relevant for the purposes of this Regulation shall allow the reuse of those data in time and subject to a frequency sufficient to produce and submit statistics within the deadlines and in accordance with the specific quality requirements according to this Regulation. The </w:t>
      </w:r>
      <w:r w:rsidRPr="000B46A1">
        <w:rPr>
          <w:b/>
          <w:i/>
          <w:szCs w:val="24"/>
          <w:lang w:eastAsia="en-US"/>
        </w:rPr>
        <w:t>national statistical authorities and the national authorities in charge of the administrative records</w:t>
      </w:r>
      <w:r w:rsidRPr="000B46A1">
        <w:rPr>
          <w:szCs w:val="24"/>
          <w:lang w:eastAsia="en-US"/>
        </w:rPr>
        <w:t xml:space="preserve"> shall </w:t>
      </w:r>
      <w:r w:rsidRPr="000B46A1">
        <w:rPr>
          <w:b/>
          <w:i/>
          <w:szCs w:val="24"/>
          <w:lang w:eastAsia="en-US"/>
        </w:rPr>
        <w:t>establish the necessary</w:t>
      </w:r>
      <w:r w:rsidRPr="000B46A1">
        <w:rPr>
          <w:szCs w:val="24"/>
          <w:lang w:eastAsia="en-US"/>
        </w:rPr>
        <w:t xml:space="preserve"> cooperation </w:t>
      </w:r>
      <w:r w:rsidRPr="000B46A1">
        <w:rPr>
          <w:b/>
          <w:i/>
          <w:szCs w:val="24"/>
          <w:lang w:eastAsia="en-US"/>
        </w:rPr>
        <w:t>mechanisms for access to those records in a timely manner, free of charge</w:t>
      </w:r>
      <w:r w:rsidRPr="000B46A1">
        <w:rPr>
          <w:szCs w:val="24"/>
          <w:lang w:eastAsia="en-US"/>
        </w:rPr>
        <w:t>.</w:t>
      </w:r>
    </w:p>
    <w:p w14:paraId="177E3535" w14:textId="77777777" w:rsidR="00F81A5B" w:rsidRPr="000B46A1" w:rsidRDefault="00F81A5B" w:rsidP="00F81A5B">
      <w:pPr>
        <w:spacing w:before="120" w:after="120" w:line="360" w:lineRule="auto"/>
        <w:ind w:left="1416" w:hanging="566"/>
        <w:rPr>
          <w:szCs w:val="24"/>
          <w:lang w:eastAsia="en-US"/>
        </w:rPr>
      </w:pPr>
      <w:r w:rsidRPr="000B46A1">
        <w:rPr>
          <w:szCs w:val="24"/>
          <w:lang w:eastAsia="en-US"/>
        </w:rPr>
        <w:t>2.</w:t>
      </w:r>
      <w:r w:rsidRPr="000B46A1">
        <w:rPr>
          <w:szCs w:val="24"/>
          <w:lang w:eastAsia="en-US"/>
        </w:rPr>
        <w:tab/>
        <w:t xml:space="preserve">For the purposes of this Regulation, the Commission (Eurostat) shall be allowed, upon request, to access and reuse in a timely manner relevant data and metadata from databases and interoperability systems maintained by Union </w:t>
      </w:r>
      <w:r w:rsidRPr="000B46A1">
        <w:rPr>
          <w:szCs w:val="24"/>
          <w:lang w:eastAsia="en-US"/>
        </w:rPr>
        <w:lastRenderedPageBreak/>
        <w:t>bodies and agencies, including under Regulations (EU) No 910/2014, (EU) 2018/1724 and statistical data stored in the central repository for reporting and statistics (CRRS)</w:t>
      </w:r>
      <w:r w:rsidRPr="000B46A1">
        <w:rPr>
          <w:b/>
          <w:i/>
          <w:szCs w:val="24"/>
          <w:lang w:eastAsia="en-US"/>
        </w:rPr>
        <w:t xml:space="preserve">. In particular, data from the interoperable Large Scale IT Systems (LSITs) in the area of freedom, security and justice shall be accessed by the Commission (Eurostat) from the CRRS </w:t>
      </w:r>
      <w:r w:rsidRPr="000B46A1">
        <w:rPr>
          <w:szCs w:val="24"/>
          <w:lang w:eastAsia="en-US"/>
        </w:rPr>
        <w:t>in accordance with Regulations (EU) 2019/817 and (EU) 2019/818 and the Regulations establishing the systems whose statistical data are stored in CRRS. To that end, the Commission (Eurostat) shall further cooperate with the relevant Union bodies and agencies with a view to specifying the customised statistical data and metadata required, where possible under Union law, for European statistics on population and housing, the operational modalities for their provision and the necessary accompanying physical and logical safeguards.”;</w:t>
      </w:r>
    </w:p>
    <w:p w14:paraId="5FCBEC3F" w14:textId="77777777" w:rsidR="00F81A5B" w:rsidRPr="000B46A1" w:rsidRDefault="00F81A5B" w:rsidP="00F81A5B">
      <w:pPr>
        <w:spacing w:before="120" w:after="120" w:line="360" w:lineRule="auto"/>
        <w:ind w:left="850" w:hanging="850"/>
        <w:rPr>
          <w:szCs w:val="24"/>
          <w:lang w:eastAsia="en-US"/>
        </w:rPr>
      </w:pPr>
      <w:r w:rsidRPr="000B46A1">
        <w:rPr>
          <w:szCs w:val="24"/>
          <w:lang w:eastAsia="en-US"/>
        </w:rPr>
        <w:t>(6)</w:t>
      </w:r>
      <w:r w:rsidRPr="000B46A1">
        <w:rPr>
          <w:szCs w:val="24"/>
          <w:lang w:eastAsia="en-US"/>
        </w:rPr>
        <w:tab/>
      </w:r>
      <w:proofErr w:type="gramStart"/>
      <w:r w:rsidRPr="000B46A1">
        <w:rPr>
          <w:szCs w:val="24"/>
          <w:lang w:eastAsia="en-US"/>
        </w:rPr>
        <w:t>the</w:t>
      </w:r>
      <w:proofErr w:type="gramEnd"/>
      <w:r w:rsidRPr="000B46A1">
        <w:rPr>
          <w:szCs w:val="24"/>
          <w:lang w:eastAsia="en-US"/>
        </w:rPr>
        <w:t xml:space="preserve"> following article is inserted:</w:t>
      </w:r>
    </w:p>
    <w:p w14:paraId="2D331D5B" w14:textId="77777777" w:rsidR="00F81A5B" w:rsidRPr="000B46A1" w:rsidRDefault="00F81A5B" w:rsidP="00F81A5B">
      <w:pPr>
        <w:spacing w:before="120" w:after="120" w:line="360" w:lineRule="auto"/>
        <w:ind w:left="850"/>
        <w:rPr>
          <w:szCs w:val="24"/>
          <w:lang w:eastAsia="en-US"/>
        </w:rPr>
      </w:pPr>
      <w:r w:rsidRPr="000B46A1">
        <w:rPr>
          <w:szCs w:val="24"/>
          <w:lang w:eastAsia="en-US"/>
        </w:rPr>
        <w:t>“Article 10a</w:t>
      </w:r>
    </w:p>
    <w:p w14:paraId="1CF9F830" w14:textId="77777777" w:rsidR="00F81A5B" w:rsidRPr="000B46A1" w:rsidRDefault="00F81A5B" w:rsidP="00F81A5B">
      <w:pPr>
        <w:spacing w:before="120" w:after="120" w:line="360" w:lineRule="auto"/>
        <w:ind w:left="850"/>
        <w:rPr>
          <w:szCs w:val="24"/>
          <w:lang w:eastAsia="en-US"/>
        </w:rPr>
      </w:pPr>
      <w:r w:rsidRPr="000B46A1">
        <w:rPr>
          <w:szCs w:val="24"/>
          <w:lang w:eastAsia="en-US"/>
        </w:rPr>
        <w:t>Lists of countries and territories</w:t>
      </w:r>
    </w:p>
    <w:p w14:paraId="3CB311E5" w14:textId="77777777" w:rsidR="00F81A5B" w:rsidRPr="000B46A1" w:rsidRDefault="00F81A5B" w:rsidP="00F81A5B">
      <w:pPr>
        <w:spacing w:before="120" w:after="120" w:line="360" w:lineRule="auto"/>
        <w:ind w:left="850"/>
        <w:rPr>
          <w:szCs w:val="24"/>
          <w:lang w:eastAsia="en-US"/>
        </w:rPr>
      </w:pPr>
      <w:r w:rsidRPr="000B46A1">
        <w:rPr>
          <w:szCs w:val="24"/>
          <w:lang w:eastAsia="en-US"/>
        </w:rPr>
        <w:t>The lists of countries and territories referred to in Article 11 of Regulation (EU) .../...</w:t>
      </w:r>
      <w:r w:rsidRPr="000B46A1">
        <w:rPr>
          <w:noProof/>
          <w:w w:val="0"/>
          <w:szCs w:val="24"/>
          <w:vertAlign w:val="superscript"/>
          <w:lang w:eastAsia="en-US"/>
        </w:rPr>
        <w:t xml:space="preserve"> *</w:t>
      </w:r>
      <w:r w:rsidRPr="000B46A1">
        <w:rPr>
          <w:noProof/>
          <w:w w:val="0"/>
          <w:szCs w:val="24"/>
          <w:vertAlign w:val="superscript"/>
          <w:lang w:eastAsia="en-US"/>
        </w:rPr>
        <w:footnoteReference w:customMarkFollows="1" w:id="34"/>
        <w:t>+</w:t>
      </w:r>
      <w:r w:rsidRPr="000B46A1">
        <w:rPr>
          <w:b/>
          <w:i/>
          <w:szCs w:val="24"/>
          <w:vertAlign w:val="superscript"/>
          <w:lang w:eastAsia="en-US"/>
        </w:rPr>
        <w:t xml:space="preserve"> </w:t>
      </w:r>
      <w:r w:rsidRPr="000B46A1">
        <w:rPr>
          <w:szCs w:val="24"/>
          <w:lang w:eastAsia="en-US"/>
        </w:rPr>
        <w:t xml:space="preserve">   shall be applied for the compilation of statistics under this Regulation to ensure comparability of country and territories specific details across European statistics. Member States shall apply these lists for the first time to compile statistics due under this Regulation starting with data transmissions for the reference year 2026.</w:t>
      </w:r>
    </w:p>
    <w:p w14:paraId="3CC24A78" w14:textId="77777777" w:rsidR="00F81A5B" w:rsidRPr="000B46A1" w:rsidRDefault="00F81A5B" w:rsidP="00F81A5B">
      <w:pPr>
        <w:spacing w:before="120" w:after="120" w:line="360" w:lineRule="auto"/>
        <w:rPr>
          <w:szCs w:val="24"/>
          <w:lang w:eastAsia="en-US"/>
        </w:rPr>
      </w:pPr>
      <w:r w:rsidRPr="000B46A1">
        <w:rPr>
          <w:szCs w:val="24"/>
          <w:lang w:eastAsia="en-US"/>
        </w:rPr>
        <w:t>________</w:t>
      </w:r>
    </w:p>
    <w:p w14:paraId="04AFB3FD" w14:textId="77777777" w:rsidR="00F81A5B" w:rsidRPr="000B46A1" w:rsidDel="0009248B" w:rsidRDefault="00F81A5B" w:rsidP="00F81A5B">
      <w:pPr>
        <w:spacing w:before="120" w:after="120" w:line="360" w:lineRule="auto"/>
        <w:rPr>
          <w:szCs w:val="24"/>
          <w:lang w:eastAsia="en-US"/>
        </w:rPr>
      </w:pPr>
      <w:r w:rsidRPr="000B46A1">
        <w:rPr>
          <w:szCs w:val="24"/>
          <w:vertAlign w:val="superscript"/>
          <w:lang w:eastAsia="en-US"/>
        </w:rPr>
        <w:t>*</w:t>
      </w:r>
      <w:r w:rsidRPr="000B46A1">
        <w:rPr>
          <w:szCs w:val="24"/>
          <w:lang w:eastAsia="en-US"/>
        </w:rPr>
        <w:tab/>
        <w:t>Regulation (EU) .../... of the European Parliament and of the Council on European statistics on population and housing, amending Regulation (EC) No 862/2007 and repealing Regulations (EC) No 763/2008 and (EU) No 1260/2013 (OJ ...).".</w:t>
      </w:r>
    </w:p>
    <w:p w14:paraId="6398B4F1" w14:textId="77777777" w:rsidR="00F81A5B" w:rsidRPr="000B46A1" w:rsidRDefault="00F81A5B" w:rsidP="00F81A5B">
      <w:pPr>
        <w:spacing w:before="120" w:after="120" w:line="360" w:lineRule="auto"/>
        <w:rPr>
          <w:szCs w:val="24"/>
          <w:lang w:eastAsia="en-US"/>
        </w:rPr>
      </w:pPr>
    </w:p>
    <w:p w14:paraId="74627F0E" w14:textId="77777777" w:rsidR="00F81A5B" w:rsidRPr="000B46A1" w:rsidRDefault="00F81A5B" w:rsidP="00F81A5B">
      <w:pPr>
        <w:spacing w:before="120" w:after="120" w:line="360" w:lineRule="auto"/>
        <w:jc w:val="center"/>
        <w:rPr>
          <w:szCs w:val="24"/>
          <w:lang w:eastAsia="en-US"/>
        </w:rPr>
      </w:pPr>
      <w:r w:rsidRPr="000B46A1">
        <w:rPr>
          <w:szCs w:val="24"/>
          <w:lang w:eastAsia="en-US"/>
        </w:rPr>
        <w:t>Article 21</w:t>
      </w:r>
      <w:r w:rsidRPr="000B46A1">
        <w:rPr>
          <w:szCs w:val="24"/>
          <w:lang w:eastAsia="en-US"/>
        </w:rPr>
        <w:br/>
        <w:t>Repeal</w:t>
      </w:r>
    </w:p>
    <w:p w14:paraId="01B11F72" w14:textId="77777777" w:rsidR="00F81A5B" w:rsidRPr="000B46A1" w:rsidRDefault="00F81A5B" w:rsidP="00F81A5B">
      <w:pPr>
        <w:spacing w:before="120" w:after="120" w:line="360" w:lineRule="auto"/>
        <w:rPr>
          <w:szCs w:val="24"/>
          <w:lang w:eastAsia="en-US"/>
        </w:rPr>
      </w:pPr>
      <w:r w:rsidRPr="000B46A1">
        <w:rPr>
          <w:szCs w:val="24"/>
          <w:lang w:eastAsia="en-US"/>
        </w:rPr>
        <w:t xml:space="preserve">Regulations (EC) No 763/2008 and (EU) No 1260/2013 are repealed with effect from 1 </w:t>
      </w:r>
      <w:r w:rsidRPr="000B46A1">
        <w:rPr>
          <w:szCs w:val="24"/>
          <w:lang w:eastAsia="en-US"/>
        </w:rPr>
        <w:lastRenderedPageBreak/>
        <w:t>January 2026 without prejudice to the obligations set out in those legal acts with regard to reference periods that fall, in whole or in part, before that date.</w:t>
      </w:r>
    </w:p>
    <w:p w14:paraId="03100680" w14:textId="77777777" w:rsidR="00F81A5B" w:rsidRPr="000B46A1" w:rsidRDefault="00F81A5B" w:rsidP="00F81A5B">
      <w:pPr>
        <w:spacing w:before="120" w:after="120" w:line="360" w:lineRule="auto"/>
        <w:rPr>
          <w:szCs w:val="24"/>
          <w:lang w:eastAsia="en-US"/>
        </w:rPr>
      </w:pPr>
      <w:r w:rsidRPr="000B46A1">
        <w:rPr>
          <w:szCs w:val="24"/>
          <w:lang w:eastAsia="en-US"/>
        </w:rPr>
        <w:t>References to the repealed Regulations shall be construed as references to this Regulation.</w:t>
      </w:r>
    </w:p>
    <w:p w14:paraId="18D604D1" w14:textId="77777777" w:rsidR="00F81A5B" w:rsidRPr="000B46A1" w:rsidRDefault="00F81A5B" w:rsidP="00F81A5B">
      <w:pPr>
        <w:spacing w:before="120" w:after="120" w:line="360" w:lineRule="auto"/>
        <w:jc w:val="center"/>
        <w:rPr>
          <w:szCs w:val="24"/>
          <w:lang w:eastAsia="en-US"/>
        </w:rPr>
      </w:pPr>
      <w:r w:rsidRPr="000B46A1">
        <w:rPr>
          <w:szCs w:val="24"/>
          <w:lang w:eastAsia="en-US"/>
        </w:rPr>
        <w:t>Article 22</w:t>
      </w:r>
      <w:r w:rsidRPr="000B46A1">
        <w:rPr>
          <w:szCs w:val="24"/>
          <w:lang w:eastAsia="en-US"/>
        </w:rPr>
        <w:br/>
        <w:t>Entry into force and application</w:t>
      </w:r>
    </w:p>
    <w:p w14:paraId="658385C2" w14:textId="77777777" w:rsidR="00F81A5B" w:rsidRPr="000B46A1" w:rsidRDefault="00F81A5B" w:rsidP="00F81A5B">
      <w:pPr>
        <w:spacing w:before="120" w:after="120" w:line="360" w:lineRule="auto"/>
        <w:rPr>
          <w:szCs w:val="24"/>
          <w:lang w:eastAsia="en-US"/>
        </w:rPr>
      </w:pPr>
      <w:r w:rsidRPr="000B46A1">
        <w:rPr>
          <w:szCs w:val="24"/>
          <w:lang w:eastAsia="en-US"/>
        </w:rPr>
        <w:t xml:space="preserve">This Regulation shall enter into force on the twentieth day following that of its publication in the </w:t>
      </w:r>
      <w:r w:rsidRPr="002F35CF">
        <w:rPr>
          <w:i/>
          <w:szCs w:val="24"/>
          <w:lang w:eastAsia="en-US"/>
        </w:rPr>
        <w:t>Official Journal of the European Union</w:t>
      </w:r>
      <w:r w:rsidRPr="000B46A1">
        <w:rPr>
          <w:szCs w:val="24"/>
          <w:lang w:eastAsia="en-US"/>
        </w:rPr>
        <w:t>.</w:t>
      </w:r>
    </w:p>
    <w:p w14:paraId="01AF52C5" w14:textId="77777777" w:rsidR="00F81A5B" w:rsidRPr="000B46A1" w:rsidRDefault="00F81A5B" w:rsidP="00F81A5B">
      <w:pPr>
        <w:spacing w:before="120" w:after="120" w:line="360" w:lineRule="auto"/>
        <w:rPr>
          <w:szCs w:val="24"/>
          <w:lang w:eastAsia="en-US"/>
        </w:rPr>
      </w:pPr>
      <w:r w:rsidRPr="000B46A1">
        <w:rPr>
          <w:szCs w:val="24"/>
          <w:lang w:eastAsia="en-US"/>
        </w:rPr>
        <w:t>It shall apply from 1 January 2026.</w:t>
      </w:r>
    </w:p>
    <w:p w14:paraId="3E06F10F" w14:textId="77777777" w:rsidR="00F81A5B" w:rsidRPr="000B46A1" w:rsidRDefault="00F81A5B" w:rsidP="00F81A5B">
      <w:pPr>
        <w:spacing w:before="120" w:after="120" w:line="360" w:lineRule="auto"/>
        <w:rPr>
          <w:szCs w:val="24"/>
          <w:lang w:eastAsia="en-US"/>
        </w:rPr>
      </w:pPr>
      <w:r w:rsidRPr="000B46A1">
        <w:rPr>
          <w:szCs w:val="24"/>
          <w:lang w:eastAsia="en-US"/>
        </w:rPr>
        <w:t>This Regulation shall be binding in its entirety and directly applicable in all Member States.</w:t>
      </w:r>
    </w:p>
    <w:p w14:paraId="2B5AADB6" w14:textId="77777777" w:rsidR="00F81A5B" w:rsidRPr="000B46A1" w:rsidRDefault="00F81A5B" w:rsidP="00F81A5B">
      <w:pPr>
        <w:keepNext/>
        <w:widowControl/>
        <w:spacing w:before="120" w:line="360" w:lineRule="auto"/>
        <w:rPr>
          <w:szCs w:val="24"/>
          <w:lang w:eastAsia="en-US"/>
        </w:rPr>
      </w:pPr>
      <w:r w:rsidRPr="000B46A1">
        <w:rPr>
          <w:szCs w:val="24"/>
          <w:lang w:eastAsia="en-US"/>
        </w:rPr>
        <w:t>Done at ...,</w:t>
      </w:r>
    </w:p>
    <w:p w14:paraId="50C6E0C1" w14:textId="77777777" w:rsidR="00F81A5B" w:rsidRPr="000B46A1" w:rsidRDefault="00F81A5B" w:rsidP="00F81A5B">
      <w:pPr>
        <w:keepNext/>
        <w:widowControl/>
        <w:tabs>
          <w:tab w:val="left" w:pos="4252"/>
        </w:tabs>
        <w:spacing w:before="720" w:after="100" w:line="360" w:lineRule="auto"/>
        <w:jc w:val="both"/>
        <w:rPr>
          <w:i/>
          <w:szCs w:val="24"/>
          <w:lang w:eastAsia="en-US"/>
        </w:rPr>
      </w:pPr>
      <w:r w:rsidRPr="000B46A1">
        <w:rPr>
          <w:i/>
          <w:szCs w:val="24"/>
          <w:lang w:eastAsia="en-US"/>
        </w:rPr>
        <w:t>For the European Parliament</w:t>
      </w:r>
      <w:r w:rsidRPr="000B46A1">
        <w:rPr>
          <w:i/>
          <w:szCs w:val="24"/>
          <w:lang w:eastAsia="en-US"/>
        </w:rPr>
        <w:tab/>
      </w:r>
      <w:proofErr w:type="gramStart"/>
      <w:r w:rsidRPr="000B46A1">
        <w:rPr>
          <w:i/>
          <w:szCs w:val="24"/>
          <w:lang w:eastAsia="en-US"/>
        </w:rPr>
        <w:t>For</w:t>
      </w:r>
      <w:proofErr w:type="gramEnd"/>
      <w:r w:rsidRPr="000B46A1">
        <w:rPr>
          <w:i/>
          <w:szCs w:val="24"/>
          <w:lang w:eastAsia="en-US"/>
        </w:rPr>
        <w:t xml:space="preserve"> the Council</w:t>
      </w:r>
    </w:p>
    <w:p w14:paraId="78A92A72" w14:textId="77777777" w:rsidR="00F81A5B" w:rsidRPr="000B46A1" w:rsidRDefault="00F81A5B" w:rsidP="00F81A5B">
      <w:pPr>
        <w:widowControl/>
        <w:tabs>
          <w:tab w:val="left" w:pos="4252"/>
        </w:tabs>
        <w:spacing w:line="360" w:lineRule="auto"/>
        <w:rPr>
          <w:i/>
          <w:szCs w:val="24"/>
          <w:lang w:eastAsia="en-US"/>
        </w:rPr>
      </w:pPr>
      <w:r w:rsidRPr="000B46A1">
        <w:rPr>
          <w:i/>
          <w:szCs w:val="24"/>
          <w:lang w:eastAsia="en-US"/>
        </w:rPr>
        <w:t>The President</w:t>
      </w:r>
      <w:r w:rsidRPr="000B46A1">
        <w:rPr>
          <w:i/>
          <w:szCs w:val="24"/>
          <w:lang w:eastAsia="en-US"/>
        </w:rPr>
        <w:tab/>
      </w:r>
      <w:proofErr w:type="gramStart"/>
      <w:r w:rsidRPr="000B46A1">
        <w:rPr>
          <w:i/>
          <w:szCs w:val="24"/>
          <w:lang w:eastAsia="en-US"/>
        </w:rPr>
        <w:t>The</w:t>
      </w:r>
      <w:proofErr w:type="gramEnd"/>
      <w:r w:rsidRPr="000B46A1">
        <w:rPr>
          <w:i/>
          <w:szCs w:val="24"/>
          <w:lang w:eastAsia="en-US"/>
        </w:rPr>
        <w:t xml:space="preserve"> President</w:t>
      </w:r>
    </w:p>
    <w:p w14:paraId="0CCE4B8E" w14:textId="77777777" w:rsidR="00F81A5B" w:rsidRPr="000B46A1" w:rsidRDefault="00F81A5B" w:rsidP="00F81A5B">
      <w:pPr>
        <w:widowControl/>
        <w:spacing w:before="120" w:after="120"/>
        <w:jc w:val="center"/>
        <w:rPr>
          <w:rFonts w:eastAsia="Calibri"/>
          <w:b/>
          <w:noProof/>
          <w:szCs w:val="22"/>
          <w:u w:val="single"/>
          <w:lang w:eastAsia="en-US"/>
        </w:rPr>
      </w:pPr>
      <w:r w:rsidRPr="000B46A1">
        <w:rPr>
          <w:rFonts w:eastAsia="Calibri"/>
          <w:b/>
          <w:szCs w:val="22"/>
          <w:u w:val="single"/>
          <w:lang w:eastAsia="en-US"/>
        </w:rPr>
        <w:br w:type="page"/>
      </w:r>
      <w:r w:rsidRPr="000B46A1">
        <w:rPr>
          <w:rFonts w:eastAsia="Calibri"/>
          <w:b/>
          <w:noProof/>
          <w:szCs w:val="22"/>
          <w:u w:val="single"/>
          <w:lang w:eastAsia="en-US"/>
        </w:rPr>
        <w:lastRenderedPageBreak/>
        <w:t>ANNEX</w:t>
      </w:r>
    </w:p>
    <w:p w14:paraId="61354F0A" w14:textId="77777777" w:rsidR="00F81A5B" w:rsidRPr="000B46A1" w:rsidRDefault="00F81A5B" w:rsidP="00F81A5B">
      <w:pPr>
        <w:keepNext/>
        <w:widowControl/>
        <w:tabs>
          <w:tab w:val="left" w:pos="850"/>
        </w:tabs>
        <w:spacing w:before="120" w:after="120"/>
        <w:ind w:left="850" w:hanging="850"/>
        <w:jc w:val="center"/>
        <w:outlineLvl w:val="1"/>
        <w:rPr>
          <w:rFonts w:eastAsia="Calibri"/>
          <w:b/>
          <w:noProof/>
          <w:szCs w:val="22"/>
          <w:lang w:eastAsia="en-US"/>
        </w:rPr>
      </w:pPr>
      <w:r w:rsidRPr="000B46A1">
        <w:rPr>
          <w:rFonts w:eastAsia="Calibri"/>
          <w:b/>
          <w:noProof/>
          <w:szCs w:val="22"/>
          <w:lang w:eastAsia="en-US"/>
        </w:rPr>
        <w:t>Domains, topics and detailed topics with periodicity and reference time per detailed topic</w:t>
      </w:r>
    </w:p>
    <w:tbl>
      <w:tblPr>
        <w:tblW w:w="0" w:type="dxa"/>
        <w:tblInd w:w="-5" w:type="dxa"/>
        <w:tblLayout w:type="fixed"/>
        <w:tblLook w:val="04A0" w:firstRow="1" w:lastRow="0" w:firstColumn="1" w:lastColumn="0" w:noHBand="0" w:noVBand="1"/>
      </w:tblPr>
      <w:tblGrid>
        <w:gridCol w:w="1838"/>
        <w:gridCol w:w="1701"/>
        <w:gridCol w:w="3402"/>
        <w:gridCol w:w="1276"/>
        <w:gridCol w:w="1559"/>
      </w:tblGrid>
      <w:tr w:rsidR="00F81A5B" w:rsidRPr="000B46A1" w14:paraId="7234DF34" w14:textId="77777777" w:rsidTr="00D53492">
        <w:trPr>
          <w:cantSplit/>
          <w:trHeight w:val="517"/>
          <w:tblHeader/>
        </w:trPr>
        <w:tc>
          <w:tcPr>
            <w:tcW w:w="1838" w:type="dxa"/>
            <w:vMerge w:val="restart"/>
            <w:tcBorders>
              <w:top w:val="single" w:sz="8" w:space="0" w:color="auto"/>
              <w:left w:val="single" w:sz="8" w:space="0" w:color="auto"/>
              <w:bottom w:val="single" w:sz="8" w:space="0" w:color="000000"/>
              <w:right w:val="single" w:sz="4" w:space="0" w:color="auto"/>
            </w:tcBorders>
            <w:shd w:val="clear" w:color="auto" w:fill="FFFFFF"/>
            <w:vAlign w:val="center"/>
            <w:hideMark/>
          </w:tcPr>
          <w:p w14:paraId="55262546" w14:textId="77777777" w:rsidR="00F81A5B" w:rsidRPr="000B46A1" w:rsidRDefault="00F81A5B" w:rsidP="00F81A5B">
            <w:pPr>
              <w:spacing w:before="120" w:after="120" w:line="360" w:lineRule="auto"/>
              <w:jc w:val="center"/>
              <w:rPr>
                <w:b/>
                <w:noProof/>
                <w:sz w:val="20"/>
                <w:szCs w:val="24"/>
              </w:rPr>
            </w:pPr>
            <w:r w:rsidRPr="000B46A1">
              <w:rPr>
                <w:b/>
                <w:noProof/>
                <w:sz w:val="20"/>
                <w:szCs w:val="24"/>
              </w:rPr>
              <w:t>Domain</w:t>
            </w:r>
          </w:p>
        </w:tc>
        <w:tc>
          <w:tcPr>
            <w:tcW w:w="1701" w:type="dxa"/>
            <w:vMerge w:val="restart"/>
            <w:tcBorders>
              <w:top w:val="single" w:sz="8" w:space="0" w:color="auto"/>
              <w:left w:val="single" w:sz="4" w:space="0" w:color="auto"/>
              <w:bottom w:val="single" w:sz="8" w:space="0" w:color="000000"/>
              <w:right w:val="single" w:sz="4" w:space="0" w:color="auto"/>
            </w:tcBorders>
            <w:shd w:val="clear" w:color="auto" w:fill="FFFFFF"/>
            <w:vAlign w:val="center"/>
            <w:hideMark/>
          </w:tcPr>
          <w:p w14:paraId="3370C4D3" w14:textId="77777777" w:rsidR="00F81A5B" w:rsidRPr="000B46A1" w:rsidRDefault="00F81A5B" w:rsidP="00F81A5B">
            <w:pPr>
              <w:spacing w:before="120" w:after="120" w:line="360" w:lineRule="auto"/>
              <w:jc w:val="center"/>
              <w:rPr>
                <w:b/>
                <w:noProof/>
                <w:sz w:val="20"/>
                <w:szCs w:val="24"/>
              </w:rPr>
            </w:pPr>
            <w:r w:rsidRPr="000B46A1">
              <w:rPr>
                <w:b/>
                <w:noProof/>
                <w:sz w:val="20"/>
                <w:szCs w:val="24"/>
              </w:rPr>
              <w:t>Topic</w:t>
            </w:r>
          </w:p>
        </w:tc>
        <w:tc>
          <w:tcPr>
            <w:tcW w:w="3402" w:type="dxa"/>
            <w:vMerge w:val="restart"/>
            <w:tcBorders>
              <w:top w:val="single" w:sz="8" w:space="0" w:color="auto"/>
              <w:left w:val="single" w:sz="4" w:space="0" w:color="auto"/>
              <w:bottom w:val="single" w:sz="8" w:space="0" w:color="000000"/>
              <w:right w:val="single" w:sz="4" w:space="0" w:color="auto"/>
            </w:tcBorders>
            <w:shd w:val="clear" w:color="auto" w:fill="FFFFFF"/>
            <w:vAlign w:val="center"/>
            <w:hideMark/>
          </w:tcPr>
          <w:p w14:paraId="083B96B1" w14:textId="77777777" w:rsidR="00F81A5B" w:rsidRPr="000B46A1" w:rsidRDefault="00F81A5B" w:rsidP="00F81A5B">
            <w:pPr>
              <w:spacing w:before="120" w:after="120" w:line="360" w:lineRule="auto"/>
              <w:jc w:val="center"/>
              <w:rPr>
                <w:b/>
                <w:noProof/>
                <w:sz w:val="20"/>
                <w:szCs w:val="24"/>
              </w:rPr>
            </w:pPr>
            <w:r w:rsidRPr="000B46A1">
              <w:rPr>
                <w:b/>
                <w:noProof/>
                <w:sz w:val="20"/>
                <w:szCs w:val="24"/>
              </w:rPr>
              <w:t>Detailed topic</w:t>
            </w:r>
          </w:p>
        </w:tc>
        <w:tc>
          <w:tcPr>
            <w:tcW w:w="1276" w:type="dxa"/>
            <w:vMerge w:val="restart"/>
            <w:tcBorders>
              <w:top w:val="single" w:sz="8" w:space="0" w:color="auto"/>
              <w:left w:val="single" w:sz="4" w:space="0" w:color="auto"/>
              <w:bottom w:val="single" w:sz="8" w:space="0" w:color="000000"/>
              <w:right w:val="single" w:sz="4" w:space="0" w:color="auto"/>
            </w:tcBorders>
            <w:shd w:val="clear" w:color="auto" w:fill="FFFFFF"/>
            <w:vAlign w:val="center"/>
            <w:hideMark/>
          </w:tcPr>
          <w:p w14:paraId="7110B514" w14:textId="77777777" w:rsidR="00F81A5B" w:rsidRPr="000B46A1" w:rsidRDefault="00F81A5B" w:rsidP="00F81A5B">
            <w:pPr>
              <w:spacing w:before="120" w:after="120" w:line="360" w:lineRule="auto"/>
              <w:jc w:val="center"/>
              <w:rPr>
                <w:b/>
                <w:noProof/>
                <w:sz w:val="20"/>
                <w:szCs w:val="24"/>
              </w:rPr>
            </w:pPr>
            <w:r w:rsidRPr="000B46A1">
              <w:rPr>
                <w:b/>
                <w:noProof/>
                <w:sz w:val="20"/>
                <w:szCs w:val="24"/>
              </w:rPr>
              <w:t xml:space="preserve">Periodicity </w:t>
            </w:r>
          </w:p>
        </w:tc>
        <w:tc>
          <w:tcPr>
            <w:tcW w:w="1559" w:type="dxa"/>
            <w:vMerge w:val="restart"/>
            <w:tcBorders>
              <w:top w:val="single" w:sz="8" w:space="0" w:color="auto"/>
              <w:left w:val="single" w:sz="4" w:space="0" w:color="auto"/>
              <w:bottom w:val="single" w:sz="8" w:space="0" w:color="000000"/>
              <w:right w:val="single" w:sz="4" w:space="0" w:color="auto"/>
            </w:tcBorders>
            <w:shd w:val="clear" w:color="auto" w:fill="FFFFFF"/>
            <w:vAlign w:val="center"/>
            <w:hideMark/>
          </w:tcPr>
          <w:p w14:paraId="28FFA39F" w14:textId="77777777" w:rsidR="00F81A5B" w:rsidRPr="000B46A1" w:rsidRDefault="00F81A5B" w:rsidP="00F81A5B">
            <w:pPr>
              <w:spacing w:before="120" w:after="120" w:line="360" w:lineRule="auto"/>
              <w:jc w:val="center"/>
              <w:rPr>
                <w:b/>
                <w:noProof/>
                <w:sz w:val="20"/>
                <w:szCs w:val="24"/>
              </w:rPr>
            </w:pPr>
            <w:r w:rsidRPr="000B46A1">
              <w:rPr>
                <w:b/>
                <w:noProof/>
                <w:sz w:val="20"/>
                <w:szCs w:val="24"/>
              </w:rPr>
              <w:t>Reference time (date or period)</w:t>
            </w:r>
          </w:p>
        </w:tc>
      </w:tr>
      <w:tr w:rsidR="00F81A5B" w:rsidRPr="000B46A1" w14:paraId="3B746F2E" w14:textId="77777777" w:rsidTr="00D53492">
        <w:trPr>
          <w:cantSplit/>
          <w:trHeight w:val="517"/>
          <w:tblHeader/>
        </w:trPr>
        <w:tc>
          <w:tcPr>
            <w:tcW w:w="9776" w:type="dxa"/>
            <w:vMerge/>
            <w:tcBorders>
              <w:top w:val="single" w:sz="8" w:space="0" w:color="auto"/>
              <w:left w:val="single" w:sz="8" w:space="0" w:color="auto"/>
              <w:bottom w:val="single" w:sz="8" w:space="0" w:color="000000"/>
              <w:right w:val="single" w:sz="4" w:space="0" w:color="auto"/>
            </w:tcBorders>
            <w:vAlign w:val="center"/>
            <w:hideMark/>
          </w:tcPr>
          <w:p w14:paraId="7163C2ED" w14:textId="77777777" w:rsidR="00F81A5B" w:rsidRPr="000B46A1" w:rsidRDefault="00F81A5B" w:rsidP="00F81A5B">
            <w:pPr>
              <w:spacing w:before="120" w:after="120" w:line="276" w:lineRule="auto"/>
              <w:rPr>
                <w:b/>
                <w:noProof/>
                <w:sz w:val="20"/>
                <w:szCs w:val="22"/>
              </w:rPr>
            </w:pPr>
          </w:p>
        </w:tc>
        <w:tc>
          <w:tcPr>
            <w:tcW w:w="1701" w:type="dxa"/>
            <w:vMerge/>
            <w:tcBorders>
              <w:top w:val="single" w:sz="8" w:space="0" w:color="auto"/>
              <w:left w:val="single" w:sz="4" w:space="0" w:color="auto"/>
              <w:bottom w:val="single" w:sz="8" w:space="0" w:color="000000"/>
              <w:right w:val="single" w:sz="4" w:space="0" w:color="auto"/>
            </w:tcBorders>
            <w:vAlign w:val="center"/>
            <w:hideMark/>
          </w:tcPr>
          <w:p w14:paraId="1B39F3D0" w14:textId="77777777" w:rsidR="00F81A5B" w:rsidRPr="000B46A1" w:rsidRDefault="00F81A5B" w:rsidP="00F81A5B">
            <w:pPr>
              <w:spacing w:before="120" w:after="120" w:line="276" w:lineRule="auto"/>
              <w:rPr>
                <w:b/>
                <w:noProof/>
                <w:sz w:val="20"/>
                <w:szCs w:val="22"/>
              </w:rPr>
            </w:pPr>
          </w:p>
        </w:tc>
        <w:tc>
          <w:tcPr>
            <w:tcW w:w="3402" w:type="dxa"/>
            <w:vMerge/>
            <w:tcBorders>
              <w:top w:val="single" w:sz="8" w:space="0" w:color="auto"/>
              <w:left w:val="single" w:sz="4" w:space="0" w:color="auto"/>
              <w:bottom w:val="single" w:sz="8" w:space="0" w:color="000000"/>
              <w:right w:val="single" w:sz="4" w:space="0" w:color="auto"/>
            </w:tcBorders>
            <w:vAlign w:val="center"/>
            <w:hideMark/>
          </w:tcPr>
          <w:p w14:paraId="194B33D4" w14:textId="77777777" w:rsidR="00F81A5B" w:rsidRPr="000B46A1" w:rsidRDefault="00F81A5B" w:rsidP="00F81A5B">
            <w:pPr>
              <w:spacing w:before="120" w:after="120" w:line="276" w:lineRule="auto"/>
              <w:rPr>
                <w:b/>
                <w:noProof/>
                <w:sz w:val="20"/>
                <w:szCs w:val="22"/>
              </w:rPr>
            </w:pPr>
          </w:p>
        </w:tc>
        <w:tc>
          <w:tcPr>
            <w:tcW w:w="1276" w:type="dxa"/>
            <w:vMerge/>
            <w:tcBorders>
              <w:top w:val="single" w:sz="8" w:space="0" w:color="auto"/>
              <w:left w:val="single" w:sz="4" w:space="0" w:color="auto"/>
              <w:bottom w:val="single" w:sz="8" w:space="0" w:color="000000"/>
              <w:right w:val="single" w:sz="4" w:space="0" w:color="auto"/>
            </w:tcBorders>
            <w:vAlign w:val="center"/>
            <w:hideMark/>
          </w:tcPr>
          <w:p w14:paraId="75100781" w14:textId="77777777" w:rsidR="00F81A5B" w:rsidRPr="000B46A1" w:rsidRDefault="00F81A5B" w:rsidP="00F81A5B">
            <w:pPr>
              <w:spacing w:before="120" w:after="120" w:line="276" w:lineRule="auto"/>
              <w:rPr>
                <w:b/>
                <w:noProof/>
                <w:sz w:val="20"/>
                <w:szCs w:val="22"/>
              </w:rPr>
            </w:pPr>
          </w:p>
        </w:tc>
        <w:tc>
          <w:tcPr>
            <w:tcW w:w="1559" w:type="dxa"/>
            <w:vMerge/>
            <w:tcBorders>
              <w:top w:val="single" w:sz="8" w:space="0" w:color="auto"/>
              <w:left w:val="single" w:sz="4" w:space="0" w:color="auto"/>
              <w:bottom w:val="single" w:sz="8" w:space="0" w:color="000000"/>
              <w:right w:val="single" w:sz="4" w:space="0" w:color="auto"/>
            </w:tcBorders>
            <w:vAlign w:val="center"/>
            <w:hideMark/>
          </w:tcPr>
          <w:p w14:paraId="02FCE89D" w14:textId="77777777" w:rsidR="00F81A5B" w:rsidRPr="000B46A1" w:rsidRDefault="00F81A5B" w:rsidP="00F81A5B">
            <w:pPr>
              <w:spacing w:before="120" w:after="120" w:line="276" w:lineRule="auto"/>
              <w:rPr>
                <w:b/>
                <w:noProof/>
                <w:sz w:val="20"/>
                <w:szCs w:val="22"/>
              </w:rPr>
            </w:pPr>
          </w:p>
        </w:tc>
      </w:tr>
      <w:tr w:rsidR="00F81A5B" w:rsidRPr="000B46A1" w14:paraId="01ECA7AA" w14:textId="77777777" w:rsidTr="00D53492">
        <w:tc>
          <w:tcPr>
            <w:tcW w:w="1838" w:type="dxa"/>
            <w:vMerge w:val="restart"/>
            <w:tcBorders>
              <w:top w:val="single" w:sz="4" w:space="0" w:color="auto"/>
              <w:left w:val="single" w:sz="4" w:space="0" w:color="auto"/>
              <w:bottom w:val="single" w:sz="4" w:space="0" w:color="auto"/>
              <w:right w:val="single" w:sz="4" w:space="0" w:color="auto"/>
            </w:tcBorders>
            <w:tcMar>
              <w:top w:w="0" w:type="dxa"/>
              <w:left w:w="340" w:type="dxa"/>
              <w:bottom w:w="0" w:type="dxa"/>
              <w:right w:w="340" w:type="dxa"/>
            </w:tcMar>
            <w:hideMark/>
          </w:tcPr>
          <w:p w14:paraId="7CDA0EA0" w14:textId="77777777" w:rsidR="00F81A5B" w:rsidRPr="000B46A1" w:rsidRDefault="00F81A5B" w:rsidP="00F81A5B">
            <w:pPr>
              <w:spacing w:after="120" w:line="276" w:lineRule="auto"/>
              <w:rPr>
                <w:sz w:val="20"/>
                <w:lang w:eastAsia="en-US"/>
              </w:rPr>
            </w:pPr>
            <w:r w:rsidRPr="000B46A1">
              <w:rPr>
                <w:sz w:val="20"/>
                <w:lang w:eastAsia="en-US"/>
              </w:rPr>
              <w:t>Demography</w:t>
            </w:r>
          </w:p>
        </w:tc>
        <w:tc>
          <w:tcPr>
            <w:tcW w:w="1701" w:type="dxa"/>
            <w:vMerge w:val="restart"/>
            <w:tcBorders>
              <w:top w:val="single" w:sz="4" w:space="0" w:color="auto"/>
              <w:left w:val="single" w:sz="4" w:space="0" w:color="auto"/>
              <w:bottom w:val="single" w:sz="4" w:space="0" w:color="auto"/>
              <w:right w:val="single" w:sz="4" w:space="0" w:color="auto"/>
            </w:tcBorders>
            <w:tcMar>
              <w:top w:w="0" w:type="dxa"/>
              <w:left w:w="340" w:type="dxa"/>
              <w:bottom w:w="0" w:type="dxa"/>
              <w:right w:w="340" w:type="dxa"/>
            </w:tcMar>
            <w:hideMark/>
          </w:tcPr>
          <w:p w14:paraId="54701BF1" w14:textId="77777777" w:rsidR="00F81A5B" w:rsidRPr="000B46A1" w:rsidRDefault="00F81A5B" w:rsidP="00F81A5B">
            <w:pPr>
              <w:spacing w:after="120" w:line="276" w:lineRule="auto"/>
              <w:rPr>
                <w:sz w:val="20"/>
                <w:lang w:eastAsia="en-US"/>
              </w:rPr>
            </w:pPr>
            <w:r w:rsidRPr="000B46A1">
              <w:rPr>
                <w:sz w:val="20"/>
                <w:lang w:eastAsia="en-US"/>
              </w:rPr>
              <w:t>Population stocks</w:t>
            </w:r>
          </w:p>
        </w:tc>
        <w:tc>
          <w:tcPr>
            <w:tcW w:w="3402" w:type="dxa"/>
            <w:vMerge w:val="restart"/>
            <w:tcBorders>
              <w:top w:val="single" w:sz="4" w:space="0" w:color="auto"/>
              <w:left w:val="single" w:sz="4" w:space="0" w:color="auto"/>
              <w:bottom w:val="single" w:sz="4" w:space="0" w:color="auto"/>
              <w:right w:val="single" w:sz="4" w:space="0" w:color="auto"/>
            </w:tcBorders>
            <w:tcMar>
              <w:top w:w="0" w:type="dxa"/>
              <w:left w:w="340" w:type="dxa"/>
              <w:bottom w:w="0" w:type="dxa"/>
              <w:right w:w="340" w:type="dxa"/>
            </w:tcMar>
            <w:hideMark/>
          </w:tcPr>
          <w:p w14:paraId="6BECC44A" w14:textId="77777777" w:rsidR="00F81A5B" w:rsidRPr="000B46A1" w:rsidRDefault="00F81A5B" w:rsidP="00F81A5B">
            <w:pPr>
              <w:spacing w:after="120" w:line="276" w:lineRule="auto"/>
              <w:rPr>
                <w:sz w:val="20"/>
                <w:lang w:eastAsia="en-US"/>
              </w:rPr>
            </w:pPr>
            <w:r w:rsidRPr="000B46A1">
              <w:rPr>
                <w:sz w:val="20"/>
                <w:lang w:eastAsia="en-US"/>
              </w:rPr>
              <w:t>The person's basic characteristics</w:t>
            </w:r>
          </w:p>
        </w:tc>
        <w:tc>
          <w:tcPr>
            <w:tcW w:w="1276" w:type="dxa"/>
            <w:tcBorders>
              <w:top w:val="single" w:sz="4" w:space="0" w:color="auto"/>
              <w:left w:val="single" w:sz="4" w:space="0" w:color="auto"/>
              <w:bottom w:val="single" w:sz="4" w:space="0" w:color="auto"/>
              <w:right w:val="single" w:sz="4" w:space="0" w:color="auto"/>
            </w:tcBorders>
            <w:tcMar>
              <w:top w:w="0" w:type="dxa"/>
              <w:left w:w="340" w:type="dxa"/>
              <w:bottom w:w="0" w:type="dxa"/>
              <w:right w:w="340" w:type="dxa"/>
            </w:tcMar>
            <w:hideMark/>
          </w:tcPr>
          <w:p w14:paraId="75333F9E" w14:textId="77777777" w:rsidR="00F81A5B" w:rsidRPr="000B46A1" w:rsidRDefault="00F81A5B" w:rsidP="00F81A5B">
            <w:pPr>
              <w:spacing w:after="120" w:line="276" w:lineRule="auto"/>
              <w:rPr>
                <w:sz w:val="20"/>
                <w:lang w:eastAsia="en-US"/>
              </w:rPr>
            </w:pPr>
            <w:r w:rsidRPr="000B46A1">
              <w:rPr>
                <w:sz w:val="20"/>
                <w:lang w:eastAsia="en-US"/>
              </w:rPr>
              <w:t>6M</w:t>
            </w:r>
          </w:p>
        </w:tc>
        <w:tc>
          <w:tcPr>
            <w:tcW w:w="1559" w:type="dxa"/>
            <w:tcBorders>
              <w:top w:val="single" w:sz="4" w:space="0" w:color="auto"/>
              <w:left w:val="single" w:sz="4" w:space="0" w:color="auto"/>
              <w:bottom w:val="single" w:sz="4" w:space="0" w:color="auto"/>
              <w:right w:val="single" w:sz="4" w:space="0" w:color="auto"/>
            </w:tcBorders>
            <w:tcMar>
              <w:top w:w="0" w:type="dxa"/>
              <w:left w:w="340" w:type="dxa"/>
              <w:bottom w:w="0" w:type="dxa"/>
              <w:right w:w="340" w:type="dxa"/>
            </w:tcMar>
            <w:hideMark/>
          </w:tcPr>
          <w:p w14:paraId="4A1C909A" w14:textId="77777777" w:rsidR="00F81A5B" w:rsidRPr="000B46A1" w:rsidRDefault="00F81A5B" w:rsidP="00F81A5B">
            <w:pPr>
              <w:spacing w:after="120" w:line="276" w:lineRule="auto"/>
              <w:rPr>
                <w:sz w:val="20"/>
                <w:lang w:eastAsia="en-US"/>
              </w:rPr>
            </w:pPr>
            <w:r w:rsidRPr="000B46A1">
              <w:rPr>
                <w:sz w:val="20"/>
                <w:lang w:eastAsia="en-US"/>
              </w:rPr>
              <w:t>30.6.YY and</w:t>
            </w:r>
          </w:p>
          <w:p w14:paraId="44E435B1" w14:textId="77777777" w:rsidR="00F81A5B" w:rsidRPr="000B46A1" w:rsidRDefault="00F81A5B" w:rsidP="00F81A5B">
            <w:pPr>
              <w:spacing w:after="120" w:line="276" w:lineRule="auto"/>
              <w:rPr>
                <w:sz w:val="20"/>
                <w:lang w:eastAsia="en-US"/>
              </w:rPr>
            </w:pPr>
            <w:r w:rsidRPr="000B46A1">
              <w:rPr>
                <w:sz w:val="20"/>
                <w:lang w:eastAsia="en-US"/>
              </w:rPr>
              <w:t>31.12.YY</w:t>
            </w:r>
          </w:p>
        </w:tc>
      </w:tr>
      <w:tr w:rsidR="00F81A5B" w:rsidRPr="000B46A1" w14:paraId="40B43A8B" w14:textId="77777777" w:rsidTr="00D53492">
        <w:tc>
          <w:tcPr>
            <w:tcW w:w="9776" w:type="dxa"/>
            <w:vMerge/>
            <w:tcBorders>
              <w:top w:val="single" w:sz="4" w:space="0" w:color="auto"/>
              <w:left w:val="single" w:sz="4" w:space="0" w:color="auto"/>
              <w:bottom w:val="single" w:sz="4" w:space="0" w:color="auto"/>
              <w:right w:val="single" w:sz="4" w:space="0" w:color="auto"/>
            </w:tcBorders>
            <w:vAlign w:val="center"/>
            <w:hideMark/>
          </w:tcPr>
          <w:p w14:paraId="6EE8C87F" w14:textId="77777777" w:rsidR="00F81A5B" w:rsidRPr="000B46A1" w:rsidRDefault="00F81A5B" w:rsidP="00F81A5B">
            <w:pPr>
              <w:spacing w:before="120" w:after="120" w:line="276" w:lineRule="auto"/>
              <w:rPr>
                <w:sz w:val="20"/>
                <w:lang w:eastAsia="en-US"/>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7360A2A0" w14:textId="77777777" w:rsidR="00F81A5B" w:rsidRPr="000B46A1" w:rsidRDefault="00F81A5B" w:rsidP="00F81A5B">
            <w:pPr>
              <w:spacing w:before="120" w:after="120" w:line="276" w:lineRule="auto"/>
              <w:rPr>
                <w:sz w:val="20"/>
                <w:lang w:eastAsia="en-US"/>
              </w:rPr>
            </w:pPr>
          </w:p>
        </w:tc>
        <w:tc>
          <w:tcPr>
            <w:tcW w:w="3402" w:type="dxa"/>
            <w:vMerge/>
            <w:tcBorders>
              <w:top w:val="single" w:sz="4" w:space="0" w:color="auto"/>
              <w:left w:val="single" w:sz="4" w:space="0" w:color="auto"/>
              <w:bottom w:val="single" w:sz="4" w:space="0" w:color="auto"/>
              <w:right w:val="single" w:sz="4" w:space="0" w:color="auto"/>
            </w:tcBorders>
            <w:vAlign w:val="center"/>
            <w:hideMark/>
          </w:tcPr>
          <w:p w14:paraId="5D4BDA05" w14:textId="77777777" w:rsidR="00F81A5B" w:rsidRPr="000B46A1" w:rsidRDefault="00F81A5B" w:rsidP="00F81A5B">
            <w:pPr>
              <w:spacing w:before="120" w:after="120" w:line="276" w:lineRule="auto"/>
              <w:rPr>
                <w:sz w:val="20"/>
                <w:lang w:eastAsia="en-US"/>
              </w:rPr>
            </w:pPr>
          </w:p>
        </w:tc>
        <w:tc>
          <w:tcPr>
            <w:tcW w:w="1276" w:type="dxa"/>
            <w:tcBorders>
              <w:top w:val="single" w:sz="4" w:space="0" w:color="auto"/>
              <w:left w:val="single" w:sz="4" w:space="0" w:color="auto"/>
              <w:bottom w:val="single" w:sz="4" w:space="0" w:color="auto"/>
              <w:right w:val="single" w:sz="4" w:space="0" w:color="auto"/>
            </w:tcBorders>
            <w:tcMar>
              <w:top w:w="0" w:type="dxa"/>
              <w:left w:w="340" w:type="dxa"/>
              <w:bottom w:w="0" w:type="dxa"/>
              <w:right w:w="340" w:type="dxa"/>
            </w:tcMar>
            <w:hideMark/>
          </w:tcPr>
          <w:p w14:paraId="41F7E26F" w14:textId="77777777" w:rsidR="00F81A5B" w:rsidRPr="000B46A1" w:rsidRDefault="00F81A5B" w:rsidP="00F81A5B">
            <w:pPr>
              <w:spacing w:after="120" w:line="276" w:lineRule="auto"/>
              <w:rPr>
                <w:sz w:val="20"/>
                <w:lang w:eastAsia="en-US"/>
              </w:rPr>
            </w:pPr>
            <w:r w:rsidRPr="000B46A1">
              <w:rPr>
                <w:sz w:val="20"/>
                <w:lang w:eastAsia="en-US"/>
              </w:rPr>
              <w:t>A</w:t>
            </w:r>
          </w:p>
        </w:tc>
        <w:tc>
          <w:tcPr>
            <w:tcW w:w="1559" w:type="dxa"/>
            <w:tcBorders>
              <w:top w:val="single" w:sz="4" w:space="0" w:color="auto"/>
              <w:left w:val="single" w:sz="4" w:space="0" w:color="auto"/>
              <w:bottom w:val="single" w:sz="4" w:space="0" w:color="auto"/>
              <w:right w:val="single" w:sz="4" w:space="0" w:color="auto"/>
            </w:tcBorders>
            <w:tcMar>
              <w:top w:w="0" w:type="dxa"/>
              <w:left w:w="340" w:type="dxa"/>
              <w:bottom w:w="0" w:type="dxa"/>
              <w:right w:w="340" w:type="dxa"/>
            </w:tcMar>
            <w:hideMark/>
          </w:tcPr>
          <w:p w14:paraId="5DB69663" w14:textId="77777777" w:rsidR="00F81A5B" w:rsidRPr="000B46A1" w:rsidRDefault="00F81A5B" w:rsidP="00F81A5B">
            <w:pPr>
              <w:spacing w:after="120" w:line="276" w:lineRule="auto"/>
              <w:rPr>
                <w:sz w:val="20"/>
                <w:lang w:eastAsia="en-US"/>
              </w:rPr>
            </w:pPr>
            <w:r w:rsidRPr="000B46A1">
              <w:rPr>
                <w:sz w:val="20"/>
                <w:lang w:eastAsia="en-US"/>
              </w:rPr>
              <w:t>31.12.YY</w:t>
            </w:r>
          </w:p>
        </w:tc>
      </w:tr>
      <w:tr w:rsidR="00F81A5B" w:rsidRPr="000B46A1" w14:paraId="12735B7F" w14:textId="77777777" w:rsidTr="00D53492">
        <w:tc>
          <w:tcPr>
            <w:tcW w:w="9776" w:type="dxa"/>
            <w:vMerge/>
            <w:tcBorders>
              <w:top w:val="single" w:sz="4" w:space="0" w:color="auto"/>
              <w:left w:val="single" w:sz="4" w:space="0" w:color="auto"/>
              <w:bottom w:val="single" w:sz="4" w:space="0" w:color="auto"/>
              <w:right w:val="single" w:sz="4" w:space="0" w:color="auto"/>
            </w:tcBorders>
            <w:vAlign w:val="center"/>
            <w:hideMark/>
          </w:tcPr>
          <w:p w14:paraId="5D36B385" w14:textId="77777777" w:rsidR="00F81A5B" w:rsidRPr="000B46A1" w:rsidRDefault="00F81A5B" w:rsidP="00F81A5B">
            <w:pPr>
              <w:spacing w:before="120" w:after="120" w:line="276" w:lineRule="auto"/>
              <w:rPr>
                <w:sz w:val="20"/>
                <w:lang w:eastAsia="en-US"/>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1691EB08" w14:textId="77777777" w:rsidR="00F81A5B" w:rsidRPr="000B46A1" w:rsidRDefault="00F81A5B" w:rsidP="00F81A5B">
            <w:pPr>
              <w:spacing w:before="120" w:after="120" w:line="276" w:lineRule="auto"/>
              <w:rPr>
                <w:sz w:val="20"/>
                <w:lang w:eastAsia="en-US"/>
              </w:rPr>
            </w:pPr>
          </w:p>
        </w:tc>
        <w:tc>
          <w:tcPr>
            <w:tcW w:w="3402" w:type="dxa"/>
            <w:vMerge/>
            <w:tcBorders>
              <w:top w:val="single" w:sz="4" w:space="0" w:color="auto"/>
              <w:left w:val="single" w:sz="4" w:space="0" w:color="auto"/>
              <w:bottom w:val="single" w:sz="4" w:space="0" w:color="auto"/>
              <w:right w:val="single" w:sz="4" w:space="0" w:color="auto"/>
            </w:tcBorders>
            <w:vAlign w:val="center"/>
            <w:hideMark/>
          </w:tcPr>
          <w:p w14:paraId="76F25317" w14:textId="77777777" w:rsidR="00F81A5B" w:rsidRPr="000B46A1" w:rsidRDefault="00F81A5B" w:rsidP="00F81A5B">
            <w:pPr>
              <w:spacing w:before="120" w:after="120" w:line="276" w:lineRule="auto"/>
              <w:rPr>
                <w:sz w:val="20"/>
                <w:lang w:eastAsia="en-US"/>
              </w:rPr>
            </w:pPr>
          </w:p>
        </w:tc>
        <w:tc>
          <w:tcPr>
            <w:tcW w:w="1276" w:type="dxa"/>
            <w:tcBorders>
              <w:top w:val="single" w:sz="4" w:space="0" w:color="auto"/>
              <w:left w:val="single" w:sz="4" w:space="0" w:color="auto"/>
              <w:bottom w:val="single" w:sz="4" w:space="0" w:color="auto"/>
              <w:right w:val="single" w:sz="4" w:space="0" w:color="auto"/>
            </w:tcBorders>
            <w:tcMar>
              <w:top w:w="0" w:type="dxa"/>
              <w:left w:w="340" w:type="dxa"/>
              <w:bottom w:w="0" w:type="dxa"/>
              <w:right w:w="340" w:type="dxa"/>
            </w:tcMar>
            <w:hideMark/>
          </w:tcPr>
          <w:p w14:paraId="496A9A9B" w14:textId="77777777" w:rsidR="00F81A5B" w:rsidRPr="000B46A1" w:rsidRDefault="00F81A5B" w:rsidP="00F81A5B">
            <w:pPr>
              <w:spacing w:after="120" w:line="276" w:lineRule="auto"/>
              <w:rPr>
                <w:sz w:val="20"/>
                <w:lang w:eastAsia="en-US"/>
              </w:rPr>
            </w:pPr>
            <w:r w:rsidRPr="000B46A1">
              <w:rPr>
                <w:sz w:val="20"/>
                <w:lang w:eastAsia="en-US"/>
              </w:rPr>
              <w:t>MA</w:t>
            </w:r>
          </w:p>
        </w:tc>
        <w:tc>
          <w:tcPr>
            <w:tcW w:w="1559" w:type="dxa"/>
            <w:tcBorders>
              <w:top w:val="single" w:sz="4" w:space="0" w:color="auto"/>
              <w:left w:val="single" w:sz="4" w:space="0" w:color="auto"/>
              <w:bottom w:val="single" w:sz="4" w:space="0" w:color="auto"/>
              <w:right w:val="single" w:sz="4" w:space="0" w:color="auto"/>
            </w:tcBorders>
            <w:tcMar>
              <w:top w:w="0" w:type="dxa"/>
              <w:left w:w="340" w:type="dxa"/>
              <w:bottom w:w="0" w:type="dxa"/>
              <w:right w:w="340" w:type="dxa"/>
            </w:tcMar>
            <w:hideMark/>
          </w:tcPr>
          <w:p w14:paraId="19BA12E3" w14:textId="77777777" w:rsidR="00F81A5B" w:rsidRPr="000B46A1" w:rsidRDefault="00F81A5B" w:rsidP="00F81A5B">
            <w:pPr>
              <w:spacing w:after="120" w:line="276" w:lineRule="auto"/>
              <w:rPr>
                <w:sz w:val="20"/>
                <w:lang w:eastAsia="en-US"/>
              </w:rPr>
            </w:pPr>
            <w:r w:rsidRPr="000B46A1">
              <w:rPr>
                <w:sz w:val="20"/>
                <w:lang w:eastAsia="en-US"/>
              </w:rPr>
              <w:t>31.12.YY</w:t>
            </w:r>
          </w:p>
        </w:tc>
      </w:tr>
      <w:tr w:rsidR="00F81A5B" w:rsidRPr="000B46A1" w14:paraId="6619DDDB" w14:textId="77777777" w:rsidTr="00D53492">
        <w:tc>
          <w:tcPr>
            <w:tcW w:w="9776" w:type="dxa"/>
            <w:vMerge/>
            <w:tcBorders>
              <w:top w:val="single" w:sz="4" w:space="0" w:color="auto"/>
              <w:left w:val="single" w:sz="4" w:space="0" w:color="auto"/>
              <w:bottom w:val="single" w:sz="4" w:space="0" w:color="auto"/>
              <w:right w:val="single" w:sz="4" w:space="0" w:color="auto"/>
            </w:tcBorders>
            <w:vAlign w:val="center"/>
            <w:hideMark/>
          </w:tcPr>
          <w:p w14:paraId="6E89C01F" w14:textId="77777777" w:rsidR="00F81A5B" w:rsidRPr="000B46A1" w:rsidRDefault="00F81A5B" w:rsidP="00F81A5B">
            <w:pPr>
              <w:spacing w:before="120" w:after="120" w:line="276" w:lineRule="auto"/>
              <w:rPr>
                <w:sz w:val="20"/>
                <w:lang w:eastAsia="en-US"/>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359C4CD0" w14:textId="77777777" w:rsidR="00F81A5B" w:rsidRPr="000B46A1" w:rsidRDefault="00F81A5B" w:rsidP="00F81A5B">
            <w:pPr>
              <w:spacing w:before="120" w:after="120" w:line="276" w:lineRule="auto"/>
              <w:rPr>
                <w:sz w:val="20"/>
                <w:lang w:eastAsia="en-US"/>
              </w:rPr>
            </w:pPr>
          </w:p>
        </w:tc>
        <w:tc>
          <w:tcPr>
            <w:tcW w:w="3402" w:type="dxa"/>
            <w:vMerge/>
            <w:tcBorders>
              <w:top w:val="single" w:sz="4" w:space="0" w:color="auto"/>
              <w:left w:val="single" w:sz="4" w:space="0" w:color="auto"/>
              <w:bottom w:val="single" w:sz="4" w:space="0" w:color="auto"/>
              <w:right w:val="single" w:sz="4" w:space="0" w:color="auto"/>
            </w:tcBorders>
            <w:vAlign w:val="center"/>
            <w:hideMark/>
          </w:tcPr>
          <w:p w14:paraId="483BA29A" w14:textId="77777777" w:rsidR="00F81A5B" w:rsidRPr="000B46A1" w:rsidRDefault="00F81A5B" w:rsidP="00F81A5B">
            <w:pPr>
              <w:spacing w:before="120" w:after="120" w:line="276" w:lineRule="auto"/>
              <w:rPr>
                <w:sz w:val="20"/>
                <w:lang w:eastAsia="en-US"/>
              </w:rPr>
            </w:pPr>
          </w:p>
        </w:tc>
        <w:tc>
          <w:tcPr>
            <w:tcW w:w="1276" w:type="dxa"/>
            <w:tcBorders>
              <w:top w:val="single" w:sz="4" w:space="0" w:color="auto"/>
              <w:left w:val="single" w:sz="4" w:space="0" w:color="auto"/>
              <w:bottom w:val="single" w:sz="4" w:space="0" w:color="auto"/>
              <w:right w:val="single" w:sz="4" w:space="0" w:color="auto"/>
            </w:tcBorders>
            <w:tcMar>
              <w:top w:w="0" w:type="dxa"/>
              <w:left w:w="340" w:type="dxa"/>
              <w:bottom w:w="0" w:type="dxa"/>
              <w:right w:w="340" w:type="dxa"/>
            </w:tcMar>
            <w:hideMark/>
          </w:tcPr>
          <w:p w14:paraId="32D9BC06" w14:textId="77777777" w:rsidR="00F81A5B" w:rsidRPr="000B46A1" w:rsidRDefault="00F81A5B" w:rsidP="00F81A5B">
            <w:pPr>
              <w:spacing w:after="120" w:line="276" w:lineRule="auto"/>
              <w:rPr>
                <w:sz w:val="20"/>
                <w:lang w:eastAsia="en-US"/>
              </w:rPr>
            </w:pPr>
            <w:r w:rsidRPr="000B46A1">
              <w:rPr>
                <w:sz w:val="20"/>
                <w:lang w:eastAsia="en-US"/>
              </w:rPr>
              <w:t>D</w:t>
            </w:r>
          </w:p>
        </w:tc>
        <w:tc>
          <w:tcPr>
            <w:tcW w:w="1559" w:type="dxa"/>
            <w:tcBorders>
              <w:top w:val="single" w:sz="4" w:space="0" w:color="auto"/>
              <w:left w:val="single" w:sz="4" w:space="0" w:color="auto"/>
              <w:bottom w:val="single" w:sz="4" w:space="0" w:color="auto"/>
              <w:right w:val="single" w:sz="4" w:space="0" w:color="auto"/>
            </w:tcBorders>
            <w:tcMar>
              <w:top w:w="0" w:type="dxa"/>
              <w:left w:w="340" w:type="dxa"/>
              <w:bottom w:w="0" w:type="dxa"/>
              <w:right w:w="340" w:type="dxa"/>
            </w:tcMar>
            <w:hideMark/>
          </w:tcPr>
          <w:p w14:paraId="660EEFFE" w14:textId="77777777" w:rsidR="00F81A5B" w:rsidRPr="000B46A1" w:rsidRDefault="00F81A5B" w:rsidP="00F81A5B">
            <w:pPr>
              <w:spacing w:after="120" w:line="276" w:lineRule="auto"/>
              <w:rPr>
                <w:sz w:val="20"/>
                <w:lang w:eastAsia="en-US"/>
              </w:rPr>
            </w:pPr>
            <w:r w:rsidRPr="000B46A1">
              <w:rPr>
                <w:sz w:val="20"/>
                <w:lang w:eastAsia="en-US"/>
              </w:rPr>
              <w:t>31.12.YY</w:t>
            </w:r>
          </w:p>
        </w:tc>
      </w:tr>
      <w:tr w:rsidR="00F81A5B" w:rsidRPr="000B46A1" w14:paraId="047B1394" w14:textId="77777777" w:rsidTr="00D53492">
        <w:tc>
          <w:tcPr>
            <w:tcW w:w="9776" w:type="dxa"/>
            <w:vMerge/>
            <w:tcBorders>
              <w:top w:val="single" w:sz="4" w:space="0" w:color="auto"/>
              <w:left w:val="single" w:sz="4" w:space="0" w:color="auto"/>
              <w:bottom w:val="single" w:sz="4" w:space="0" w:color="auto"/>
              <w:right w:val="single" w:sz="4" w:space="0" w:color="auto"/>
            </w:tcBorders>
            <w:vAlign w:val="center"/>
            <w:hideMark/>
          </w:tcPr>
          <w:p w14:paraId="0960FAB2" w14:textId="77777777" w:rsidR="00F81A5B" w:rsidRPr="000B46A1" w:rsidRDefault="00F81A5B" w:rsidP="00F81A5B">
            <w:pPr>
              <w:spacing w:before="120" w:after="120" w:line="276" w:lineRule="auto"/>
              <w:rPr>
                <w:sz w:val="20"/>
                <w:lang w:eastAsia="en-US"/>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687E33DC" w14:textId="77777777" w:rsidR="00F81A5B" w:rsidRPr="000B46A1" w:rsidRDefault="00F81A5B" w:rsidP="00F81A5B">
            <w:pPr>
              <w:spacing w:before="120" w:after="120" w:line="276" w:lineRule="auto"/>
              <w:rPr>
                <w:sz w:val="20"/>
                <w:lang w:eastAsia="en-US"/>
              </w:rPr>
            </w:pPr>
          </w:p>
        </w:tc>
        <w:tc>
          <w:tcPr>
            <w:tcW w:w="3402" w:type="dxa"/>
            <w:vMerge w:val="restart"/>
            <w:tcBorders>
              <w:top w:val="single" w:sz="4" w:space="0" w:color="auto"/>
              <w:left w:val="single" w:sz="4" w:space="0" w:color="auto"/>
              <w:bottom w:val="single" w:sz="4" w:space="0" w:color="auto"/>
              <w:right w:val="single" w:sz="4" w:space="0" w:color="auto"/>
            </w:tcBorders>
            <w:tcMar>
              <w:top w:w="0" w:type="dxa"/>
              <w:left w:w="340" w:type="dxa"/>
              <w:bottom w:w="0" w:type="dxa"/>
              <w:right w:w="340" w:type="dxa"/>
            </w:tcMar>
            <w:hideMark/>
          </w:tcPr>
          <w:p w14:paraId="4C987DC6" w14:textId="77777777" w:rsidR="00F81A5B" w:rsidRPr="000B46A1" w:rsidRDefault="00F81A5B" w:rsidP="00F81A5B">
            <w:pPr>
              <w:spacing w:after="120" w:line="276" w:lineRule="auto"/>
              <w:rPr>
                <w:sz w:val="20"/>
                <w:lang w:eastAsia="en-US"/>
              </w:rPr>
            </w:pPr>
            <w:r w:rsidRPr="000B46A1">
              <w:rPr>
                <w:sz w:val="20"/>
                <w:lang w:eastAsia="en-US"/>
              </w:rPr>
              <w:t>The person's socio-economic characteristics</w:t>
            </w:r>
          </w:p>
        </w:tc>
        <w:tc>
          <w:tcPr>
            <w:tcW w:w="1276" w:type="dxa"/>
            <w:tcBorders>
              <w:top w:val="single" w:sz="4" w:space="0" w:color="auto"/>
              <w:left w:val="single" w:sz="4" w:space="0" w:color="auto"/>
              <w:bottom w:val="single" w:sz="4" w:space="0" w:color="auto"/>
              <w:right w:val="single" w:sz="4" w:space="0" w:color="auto"/>
            </w:tcBorders>
            <w:tcMar>
              <w:top w:w="0" w:type="dxa"/>
              <w:left w:w="340" w:type="dxa"/>
              <w:bottom w:w="0" w:type="dxa"/>
              <w:right w:w="340" w:type="dxa"/>
            </w:tcMar>
            <w:hideMark/>
          </w:tcPr>
          <w:p w14:paraId="111E02A1" w14:textId="77777777" w:rsidR="00F81A5B" w:rsidRPr="000B46A1" w:rsidRDefault="00F81A5B" w:rsidP="00F81A5B">
            <w:pPr>
              <w:spacing w:before="120" w:after="120" w:line="360" w:lineRule="auto"/>
              <w:rPr>
                <w:sz w:val="20"/>
                <w:lang w:eastAsia="en-US"/>
              </w:rPr>
            </w:pPr>
            <w:r w:rsidRPr="000B46A1">
              <w:rPr>
                <w:sz w:val="20"/>
                <w:lang w:eastAsia="en-US"/>
              </w:rPr>
              <w:t>A</w:t>
            </w:r>
          </w:p>
        </w:tc>
        <w:tc>
          <w:tcPr>
            <w:tcW w:w="1559" w:type="dxa"/>
            <w:tcBorders>
              <w:top w:val="single" w:sz="4" w:space="0" w:color="auto"/>
              <w:left w:val="single" w:sz="4" w:space="0" w:color="auto"/>
              <w:bottom w:val="single" w:sz="4" w:space="0" w:color="auto"/>
              <w:right w:val="single" w:sz="4" w:space="0" w:color="auto"/>
            </w:tcBorders>
            <w:tcMar>
              <w:top w:w="0" w:type="dxa"/>
              <w:left w:w="340" w:type="dxa"/>
              <w:bottom w:w="0" w:type="dxa"/>
              <w:right w:w="340" w:type="dxa"/>
            </w:tcMar>
            <w:hideMark/>
          </w:tcPr>
          <w:p w14:paraId="47578AF7" w14:textId="77777777" w:rsidR="00F81A5B" w:rsidRPr="000B46A1" w:rsidRDefault="00F81A5B" w:rsidP="00F81A5B">
            <w:pPr>
              <w:spacing w:after="120" w:line="276" w:lineRule="auto"/>
              <w:rPr>
                <w:sz w:val="20"/>
                <w:lang w:eastAsia="en-US"/>
              </w:rPr>
            </w:pPr>
            <w:r w:rsidRPr="000B46A1">
              <w:rPr>
                <w:sz w:val="20"/>
                <w:lang w:eastAsia="en-US"/>
              </w:rPr>
              <w:t>31.12.YY</w:t>
            </w:r>
          </w:p>
        </w:tc>
      </w:tr>
      <w:tr w:rsidR="00F81A5B" w:rsidRPr="000B46A1" w14:paraId="2834F4E6" w14:textId="77777777" w:rsidTr="00D53492">
        <w:tc>
          <w:tcPr>
            <w:tcW w:w="9776" w:type="dxa"/>
            <w:vMerge/>
            <w:tcBorders>
              <w:top w:val="single" w:sz="4" w:space="0" w:color="auto"/>
              <w:left w:val="single" w:sz="4" w:space="0" w:color="auto"/>
              <w:bottom w:val="single" w:sz="4" w:space="0" w:color="auto"/>
              <w:right w:val="single" w:sz="4" w:space="0" w:color="auto"/>
            </w:tcBorders>
            <w:vAlign w:val="center"/>
            <w:hideMark/>
          </w:tcPr>
          <w:p w14:paraId="00AAD32F" w14:textId="77777777" w:rsidR="00F81A5B" w:rsidRPr="000B46A1" w:rsidRDefault="00F81A5B" w:rsidP="00F81A5B">
            <w:pPr>
              <w:spacing w:before="120" w:after="120" w:line="276" w:lineRule="auto"/>
              <w:rPr>
                <w:sz w:val="20"/>
                <w:lang w:eastAsia="en-US"/>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34747151" w14:textId="77777777" w:rsidR="00F81A5B" w:rsidRPr="000B46A1" w:rsidRDefault="00F81A5B" w:rsidP="00F81A5B">
            <w:pPr>
              <w:spacing w:before="120" w:after="120" w:line="276" w:lineRule="auto"/>
              <w:rPr>
                <w:sz w:val="20"/>
                <w:lang w:eastAsia="en-US"/>
              </w:rPr>
            </w:pPr>
          </w:p>
        </w:tc>
        <w:tc>
          <w:tcPr>
            <w:tcW w:w="3402" w:type="dxa"/>
            <w:vMerge/>
            <w:tcBorders>
              <w:top w:val="single" w:sz="4" w:space="0" w:color="auto"/>
              <w:left w:val="single" w:sz="4" w:space="0" w:color="auto"/>
              <w:bottom w:val="single" w:sz="4" w:space="0" w:color="auto"/>
              <w:right w:val="single" w:sz="4" w:space="0" w:color="auto"/>
            </w:tcBorders>
            <w:vAlign w:val="center"/>
            <w:hideMark/>
          </w:tcPr>
          <w:p w14:paraId="722BEF97" w14:textId="77777777" w:rsidR="00F81A5B" w:rsidRPr="000B46A1" w:rsidRDefault="00F81A5B" w:rsidP="00F81A5B">
            <w:pPr>
              <w:spacing w:before="120" w:after="120" w:line="276" w:lineRule="auto"/>
              <w:rPr>
                <w:sz w:val="20"/>
                <w:lang w:eastAsia="en-US"/>
              </w:rPr>
            </w:pPr>
          </w:p>
        </w:tc>
        <w:tc>
          <w:tcPr>
            <w:tcW w:w="1276" w:type="dxa"/>
            <w:tcBorders>
              <w:top w:val="single" w:sz="4" w:space="0" w:color="auto"/>
              <w:left w:val="single" w:sz="4" w:space="0" w:color="auto"/>
              <w:bottom w:val="single" w:sz="4" w:space="0" w:color="auto"/>
              <w:right w:val="single" w:sz="4" w:space="0" w:color="auto"/>
            </w:tcBorders>
            <w:tcMar>
              <w:top w:w="0" w:type="dxa"/>
              <w:left w:w="340" w:type="dxa"/>
              <w:bottom w:w="0" w:type="dxa"/>
              <w:right w:w="340" w:type="dxa"/>
            </w:tcMar>
            <w:hideMark/>
          </w:tcPr>
          <w:p w14:paraId="1A935DEB" w14:textId="77777777" w:rsidR="00F81A5B" w:rsidRPr="000B46A1" w:rsidRDefault="00F81A5B" w:rsidP="00F81A5B">
            <w:pPr>
              <w:spacing w:after="120" w:line="276" w:lineRule="auto"/>
              <w:rPr>
                <w:sz w:val="20"/>
                <w:lang w:eastAsia="en-US"/>
              </w:rPr>
            </w:pPr>
            <w:r w:rsidRPr="000B46A1">
              <w:rPr>
                <w:sz w:val="20"/>
                <w:lang w:eastAsia="en-US"/>
              </w:rPr>
              <w:t>MA</w:t>
            </w:r>
          </w:p>
        </w:tc>
        <w:tc>
          <w:tcPr>
            <w:tcW w:w="1559" w:type="dxa"/>
            <w:tcBorders>
              <w:top w:val="single" w:sz="4" w:space="0" w:color="auto"/>
              <w:left w:val="single" w:sz="4" w:space="0" w:color="auto"/>
              <w:bottom w:val="single" w:sz="4" w:space="0" w:color="auto"/>
              <w:right w:val="single" w:sz="4" w:space="0" w:color="auto"/>
            </w:tcBorders>
            <w:tcMar>
              <w:top w:w="0" w:type="dxa"/>
              <w:left w:w="340" w:type="dxa"/>
              <w:bottom w:w="0" w:type="dxa"/>
              <w:right w:w="340" w:type="dxa"/>
            </w:tcMar>
            <w:hideMark/>
          </w:tcPr>
          <w:p w14:paraId="2286CB60" w14:textId="77777777" w:rsidR="00F81A5B" w:rsidRPr="000B46A1" w:rsidRDefault="00F81A5B" w:rsidP="00F81A5B">
            <w:pPr>
              <w:spacing w:after="120" w:line="276" w:lineRule="auto"/>
              <w:rPr>
                <w:sz w:val="20"/>
                <w:lang w:eastAsia="en-US"/>
              </w:rPr>
            </w:pPr>
            <w:r w:rsidRPr="000B46A1">
              <w:rPr>
                <w:sz w:val="20"/>
                <w:lang w:eastAsia="en-US"/>
              </w:rPr>
              <w:t>31.12.YY</w:t>
            </w:r>
          </w:p>
        </w:tc>
      </w:tr>
      <w:tr w:rsidR="00F81A5B" w:rsidRPr="000B46A1" w14:paraId="7F36FF0F" w14:textId="77777777" w:rsidTr="00D53492">
        <w:tc>
          <w:tcPr>
            <w:tcW w:w="9776" w:type="dxa"/>
            <w:vMerge/>
            <w:tcBorders>
              <w:top w:val="single" w:sz="4" w:space="0" w:color="auto"/>
              <w:left w:val="single" w:sz="4" w:space="0" w:color="auto"/>
              <w:bottom w:val="single" w:sz="4" w:space="0" w:color="auto"/>
              <w:right w:val="single" w:sz="4" w:space="0" w:color="auto"/>
            </w:tcBorders>
            <w:vAlign w:val="center"/>
            <w:hideMark/>
          </w:tcPr>
          <w:p w14:paraId="12A3D8ED" w14:textId="77777777" w:rsidR="00F81A5B" w:rsidRPr="000B46A1" w:rsidRDefault="00F81A5B" w:rsidP="00F81A5B">
            <w:pPr>
              <w:spacing w:before="120" w:after="120" w:line="276" w:lineRule="auto"/>
              <w:rPr>
                <w:sz w:val="20"/>
                <w:lang w:eastAsia="en-US"/>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32C5A682" w14:textId="77777777" w:rsidR="00F81A5B" w:rsidRPr="000B46A1" w:rsidRDefault="00F81A5B" w:rsidP="00F81A5B">
            <w:pPr>
              <w:spacing w:before="120" w:after="120" w:line="276" w:lineRule="auto"/>
              <w:rPr>
                <w:sz w:val="20"/>
                <w:lang w:eastAsia="en-US"/>
              </w:rPr>
            </w:pPr>
          </w:p>
        </w:tc>
        <w:tc>
          <w:tcPr>
            <w:tcW w:w="3402" w:type="dxa"/>
            <w:vMerge/>
            <w:tcBorders>
              <w:top w:val="single" w:sz="4" w:space="0" w:color="auto"/>
              <w:left w:val="single" w:sz="4" w:space="0" w:color="auto"/>
              <w:bottom w:val="single" w:sz="4" w:space="0" w:color="auto"/>
              <w:right w:val="single" w:sz="4" w:space="0" w:color="auto"/>
            </w:tcBorders>
            <w:vAlign w:val="center"/>
            <w:hideMark/>
          </w:tcPr>
          <w:p w14:paraId="63919BB9" w14:textId="77777777" w:rsidR="00F81A5B" w:rsidRPr="000B46A1" w:rsidRDefault="00F81A5B" w:rsidP="00F81A5B">
            <w:pPr>
              <w:spacing w:before="120" w:after="120" w:line="276" w:lineRule="auto"/>
              <w:rPr>
                <w:sz w:val="20"/>
                <w:lang w:eastAsia="en-US"/>
              </w:rPr>
            </w:pPr>
          </w:p>
        </w:tc>
        <w:tc>
          <w:tcPr>
            <w:tcW w:w="1276" w:type="dxa"/>
            <w:tcBorders>
              <w:top w:val="single" w:sz="4" w:space="0" w:color="auto"/>
              <w:left w:val="single" w:sz="4" w:space="0" w:color="auto"/>
              <w:bottom w:val="single" w:sz="4" w:space="0" w:color="auto"/>
              <w:right w:val="single" w:sz="4" w:space="0" w:color="auto"/>
            </w:tcBorders>
            <w:tcMar>
              <w:top w:w="0" w:type="dxa"/>
              <w:left w:w="340" w:type="dxa"/>
              <w:bottom w:w="0" w:type="dxa"/>
              <w:right w:w="340" w:type="dxa"/>
            </w:tcMar>
            <w:hideMark/>
          </w:tcPr>
          <w:p w14:paraId="640FE185" w14:textId="77777777" w:rsidR="00F81A5B" w:rsidRPr="000B46A1" w:rsidRDefault="00F81A5B" w:rsidP="00F81A5B">
            <w:pPr>
              <w:spacing w:after="120" w:line="276" w:lineRule="auto"/>
              <w:rPr>
                <w:sz w:val="20"/>
                <w:lang w:eastAsia="en-US"/>
              </w:rPr>
            </w:pPr>
            <w:r w:rsidRPr="000B46A1">
              <w:rPr>
                <w:sz w:val="20"/>
                <w:lang w:eastAsia="en-US"/>
              </w:rPr>
              <w:t>D</w:t>
            </w:r>
          </w:p>
        </w:tc>
        <w:tc>
          <w:tcPr>
            <w:tcW w:w="1559" w:type="dxa"/>
            <w:tcBorders>
              <w:top w:val="single" w:sz="4" w:space="0" w:color="auto"/>
              <w:left w:val="single" w:sz="4" w:space="0" w:color="auto"/>
              <w:bottom w:val="single" w:sz="4" w:space="0" w:color="auto"/>
              <w:right w:val="single" w:sz="4" w:space="0" w:color="auto"/>
            </w:tcBorders>
            <w:tcMar>
              <w:top w:w="0" w:type="dxa"/>
              <w:left w:w="340" w:type="dxa"/>
              <w:bottom w:w="0" w:type="dxa"/>
              <w:right w:w="340" w:type="dxa"/>
            </w:tcMar>
            <w:hideMark/>
          </w:tcPr>
          <w:p w14:paraId="504B98F0" w14:textId="77777777" w:rsidR="00F81A5B" w:rsidRPr="000B46A1" w:rsidRDefault="00F81A5B" w:rsidP="00F81A5B">
            <w:pPr>
              <w:spacing w:after="120" w:line="276" w:lineRule="auto"/>
              <w:rPr>
                <w:sz w:val="20"/>
                <w:lang w:eastAsia="en-US"/>
              </w:rPr>
            </w:pPr>
            <w:r w:rsidRPr="000B46A1">
              <w:rPr>
                <w:sz w:val="20"/>
                <w:lang w:eastAsia="en-US"/>
              </w:rPr>
              <w:t>31.12.YY</w:t>
            </w:r>
          </w:p>
        </w:tc>
      </w:tr>
      <w:tr w:rsidR="00F81A5B" w:rsidRPr="000B46A1" w14:paraId="1A9756DA" w14:textId="77777777" w:rsidTr="00D53492">
        <w:tc>
          <w:tcPr>
            <w:tcW w:w="9776" w:type="dxa"/>
            <w:vMerge/>
            <w:tcBorders>
              <w:top w:val="single" w:sz="4" w:space="0" w:color="auto"/>
              <w:left w:val="single" w:sz="4" w:space="0" w:color="auto"/>
              <w:bottom w:val="single" w:sz="4" w:space="0" w:color="auto"/>
              <w:right w:val="single" w:sz="4" w:space="0" w:color="auto"/>
            </w:tcBorders>
            <w:vAlign w:val="center"/>
            <w:hideMark/>
          </w:tcPr>
          <w:p w14:paraId="7BE3D469" w14:textId="77777777" w:rsidR="00F81A5B" w:rsidRPr="000B46A1" w:rsidRDefault="00F81A5B" w:rsidP="00F81A5B">
            <w:pPr>
              <w:spacing w:before="120" w:after="120" w:line="276" w:lineRule="auto"/>
              <w:rPr>
                <w:sz w:val="20"/>
                <w:lang w:eastAsia="en-US"/>
              </w:rPr>
            </w:pPr>
          </w:p>
        </w:tc>
        <w:tc>
          <w:tcPr>
            <w:tcW w:w="1701" w:type="dxa"/>
            <w:vMerge w:val="restart"/>
            <w:tcBorders>
              <w:top w:val="single" w:sz="4" w:space="0" w:color="auto"/>
              <w:left w:val="single" w:sz="4" w:space="0" w:color="auto"/>
              <w:bottom w:val="single" w:sz="4" w:space="0" w:color="auto"/>
              <w:right w:val="single" w:sz="4" w:space="0" w:color="auto"/>
            </w:tcBorders>
            <w:tcMar>
              <w:top w:w="0" w:type="dxa"/>
              <w:left w:w="340" w:type="dxa"/>
              <w:bottom w:w="0" w:type="dxa"/>
              <w:right w:w="340" w:type="dxa"/>
            </w:tcMar>
            <w:hideMark/>
          </w:tcPr>
          <w:p w14:paraId="6E58CAFC" w14:textId="77777777" w:rsidR="00F81A5B" w:rsidRPr="000B46A1" w:rsidRDefault="00F81A5B" w:rsidP="00F81A5B">
            <w:pPr>
              <w:spacing w:after="120" w:line="276" w:lineRule="auto"/>
              <w:rPr>
                <w:sz w:val="20"/>
                <w:lang w:eastAsia="en-US"/>
              </w:rPr>
            </w:pPr>
            <w:r w:rsidRPr="000B46A1">
              <w:rPr>
                <w:sz w:val="20"/>
                <w:lang w:eastAsia="en-US"/>
              </w:rPr>
              <w:t>Fertility</w:t>
            </w:r>
          </w:p>
        </w:tc>
        <w:tc>
          <w:tcPr>
            <w:tcW w:w="3402" w:type="dxa"/>
            <w:vMerge w:val="restart"/>
            <w:tcBorders>
              <w:top w:val="single" w:sz="4" w:space="0" w:color="auto"/>
              <w:left w:val="single" w:sz="4" w:space="0" w:color="auto"/>
              <w:bottom w:val="single" w:sz="4" w:space="0" w:color="auto"/>
              <w:right w:val="single" w:sz="4" w:space="0" w:color="auto"/>
            </w:tcBorders>
            <w:tcMar>
              <w:top w:w="0" w:type="dxa"/>
              <w:left w:w="340" w:type="dxa"/>
              <w:bottom w:w="0" w:type="dxa"/>
              <w:right w:w="340" w:type="dxa"/>
            </w:tcMar>
            <w:hideMark/>
          </w:tcPr>
          <w:p w14:paraId="5F7015B7" w14:textId="77777777" w:rsidR="00F81A5B" w:rsidRPr="000B46A1" w:rsidRDefault="00F81A5B" w:rsidP="00F81A5B">
            <w:pPr>
              <w:spacing w:after="120" w:line="276" w:lineRule="auto"/>
              <w:rPr>
                <w:sz w:val="20"/>
                <w:lang w:eastAsia="en-US"/>
              </w:rPr>
            </w:pPr>
            <w:r w:rsidRPr="000B46A1">
              <w:rPr>
                <w:sz w:val="20"/>
                <w:lang w:eastAsia="en-US"/>
              </w:rPr>
              <w:t>Births</w:t>
            </w:r>
          </w:p>
        </w:tc>
        <w:tc>
          <w:tcPr>
            <w:tcW w:w="1276" w:type="dxa"/>
            <w:tcBorders>
              <w:top w:val="single" w:sz="4" w:space="0" w:color="auto"/>
              <w:left w:val="single" w:sz="4" w:space="0" w:color="auto"/>
              <w:bottom w:val="single" w:sz="4" w:space="0" w:color="auto"/>
              <w:right w:val="single" w:sz="4" w:space="0" w:color="auto"/>
            </w:tcBorders>
            <w:tcMar>
              <w:top w:w="0" w:type="dxa"/>
              <w:left w:w="340" w:type="dxa"/>
              <w:bottom w:w="0" w:type="dxa"/>
              <w:right w:w="340" w:type="dxa"/>
            </w:tcMar>
            <w:hideMark/>
          </w:tcPr>
          <w:p w14:paraId="69FDE42C" w14:textId="77777777" w:rsidR="00F81A5B" w:rsidRPr="000B46A1" w:rsidRDefault="00F81A5B" w:rsidP="00F81A5B">
            <w:pPr>
              <w:spacing w:after="120" w:line="276" w:lineRule="auto"/>
              <w:rPr>
                <w:sz w:val="20"/>
                <w:lang w:eastAsia="en-US"/>
              </w:rPr>
            </w:pPr>
            <w:r w:rsidRPr="000B46A1">
              <w:rPr>
                <w:sz w:val="20"/>
                <w:lang w:eastAsia="en-US"/>
              </w:rPr>
              <w:t>Q</w:t>
            </w:r>
          </w:p>
        </w:tc>
        <w:tc>
          <w:tcPr>
            <w:tcW w:w="1559" w:type="dxa"/>
            <w:tcBorders>
              <w:top w:val="single" w:sz="4" w:space="0" w:color="auto"/>
              <w:left w:val="single" w:sz="4" w:space="0" w:color="auto"/>
              <w:bottom w:val="single" w:sz="4" w:space="0" w:color="auto"/>
              <w:right w:val="single" w:sz="4" w:space="0" w:color="auto"/>
            </w:tcBorders>
            <w:tcMar>
              <w:top w:w="0" w:type="dxa"/>
              <w:left w:w="340" w:type="dxa"/>
              <w:bottom w:w="0" w:type="dxa"/>
              <w:right w:w="340" w:type="dxa"/>
            </w:tcMar>
            <w:hideMark/>
          </w:tcPr>
          <w:p w14:paraId="4C274BE4" w14:textId="77777777" w:rsidR="00F81A5B" w:rsidRPr="000B46A1" w:rsidRDefault="00F81A5B" w:rsidP="00F81A5B">
            <w:pPr>
              <w:spacing w:after="120" w:line="276" w:lineRule="auto"/>
              <w:rPr>
                <w:sz w:val="20"/>
                <w:lang w:eastAsia="en-US"/>
              </w:rPr>
            </w:pPr>
            <w:r w:rsidRPr="000B46A1">
              <w:rPr>
                <w:sz w:val="20"/>
                <w:lang w:eastAsia="en-US"/>
              </w:rPr>
              <w:t>Month</w:t>
            </w:r>
          </w:p>
        </w:tc>
      </w:tr>
      <w:tr w:rsidR="00F81A5B" w:rsidRPr="000B46A1" w14:paraId="2C2ABB7D" w14:textId="77777777" w:rsidTr="00D53492">
        <w:tc>
          <w:tcPr>
            <w:tcW w:w="9776" w:type="dxa"/>
            <w:vMerge/>
            <w:tcBorders>
              <w:top w:val="single" w:sz="4" w:space="0" w:color="auto"/>
              <w:left w:val="single" w:sz="4" w:space="0" w:color="auto"/>
              <w:bottom w:val="single" w:sz="4" w:space="0" w:color="auto"/>
              <w:right w:val="single" w:sz="4" w:space="0" w:color="auto"/>
            </w:tcBorders>
            <w:vAlign w:val="center"/>
            <w:hideMark/>
          </w:tcPr>
          <w:p w14:paraId="3AEBA7B0" w14:textId="77777777" w:rsidR="00F81A5B" w:rsidRPr="000B46A1" w:rsidRDefault="00F81A5B" w:rsidP="00F81A5B">
            <w:pPr>
              <w:spacing w:before="120" w:after="120" w:line="276" w:lineRule="auto"/>
              <w:rPr>
                <w:sz w:val="20"/>
                <w:lang w:eastAsia="en-US"/>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7D8CD124" w14:textId="77777777" w:rsidR="00F81A5B" w:rsidRPr="000B46A1" w:rsidRDefault="00F81A5B" w:rsidP="00F81A5B">
            <w:pPr>
              <w:spacing w:before="120" w:after="120" w:line="276" w:lineRule="auto"/>
              <w:rPr>
                <w:sz w:val="20"/>
                <w:lang w:eastAsia="en-US"/>
              </w:rPr>
            </w:pPr>
          </w:p>
        </w:tc>
        <w:tc>
          <w:tcPr>
            <w:tcW w:w="3402" w:type="dxa"/>
            <w:vMerge/>
            <w:tcBorders>
              <w:top w:val="single" w:sz="4" w:space="0" w:color="auto"/>
              <w:left w:val="single" w:sz="4" w:space="0" w:color="auto"/>
              <w:bottom w:val="single" w:sz="4" w:space="0" w:color="auto"/>
              <w:right w:val="single" w:sz="4" w:space="0" w:color="auto"/>
            </w:tcBorders>
            <w:vAlign w:val="center"/>
            <w:hideMark/>
          </w:tcPr>
          <w:p w14:paraId="1E4059DA" w14:textId="77777777" w:rsidR="00F81A5B" w:rsidRPr="000B46A1" w:rsidRDefault="00F81A5B" w:rsidP="00F81A5B">
            <w:pPr>
              <w:spacing w:before="120" w:after="120" w:line="276" w:lineRule="auto"/>
              <w:rPr>
                <w:sz w:val="20"/>
                <w:lang w:eastAsia="en-US"/>
              </w:rPr>
            </w:pPr>
          </w:p>
        </w:tc>
        <w:tc>
          <w:tcPr>
            <w:tcW w:w="1276" w:type="dxa"/>
            <w:tcBorders>
              <w:top w:val="single" w:sz="4" w:space="0" w:color="auto"/>
              <w:left w:val="single" w:sz="4" w:space="0" w:color="auto"/>
              <w:bottom w:val="single" w:sz="4" w:space="0" w:color="auto"/>
              <w:right w:val="single" w:sz="4" w:space="0" w:color="auto"/>
            </w:tcBorders>
            <w:tcMar>
              <w:top w:w="0" w:type="dxa"/>
              <w:left w:w="340" w:type="dxa"/>
              <w:bottom w:w="0" w:type="dxa"/>
              <w:right w:w="340" w:type="dxa"/>
            </w:tcMar>
            <w:hideMark/>
          </w:tcPr>
          <w:p w14:paraId="25C3B8C5" w14:textId="77777777" w:rsidR="00F81A5B" w:rsidRPr="000B46A1" w:rsidRDefault="00F81A5B" w:rsidP="00F81A5B">
            <w:pPr>
              <w:spacing w:after="120" w:line="276" w:lineRule="auto"/>
              <w:rPr>
                <w:sz w:val="20"/>
                <w:lang w:eastAsia="en-US"/>
              </w:rPr>
            </w:pPr>
            <w:r w:rsidRPr="000B46A1">
              <w:rPr>
                <w:sz w:val="20"/>
                <w:lang w:eastAsia="en-US"/>
              </w:rPr>
              <w:t>A</w:t>
            </w:r>
          </w:p>
        </w:tc>
        <w:tc>
          <w:tcPr>
            <w:tcW w:w="1559" w:type="dxa"/>
            <w:tcBorders>
              <w:top w:val="single" w:sz="4" w:space="0" w:color="auto"/>
              <w:left w:val="single" w:sz="4" w:space="0" w:color="auto"/>
              <w:bottom w:val="single" w:sz="4" w:space="0" w:color="auto"/>
              <w:right w:val="single" w:sz="4" w:space="0" w:color="auto"/>
            </w:tcBorders>
            <w:tcMar>
              <w:top w:w="0" w:type="dxa"/>
              <w:left w:w="340" w:type="dxa"/>
              <w:bottom w:w="0" w:type="dxa"/>
              <w:right w:w="340" w:type="dxa"/>
            </w:tcMar>
            <w:hideMark/>
          </w:tcPr>
          <w:p w14:paraId="6094165C" w14:textId="77777777" w:rsidR="00F81A5B" w:rsidRPr="000B46A1" w:rsidRDefault="00F81A5B" w:rsidP="00F81A5B">
            <w:pPr>
              <w:spacing w:after="120" w:line="276" w:lineRule="auto"/>
              <w:rPr>
                <w:sz w:val="20"/>
                <w:lang w:eastAsia="en-US"/>
              </w:rPr>
            </w:pPr>
            <w:r w:rsidRPr="000B46A1">
              <w:rPr>
                <w:sz w:val="20"/>
                <w:lang w:eastAsia="en-US"/>
              </w:rPr>
              <w:t>Year</w:t>
            </w:r>
          </w:p>
        </w:tc>
      </w:tr>
      <w:tr w:rsidR="00F81A5B" w:rsidRPr="000B46A1" w14:paraId="147D3E21" w14:textId="77777777" w:rsidTr="00D53492">
        <w:tc>
          <w:tcPr>
            <w:tcW w:w="9776" w:type="dxa"/>
            <w:vMerge/>
            <w:tcBorders>
              <w:top w:val="single" w:sz="4" w:space="0" w:color="auto"/>
              <w:left w:val="single" w:sz="4" w:space="0" w:color="auto"/>
              <w:bottom w:val="single" w:sz="4" w:space="0" w:color="auto"/>
              <w:right w:val="single" w:sz="4" w:space="0" w:color="auto"/>
            </w:tcBorders>
            <w:vAlign w:val="center"/>
            <w:hideMark/>
          </w:tcPr>
          <w:p w14:paraId="7E676BBF" w14:textId="77777777" w:rsidR="00F81A5B" w:rsidRPr="000B46A1" w:rsidRDefault="00F81A5B" w:rsidP="00F81A5B">
            <w:pPr>
              <w:spacing w:before="120" w:after="120" w:line="276" w:lineRule="auto"/>
              <w:rPr>
                <w:sz w:val="20"/>
                <w:lang w:eastAsia="en-US"/>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609D6736" w14:textId="77777777" w:rsidR="00F81A5B" w:rsidRPr="000B46A1" w:rsidRDefault="00F81A5B" w:rsidP="00F81A5B">
            <w:pPr>
              <w:spacing w:before="120" w:after="120" w:line="276" w:lineRule="auto"/>
              <w:rPr>
                <w:sz w:val="20"/>
                <w:lang w:eastAsia="en-US"/>
              </w:rPr>
            </w:pPr>
          </w:p>
        </w:tc>
        <w:tc>
          <w:tcPr>
            <w:tcW w:w="3402" w:type="dxa"/>
            <w:tcBorders>
              <w:top w:val="single" w:sz="4" w:space="0" w:color="auto"/>
              <w:left w:val="single" w:sz="4" w:space="0" w:color="auto"/>
              <w:bottom w:val="single" w:sz="4" w:space="0" w:color="auto"/>
              <w:right w:val="single" w:sz="4" w:space="0" w:color="auto"/>
            </w:tcBorders>
            <w:tcMar>
              <w:top w:w="0" w:type="dxa"/>
              <w:left w:w="340" w:type="dxa"/>
              <w:bottom w:w="0" w:type="dxa"/>
              <w:right w:w="340" w:type="dxa"/>
            </w:tcMar>
            <w:hideMark/>
          </w:tcPr>
          <w:p w14:paraId="118D60F4" w14:textId="77777777" w:rsidR="00F81A5B" w:rsidRPr="000B46A1" w:rsidRDefault="00F81A5B" w:rsidP="00F81A5B">
            <w:pPr>
              <w:spacing w:after="120" w:line="276" w:lineRule="auto"/>
              <w:rPr>
                <w:sz w:val="20"/>
                <w:lang w:eastAsia="en-US"/>
              </w:rPr>
            </w:pPr>
            <w:r w:rsidRPr="000B46A1">
              <w:rPr>
                <w:sz w:val="20"/>
                <w:lang w:eastAsia="en-US"/>
              </w:rPr>
              <w:t>Legally induced abortions</w:t>
            </w:r>
            <w:r w:rsidRPr="000B46A1">
              <w:rPr>
                <w:sz w:val="20"/>
                <w:vertAlign w:val="superscript"/>
                <w:lang w:eastAsia="en-US"/>
              </w:rPr>
              <w:t>1</w:t>
            </w:r>
          </w:p>
        </w:tc>
        <w:tc>
          <w:tcPr>
            <w:tcW w:w="1276" w:type="dxa"/>
            <w:tcBorders>
              <w:top w:val="single" w:sz="4" w:space="0" w:color="auto"/>
              <w:left w:val="single" w:sz="4" w:space="0" w:color="auto"/>
              <w:bottom w:val="single" w:sz="4" w:space="0" w:color="auto"/>
              <w:right w:val="single" w:sz="4" w:space="0" w:color="auto"/>
            </w:tcBorders>
            <w:tcMar>
              <w:top w:w="0" w:type="dxa"/>
              <w:left w:w="340" w:type="dxa"/>
              <w:bottom w:w="0" w:type="dxa"/>
              <w:right w:w="340" w:type="dxa"/>
            </w:tcMar>
            <w:hideMark/>
          </w:tcPr>
          <w:p w14:paraId="77CD3E6A" w14:textId="77777777" w:rsidR="00F81A5B" w:rsidRPr="000B46A1" w:rsidRDefault="00F81A5B" w:rsidP="00F81A5B">
            <w:pPr>
              <w:spacing w:after="120" w:line="276" w:lineRule="auto"/>
              <w:rPr>
                <w:sz w:val="20"/>
                <w:lang w:eastAsia="en-US"/>
              </w:rPr>
            </w:pPr>
            <w:r w:rsidRPr="000B46A1">
              <w:rPr>
                <w:sz w:val="20"/>
                <w:lang w:eastAsia="en-US"/>
              </w:rPr>
              <w:t>A</w:t>
            </w:r>
          </w:p>
        </w:tc>
        <w:tc>
          <w:tcPr>
            <w:tcW w:w="1559" w:type="dxa"/>
            <w:tcBorders>
              <w:top w:val="single" w:sz="4" w:space="0" w:color="auto"/>
              <w:left w:val="single" w:sz="4" w:space="0" w:color="auto"/>
              <w:bottom w:val="single" w:sz="4" w:space="0" w:color="auto"/>
              <w:right w:val="single" w:sz="4" w:space="0" w:color="auto"/>
            </w:tcBorders>
            <w:tcMar>
              <w:top w:w="0" w:type="dxa"/>
              <w:left w:w="340" w:type="dxa"/>
              <w:bottom w:w="0" w:type="dxa"/>
              <w:right w:w="340" w:type="dxa"/>
            </w:tcMar>
            <w:hideMark/>
          </w:tcPr>
          <w:p w14:paraId="17E0572E" w14:textId="77777777" w:rsidR="00F81A5B" w:rsidRPr="000B46A1" w:rsidRDefault="00F81A5B" w:rsidP="00F81A5B">
            <w:pPr>
              <w:spacing w:after="120" w:line="276" w:lineRule="auto"/>
              <w:rPr>
                <w:sz w:val="20"/>
                <w:lang w:eastAsia="en-US"/>
              </w:rPr>
            </w:pPr>
            <w:r w:rsidRPr="000B46A1">
              <w:rPr>
                <w:sz w:val="20"/>
                <w:lang w:eastAsia="en-US"/>
              </w:rPr>
              <w:t>Year</w:t>
            </w:r>
          </w:p>
        </w:tc>
      </w:tr>
      <w:tr w:rsidR="00F81A5B" w:rsidRPr="000B46A1" w14:paraId="6F699E7B" w14:textId="77777777" w:rsidTr="00D53492">
        <w:tc>
          <w:tcPr>
            <w:tcW w:w="9776" w:type="dxa"/>
            <w:vMerge/>
            <w:tcBorders>
              <w:top w:val="single" w:sz="4" w:space="0" w:color="auto"/>
              <w:left w:val="single" w:sz="4" w:space="0" w:color="auto"/>
              <w:bottom w:val="single" w:sz="4" w:space="0" w:color="auto"/>
              <w:right w:val="single" w:sz="4" w:space="0" w:color="auto"/>
            </w:tcBorders>
            <w:vAlign w:val="center"/>
            <w:hideMark/>
          </w:tcPr>
          <w:p w14:paraId="23C5373B" w14:textId="77777777" w:rsidR="00F81A5B" w:rsidRPr="000B46A1" w:rsidRDefault="00F81A5B" w:rsidP="00F81A5B">
            <w:pPr>
              <w:spacing w:before="120" w:after="120" w:line="276" w:lineRule="auto"/>
              <w:rPr>
                <w:sz w:val="20"/>
                <w:lang w:eastAsia="en-US"/>
              </w:rPr>
            </w:pPr>
          </w:p>
        </w:tc>
        <w:tc>
          <w:tcPr>
            <w:tcW w:w="1701" w:type="dxa"/>
            <w:vMerge w:val="restart"/>
            <w:tcBorders>
              <w:top w:val="single" w:sz="4" w:space="0" w:color="auto"/>
              <w:left w:val="single" w:sz="4" w:space="0" w:color="auto"/>
              <w:bottom w:val="single" w:sz="4" w:space="0" w:color="auto"/>
              <w:right w:val="single" w:sz="4" w:space="0" w:color="auto"/>
            </w:tcBorders>
            <w:tcMar>
              <w:top w:w="0" w:type="dxa"/>
              <w:left w:w="340" w:type="dxa"/>
              <w:bottom w:w="0" w:type="dxa"/>
              <w:right w:w="340" w:type="dxa"/>
            </w:tcMar>
            <w:hideMark/>
          </w:tcPr>
          <w:p w14:paraId="5FE49199" w14:textId="77777777" w:rsidR="00F81A5B" w:rsidRPr="000B46A1" w:rsidRDefault="00F81A5B" w:rsidP="00F81A5B">
            <w:pPr>
              <w:spacing w:after="120" w:line="276" w:lineRule="auto"/>
              <w:rPr>
                <w:sz w:val="20"/>
                <w:lang w:eastAsia="en-US"/>
              </w:rPr>
            </w:pPr>
            <w:r w:rsidRPr="000B46A1">
              <w:rPr>
                <w:sz w:val="20"/>
                <w:lang w:eastAsia="en-US"/>
              </w:rPr>
              <w:t>Mortality</w:t>
            </w:r>
          </w:p>
        </w:tc>
        <w:tc>
          <w:tcPr>
            <w:tcW w:w="3402" w:type="dxa"/>
            <w:vMerge w:val="restart"/>
            <w:tcBorders>
              <w:top w:val="single" w:sz="4" w:space="0" w:color="auto"/>
              <w:left w:val="single" w:sz="4" w:space="0" w:color="auto"/>
              <w:bottom w:val="single" w:sz="4" w:space="0" w:color="auto"/>
              <w:right w:val="single" w:sz="4" w:space="0" w:color="auto"/>
            </w:tcBorders>
            <w:tcMar>
              <w:top w:w="0" w:type="dxa"/>
              <w:left w:w="340" w:type="dxa"/>
              <w:bottom w:w="0" w:type="dxa"/>
              <w:right w:w="340" w:type="dxa"/>
            </w:tcMar>
            <w:hideMark/>
          </w:tcPr>
          <w:p w14:paraId="5EB27924" w14:textId="77777777" w:rsidR="00F81A5B" w:rsidRPr="000B46A1" w:rsidRDefault="00F81A5B" w:rsidP="00F81A5B">
            <w:pPr>
              <w:spacing w:after="120" w:line="276" w:lineRule="auto"/>
              <w:rPr>
                <w:sz w:val="20"/>
                <w:lang w:eastAsia="en-US"/>
              </w:rPr>
            </w:pPr>
            <w:r w:rsidRPr="000B46A1">
              <w:rPr>
                <w:sz w:val="20"/>
                <w:lang w:eastAsia="en-US"/>
              </w:rPr>
              <w:t>Deaths</w:t>
            </w:r>
          </w:p>
        </w:tc>
        <w:tc>
          <w:tcPr>
            <w:tcW w:w="1276" w:type="dxa"/>
            <w:tcBorders>
              <w:top w:val="single" w:sz="4" w:space="0" w:color="auto"/>
              <w:left w:val="single" w:sz="4" w:space="0" w:color="auto"/>
              <w:bottom w:val="single" w:sz="4" w:space="0" w:color="auto"/>
              <w:right w:val="single" w:sz="4" w:space="0" w:color="auto"/>
            </w:tcBorders>
            <w:tcMar>
              <w:top w:w="0" w:type="dxa"/>
              <w:left w:w="340" w:type="dxa"/>
              <w:bottom w:w="0" w:type="dxa"/>
              <w:right w:w="340" w:type="dxa"/>
            </w:tcMar>
            <w:hideMark/>
          </w:tcPr>
          <w:p w14:paraId="7FDE3CC1" w14:textId="77777777" w:rsidR="00F81A5B" w:rsidRPr="000B46A1" w:rsidRDefault="00F81A5B" w:rsidP="00F81A5B">
            <w:pPr>
              <w:spacing w:after="120" w:line="276" w:lineRule="auto"/>
              <w:rPr>
                <w:sz w:val="20"/>
                <w:lang w:eastAsia="en-US"/>
              </w:rPr>
            </w:pPr>
            <w:r w:rsidRPr="000B46A1">
              <w:rPr>
                <w:sz w:val="20"/>
                <w:lang w:eastAsia="en-US"/>
              </w:rPr>
              <w:t>Q</w:t>
            </w:r>
          </w:p>
        </w:tc>
        <w:tc>
          <w:tcPr>
            <w:tcW w:w="1559" w:type="dxa"/>
            <w:tcBorders>
              <w:top w:val="single" w:sz="4" w:space="0" w:color="auto"/>
              <w:left w:val="single" w:sz="4" w:space="0" w:color="auto"/>
              <w:bottom w:val="single" w:sz="4" w:space="0" w:color="auto"/>
              <w:right w:val="single" w:sz="4" w:space="0" w:color="auto"/>
            </w:tcBorders>
            <w:tcMar>
              <w:top w:w="0" w:type="dxa"/>
              <w:left w:w="340" w:type="dxa"/>
              <w:bottom w:w="0" w:type="dxa"/>
              <w:right w:w="340" w:type="dxa"/>
            </w:tcMar>
            <w:hideMark/>
          </w:tcPr>
          <w:p w14:paraId="0BCDC0C9" w14:textId="77777777" w:rsidR="00F81A5B" w:rsidRPr="000B46A1" w:rsidRDefault="00F81A5B" w:rsidP="00F81A5B">
            <w:pPr>
              <w:spacing w:after="120" w:line="276" w:lineRule="auto"/>
              <w:rPr>
                <w:sz w:val="20"/>
                <w:lang w:eastAsia="en-US"/>
              </w:rPr>
            </w:pPr>
            <w:r w:rsidRPr="000B46A1">
              <w:rPr>
                <w:sz w:val="20"/>
                <w:lang w:eastAsia="en-US"/>
              </w:rPr>
              <w:t>Month, Week</w:t>
            </w:r>
          </w:p>
        </w:tc>
      </w:tr>
      <w:tr w:rsidR="00F81A5B" w:rsidRPr="000B46A1" w14:paraId="7AEB21E1" w14:textId="77777777" w:rsidTr="00D53492">
        <w:tc>
          <w:tcPr>
            <w:tcW w:w="9776" w:type="dxa"/>
            <w:vMerge/>
            <w:tcBorders>
              <w:top w:val="single" w:sz="4" w:space="0" w:color="auto"/>
              <w:left w:val="single" w:sz="4" w:space="0" w:color="auto"/>
              <w:bottom w:val="single" w:sz="4" w:space="0" w:color="auto"/>
              <w:right w:val="single" w:sz="4" w:space="0" w:color="auto"/>
            </w:tcBorders>
            <w:vAlign w:val="center"/>
            <w:hideMark/>
          </w:tcPr>
          <w:p w14:paraId="41F1CF1E" w14:textId="77777777" w:rsidR="00F81A5B" w:rsidRPr="000B46A1" w:rsidRDefault="00F81A5B" w:rsidP="00F81A5B">
            <w:pPr>
              <w:spacing w:before="120" w:after="120" w:line="276" w:lineRule="auto"/>
              <w:rPr>
                <w:sz w:val="20"/>
                <w:lang w:eastAsia="en-US"/>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74A3843E" w14:textId="77777777" w:rsidR="00F81A5B" w:rsidRPr="000B46A1" w:rsidRDefault="00F81A5B" w:rsidP="00F81A5B">
            <w:pPr>
              <w:spacing w:before="120" w:after="120" w:line="276" w:lineRule="auto"/>
              <w:rPr>
                <w:sz w:val="20"/>
                <w:lang w:eastAsia="en-US"/>
              </w:rPr>
            </w:pPr>
          </w:p>
        </w:tc>
        <w:tc>
          <w:tcPr>
            <w:tcW w:w="3402" w:type="dxa"/>
            <w:vMerge/>
            <w:tcBorders>
              <w:top w:val="single" w:sz="4" w:space="0" w:color="auto"/>
              <w:left w:val="single" w:sz="4" w:space="0" w:color="auto"/>
              <w:bottom w:val="single" w:sz="4" w:space="0" w:color="auto"/>
              <w:right w:val="single" w:sz="4" w:space="0" w:color="auto"/>
            </w:tcBorders>
            <w:vAlign w:val="center"/>
            <w:hideMark/>
          </w:tcPr>
          <w:p w14:paraId="40153044" w14:textId="77777777" w:rsidR="00F81A5B" w:rsidRPr="000B46A1" w:rsidRDefault="00F81A5B" w:rsidP="00F81A5B">
            <w:pPr>
              <w:spacing w:before="120" w:after="120" w:line="276" w:lineRule="auto"/>
              <w:rPr>
                <w:sz w:val="20"/>
                <w:lang w:eastAsia="en-US"/>
              </w:rPr>
            </w:pPr>
          </w:p>
        </w:tc>
        <w:tc>
          <w:tcPr>
            <w:tcW w:w="1276" w:type="dxa"/>
            <w:tcBorders>
              <w:top w:val="single" w:sz="4" w:space="0" w:color="auto"/>
              <w:left w:val="single" w:sz="4" w:space="0" w:color="auto"/>
              <w:bottom w:val="single" w:sz="4" w:space="0" w:color="auto"/>
              <w:right w:val="single" w:sz="4" w:space="0" w:color="auto"/>
            </w:tcBorders>
            <w:tcMar>
              <w:top w:w="0" w:type="dxa"/>
              <w:left w:w="340" w:type="dxa"/>
              <w:bottom w:w="0" w:type="dxa"/>
              <w:right w:w="340" w:type="dxa"/>
            </w:tcMar>
            <w:hideMark/>
          </w:tcPr>
          <w:p w14:paraId="07E9705B" w14:textId="77777777" w:rsidR="00F81A5B" w:rsidRPr="000B46A1" w:rsidRDefault="00F81A5B" w:rsidP="00F81A5B">
            <w:pPr>
              <w:spacing w:after="120" w:line="276" w:lineRule="auto"/>
              <w:rPr>
                <w:sz w:val="20"/>
                <w:lang w:eastAsia="en-US"/>
              </w:rPr>
            </w:pPr>
            <w:r w:rsidRPr="000B46A1">
              <w:rPr>
                <w:sz w:val="20"/>
                <w:lang w:eastAsia="en-US"/>
              </w:rPr>
              <w:t>A</w:t>
            </w:r>
          </w:p>
        </w:tc>
        <w:tc>
          <w:tcPr>
            <w:tcW w:w="1559" w:type="dxa"/>
            <w:tcBorders>
              <w:top w:val="single" w:sz="4" w:space="0" w:color="auto"/>
              <w:left w:val="single" w:sz="4" w:space="0" w:color="auto"/>
              <w:bottom w:val="single" w:sz="4" w:space="0" w:color="auto"/>
              <w:right w:val="single" w:sz="4" w:space="0" w:color="auto"/>
            </w:tcBorders>
            <w:tcMar>
              <w:top w:w="0" w:type="dxa"/>
              <w:left w:w="340" w:type="dxa"/>
              <w:bottom w:w="0" w:type="dxa"/>
              <w:right w:w="340" w:type="dxa"/>
            </w:tcMar>
            <w:hideMark/>
          </w:tcPr>
          <w:p w14:paraId="218809C2" w14:textId="77777777" w:rsidR="00F81A5B" w:rsidRPr="000B46A1" w:rsidRDefault="00F81A5B" w:rsidP="00F81A5B">
            <w:pPr>
              <w:spacing w:after="120" w:line="276" w:lineRule="auto"/>
              <w:rPr>
                <w:sz w:val="20"/>
                <w:lang w:eastAsia="en-US"/>
              </w:rPr>
            </w:pPr>
            <w:r w:rsidRPr="000B46A1">
              <w:rPr>
                <w:sz w:val="20"/>
                <w:lang w:eastAsia="en-US"/>
              </w:rPr>
              <w:t>Year</w:t>
            </w:r>
          </w:p>
        </w:tc>
      </w:tr>
      <w:tr w:rsidR="00F81A5B" w:rsidRPr="000B46A1" w14:paraId="653F0956" w14:textId="77777777" w:rsidTr="00D53492">
        <w:tc>
          <w:tcPr>
            <w:tcW w:w="9776" w:type="dxa"/>
            <w:vMerge/>
            <w:tcBorders>
              <w:top w:val="single" w:sz="4" w:space="0" w:color="auto"/>
              <w:left w:val="single" w:sz="4" w:space="0" w:color="auto"/>
              <w:bottom w:val="single" w:sz="4" w:space="0" w:color="auto"/>
              <w:right w:val="single" w:sz="4" w:space="0" w:color="auto"/>
            </w:tcBorders>
            <w:vAlign w:val="center"/>
            <w:hideMark/>
          </w:tcPr>
          <w:p w14:paraId="297F9CBE" w14:textId="77777777" w:rsidR="00F81A5B" w:rsidRPr="000B46A1" w:rsidRDefault="00F81A5B" w:rsidP="00F81A5B">
            <w:pPr>
              <w:spacing w:before="120" w:after="120" w:line="276" w:lineRule="auto"/>
              <w:rPr>
                <w:sz w:val="20"/>
                <w:lang w:eastAsia="en-US"/>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1FACDCFF" w14:textId="77777777" w:rsidR="00F81A5B" w:rsidRPr="000B46A1" w:rsidRDefault="00F81A5B" w:rsidP="00F81A5B">
            <w:pPr>
              <w:spacing w:before="120" w:after="120" w:line="276" w:lineRule="auto"/>
              <w:rPr>
                <w:sz w:val="20"/>
                <w:lang w:eastAsia="en-US"/>
              </w:rPr>
            </w:pPr>
          </w:p>
        </w:tc>
        <w:tc>
          <w:tcPr>
            <w:tcW w:w="3402" w:type="dxa"/>
            <w:tcBorders>
              <w:top w:val="single" w:sz="4" w:space="0" w:color="auto"/>
              <w:left w:val="single" w:sz="4" w:space="0" w:color="auto"/>
              <w:bottom w:val="single" w:sz="4" w:space="0" w:color="auto"/>
              <w:right w:val="single" w:sz="4" w:space="0" w:color="auto"/>
            </w:tcBorders>
            <w:tcMar>
              <w:top w:w="0" w:type="dxa"/>
              <w:left w:w="340" w:type="dxa"/>
              <w:bottom w:w="0" w:type="dxa"/>
              <w:right w:w="340" w:type="dxa"/>
            </w:tcMar>
            <w:hideMark/>
          </w:tcPr>
          <w:p w14:paraId="45A6F06A" w14:textId="77777777" w:rsidR="00F81A5B" w:rsidRPr="000B46A1" w:rsidRDefault="00F81A5B" w:rsidP="00F81A5B">
            <w:pPr>
              <w:spacing w:after="120" w:line="276" w:lineRule="auto"/>
              <w:rPr>
                <w:sz w:val="20"/>
                <w:lang w:eastAsia="en-US"/>
              </w:rPr>
            </w:pPr>
            <w:r w:rsidRPr="000B46A1">
              <w:rPr>
                <w:sz w:val="20"/>
                <w:lang w:eastAsia="en-US"/>
              </w:rPr>
              <w:t>Infant deaths</w:t>
            </w:r>
          </w:p>
        </w:tc>
        <w:tc>
          <w:tcPr>
            <w:tcW w:w="1276" w:type="dxa"/>
            <w:tcBorders>
              <w:top w:val="single" w:sz="4" w:space="0" w:color="auto"/>
              <w:left w:val="single" w:sz="4" w:space="0" w:color="auto"/>
              <w:bottom w:val="single" w:sz="4" w:space="0" w:color="auto"/>
              <w:right w:val="single" w:sz="4" w:space="0" w:color="auto"/>
            </w:tcBorders>
            <w:tcMar>
              <w:top w:w="0" w:type="dxa"/>
              <w:left w:w="340" w:type="dxa"/>
              <w:bottom w:w="0" w:type="dxa"/>
              <w:right w:w="340" w:type="dxa"/>
            </w:tcMar>
            <w:hideMark/>
          </w:tcPr>
          <w:p w14:paraId="3061DAD1" w14:textId="77777777" w:rsidR="00F81A5B" w:rsidRPr="000B46A1" w:rsidRDefault="00F81A5B" w:rsidP="00F81A5B">
            <w:pPr>
              <w:spacing w:after="120" w:line="276" w:lineRule="auto"/>
              <w:rPr>
                <w:sz w:val="20"/>
                <w:lang w:eastAsia="en-US"/>
              </w:rPr>
            </w:pPr>
            <w:r w:rsidRPr="000B46A1">
              <w:rPr>
                <w:sz w:val="20"/>
                <w:lang w:eastAsia="en-US"/>
              </w:rPr>
              <w:t>A</w:t>
            </w:r>
          </w:p>
        </w:tc>
        <w:tc>
          <w:tcPr>
            <w:tcW w:w="1559" w:type="dxa"/>
            <w:tcBorders>
              <w:top w:val="single" w:sz="4" w:space="0" w:color="auto"/>
              <w:left w:val="single" w:sz="4" w:space="0" w:color="auto"/>
              <w:bottom w:val="single" w:sz="4" w:space="0" w:color="auto"/>
              <w:right w:val="single" w:sz="4" w:space="0" w:color="auto"/>
            </w:tcBorders>
            <w:tcMar>
              <w:top w:w="0" w:type="dxa"/>
              <w:left w:w="340" w:type="dxa"/>
              <w:bottom w:w="0" w:type="dxa"/>
              <w:right w:w="340" w:type="dxa"/>
            </w:tcMar>
            <w:hideMark/>
          </w:tcPr>
          <w:p w14:paraId="35144244" w14:textId="77777777" w:rsidR="00F81A5B" w:rsidRPr="000B46A1" w:rsidRDefault="00F81A5B" w:rsidP="00F81A5B">
            <w:pPr>
              <w:spacing w:after="120" w:line="276" w:lineRule="auto"/>
              <w:rPr>
                <w:sz w:val="20"/>
                <w:lang w:eastAsia="en-US"/>
              </w:rPr>
            </w:pPr>
            <w:r w:rsidRPr="000B46A1">
              <w:rPr>
                <w:sz w:val="20"/>
                <w:lang w:eastAsia="en-US"/>
              </w:rPr>
              <w:t>Year</w:t>
            </w:r>
          </w:p>
        </w:tc>
      </w:tr>
      <w:tr w:rsidR="00F81A5B" w:rsidRPr="000B46A1" w14:paraId="281273B5" w14:textId="77777777" w:rsidTr="00D53492">
        <w:tc>
          <w:tcPr>
            <w:tcW w:w="9776" w:type="dxa"/>
            <w:vMerge/>
            <w:tcBorders>
              <w:top w:val="single" w:sz="4" w:space="0" w:color="auto"/>
              <w:left w:val="single" w:sz="4" w:space="0" w:color="auto"/>
              <w:bottom w:val="single" w:sz="4" w:space="0" w:color="auto"/>
              <w:right w:val="single" w:sz="4" w:space="0" w:color="auto"/>
            </w:tcBorders>
            <w:vAlign w:val="center"/>
            <w:hideMark/>
          </w:tcPr>
          <w:p w14:paraId="3E5611E4" w14:textId="77777777" w:rsidR="00F81A5B" w:rsidRPr="000B46A1" w:rsidRDefault="00F81A5B" w:rsidP="00F81A5B">
            <w:pPr>
              <w:spacing w:before="120" w:after="120" w:line="276" w:lineRule="auto"/>
              <w:rPr>
                <w:sz w:val="20"/>
                <w:lang w:eastAsia="en-US"/>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06F93604" w14:textId="77777777" w:rsidR="00F81A5B" w:rsidRPr="000B46A1" w:rsidRDefault="00F81A5B" w:rsidP="00F81A5B">
            <w:pPr>
              <w:spacing w:before="120" w:after="120" w:line="276" w:lineRule="auto"/>
              <w:rPr>
                <w:sz w:val="20"/>
                <w:lang w:eastAsia="en-US"/>
              </w:rPr>
            </w:pPr>
          </w:p>
        </w:tc>
        <w:tc>
          <w:tcPr>
            <w:tcW w:w="3402" w:type="dxa"/>
            <w:tcBorders>
              <w:top w:val="single" w:sz="4" w:space="0" w:color="auto"/>
              <w:left w:val="single" w:sz="4" w:space="0" w:color="auto"/>
              <w:bottom w:val="single" w:sz="4" w:space="0" w:color="auto"/>
              <w:right w:val="single" w:sz="4" w:space="0" w:color="auto"/>
            </w:tcBorders>
            <w:tcMar>
              <w:top w:w="0" w:type="dxa"/>
              <w:left w:w="340" w:type="dxa"/>
              <w:bottom w:w="0" w:type="dxa"/>
              <w:right w:w="340" w:type="dxa"/>
            </w:tcMar>
            <w:hideMark/>
          </w:tcPr>
          <w:p w14:paraId="2199F74B" w14:textId="77777777" w:rsidR="00F81A5B" w:rsidRPr="000B46A1" w:rsidRDefault="00F81A5B" w:rsidP="00F81A5B">
            <w:pPr>
              <w:spacing w:after="120" w:line="276" w:lineRule="auto"/>
              <w:rPr>
                <w:sz w:val="20"/>
                <w:lang w:eastAsia="en-US"/>
              </w:rPr>
            </w:pPr>
            <w:r w:rsidRPr="000B46A1">
              <w:rPr>
                <w:sz w:val="20"/>
                <w:lang w:eastAsia="en-US"/>
              </w:rPr>
              <w:t>Late foetal deaths</w:t>
            </w:r>
          </w:p>
        </w:tc>
        <w:tc>
          <w:tcPr>
            <w:tcW w:w="1276" w:type="dxa"/>
            <w:tcBorders>
              <w:top w:val="single" w:sz="4" w:space="0" w:color="auto"/>
              <w:left w:val="single" w:sz="4" w:space="0" w:color="auto"/>
              <w:bottom w:val="single" w:sz="4" w:space="0" w:color="auto"/>
              <w:right w:val="single" w:sz="4" w:space="0" w:color="auto"/>
            </w:tcBorders>
            <w:tcMar>
              <w:top w:w="0" w:type="dxa"/>
              <w:left w:w="340" w:type="dxa"/>
              <w:bottom w:w="0" w:type="dxa"/>
              <w:right w:w="340" w:type="dxa"/>
            </w:tcMar>
            <w:hideMark/>
          </w:tcPr>
          <w:p w14:paraId="2AB0C8CC" w14:textId="77777777" w:rsidR="00F81A5B" w:rsidRPr="000B46A1" w:rsidRDefault="00F81A5B" w:rsidP="00F81A5B">
            <w:pPr>
              <w:spacing w:after="120" w:line="276" w:lineRule="auto"/>
              <w:rPr>
                <w:sz w:val="20"/>
                <w:lang w:eastAsia="en-US"/>
              </w:rPr>
            </w:pPr>
            <w:r w:rsidRPr="000B46A1">
              <w:rPr>
                <w:sz w:val="20"/>
                <w:lang w:eastAsia="en-US"/>
              </w:rPr>
              <w:t>A</w:t>
            </w:r>
          </w:p>
        </w:tc>
        <w:tc>
          <w:tcPr>
            <w:tcW w:w="1559" w:type="dxa"/>
            <w:tcBorders>
              <w:top w:val="single" w:sz="4" w:space="0" w:color="auto"/>
              <w:left w:val="single" w:sz="4" w:space="0" w:color="auto"/>
              <w:bottom w:val="single" w:sz="4" w:space="0" w:color="auto"/>
              <w:right w:val="single" w:sz="4" w:space="0" w:color="auto"/>
            </w:tcBorders>
            <w:tcMar>
              <w:top w:w="0" w:type="dxa"/>
              <w:left w:w="340" w:type="dxa"/>
              <w:bottom w:w="0" w:type="dxa"/>
              <w:right w:w="340" w:type="dxa"/>
            </w:tcMar>
            <w:hideMark/>
          </w:tcPr>
          <w:p w14:paraId="5B13F7B3" w14:textId="77777777" w:rsidR="00F81A5B" w:rsidRPr="000B46A1" w:rsidRDefault="00F81A5B" w:rsidP="00F81A5B">
            <w:pPr>
              <w:spacing w:after="120" w:line="276" w:lineRule="auto"/>
              <w:rPr>
                <w:sz w:val="20"/>
                <w:lang w:eastAsia="en-US"/>
              </w:rPr>
            </w:pPr>
            <w:r w:rsidRPr="000B46A1">
              <w:rPr>
                <w:sz w:val="20"/>
                <w:lang w:eastAsia="en-US"/>
              </w:rPr>
              <w:t>Year</w:t>
            </w:r>
          </w:p>
        </w:tc>
      </w:tr>
      <w:tr w:rsidR="00F81A5B" w:rsidRPr="000B46A1" w14:paraId="5F282554" w14:textId="77777777" w:rsidTr="00D53492">
        <w:tc>
          <w:tcPr>
            <w:tcW w:w="9776" w:type="dxa"/>
            <w:vMerge/>
            <w:tcBorders>
              <w:top w:val="single" w:sz="4" w:space="0" w:color="auto"/>
              <w:left w:val="single" w:sz="4" w:space="0" w:color="auto"/>
              <w:bottom w:val="single" w:sz="4" w:space="0" w:color="auto"/>
              <w:right w:val="single" w:sz="4" w:space="0" w:color="auto"/>
            </w:tcBorders>
            <w:vAlign w:val="center"/>
            <w:hideMark/>
          </w:tcPr>
          <w:p w14:paraId="66EDACE2" w14:textId="77777777" w:rsidR="00F81A5B" w:rsidRPr="000B46A1" w:rsidRDefault="00F81A5B" w:rsidP="00F81A5B">
            <w:pPr>
              <w:spacing w:before="120" w:after="120" w:line="276" w:lineRule="auto"/>
              <w:rPr>
                <w:sz w:val="20"/>
                <w:lang w:eastAsia="en-US"/>
              </w:rPr>
            </w:pPr>
          </w:p>
        </w:tc>
        <w:tc>
          <w:tcPr>
            <w:tcW w:w="1701" w:type="dxa"/>
            <w:tcBorders>
              <w:top w:val="single" w:sz="4" w:space="0" w:color="auto"/>
              <w:left w:val="single" w:sz="4" w:space="0" w:color="auto"/>
              <w:bottom w:val="single" w:sz="4" w:space="0" w:color="auto"/>
              <w:right w:val="single" w:sz="4" w:space="0" w:color="auto"/>
            </w:tcBorders>
            <w:tcMar>
              <w:top w:w="0" w:type="dxa"/>
              <w:left w:w="340" w:type="dxa"/>
              <w:bottom w:w="0" w:type="dxa"/>
              <w:right w:w="340" w:type="dxa"/>
            </w:tcMar>
            <w:hideMark/>
          </w:tcPr>
          <w:p w14:paraId="470E5AE7" w14:textId="77777777" w:rsidR="00F81A5B" w:rsidRPr="000B46A1" w:rsidRDefault="00F81A5B" w:rsidP="00F81A5B">
            <w:pPr>
              <w:spacing w:after="120" w:line="276" w:lineRule="auto"/>
              <w:rPr>
                <w:sz w:val="20"/>
                <w:lang w:eastAsia="en-US"/>
              </w:rPr>
            </w:pPr>
            <w:r w:rsidRPr="000B46A1">
              <w:rPr>
                <w:sz w:val="20"/>
                <w:lang w:eastAsia="en-US"/>
              </w:rPr>
              <w:t>Partnerships</w:t>
            </w:r>
          </w:p>
        </w:tc>
        <w:tc>
          <w:tcPr>
            <w:tcW w:w="3402" w:type="dxa"/>
            <w:tcBorders>
              <w:top w:val="single" w:sz="4" w:space="0" w:color="auto"/>
              <w:left w:val="single" w:sz="4" w:space="0" w:color="auto"/>
              <w:bottom w:val="single" w:sz="4" w:space="0" w:color="auto"/>
              <w:right w:val="single" w:sz="4" w:space="0" w:color="auto"/>
            </w:tcBorders>
            <w:tcMar>
              <w:top w:w="0" w:type="dxa"/>
              <w:left w:w="340" w:type="dxa"/>
              <w:bottom w:w="0" w:type="dxa"/>
              <w:right w:w="340" w:type="dxa"/>
            </w:tcMar>
            <w:hideMark/>
          </w:tcPr>
          <w:p w14:paraId="0CC232FA" w14:textId="77777777" w:rsidR="00F81A5B" w:rsidRPr="000B46A1" w:rsidRDefault="00F81A5B" w:rsidP="00F81A5B">
            <w:pPr>
              <w:spacing w:after="120" w:line="276" w:lineRule="auto"/>
              <w:rPr>
                <w:sz w:val="20"/>
                <w:lang w:eastAsia="en-US"/>
              </w:rPr>
            </w:pPr>
            <w:r w:rsidRPr="000B46A1">
              <w:rPr>
                <w:sz w:val="20"/>
                <w:lang w:eastAsia="en-US"/>
              </w:rPr>
              <w:t>Marriages and registered partnerships</w:t>
            </w:r>
          </w:p>
        </w:tc>
        <w:tc>
          <w:tcPr>
            <w:tcW w:w="1276" w:type="dxa"/>
            <w:tcBorders>
              <w:top w:val="single" w:sz="4" w:space="0" w:color="auto"/>
              <w:left w:val="single" w:sz="4" w:space="0" w:color="auto"/>
              <w:bottom w:val="single" w:sz="4" w:space="0" w:color="auto"/>
              <w:right w:val="single" w:sz="4" w:space="0" w:color="auto"/>
            </w:tcBorders>
            <w:tcMar>
              <w:top w:w="0" w:type="dxa"/>
              <w:left w:w="340" w:type="dxa"/>
              <w:bottom w:w="0" w:type="dxa"/>
              <w:right w:w="340" w:type="dxa"/>
            </w:tcMar>
            <w:hideMark/>
          </w:tcPr>
          <w:p w14:paraId="112A593F" w14:textId="77777777" w:rsidR="00F81A5B" w:rsidRPr="000B46A1" w:rsidRDefault="00F81A5B" w:rsidP="00F81A5B">
            <w:pPr>
              <w:spacing w:after="120" w:line="276" w:lineRule="auto"/>
              <w:rPr>
                <w:sz w:val="20"/>
                <w:lang w:eastAsia="en-US"/>
              </w:rPr>
            </w:pPr>
            <w:r w:rsidRPr="000B46A1">
              <w:rPr>
                <w:sz w:val="20"/>
                <w:lang w:eastAsia="en-US"/>
              </w:rPr>
              <w:t>A</w:t>
            </w:r>
          </w:p>
        </w:tc>
        <w:tc>
          <w:tcPr>
            <w:tcW w:w="1559" w:type="dxa"/>
            <w:tcBorders>
              <w:top w:val="single" w:sz="4" w:space="0" w:color="auto"/>
              <w:left w:val="single" w:sz="4" w:space="0" w:color="auto"/>
              <w:bottom w:val="single" w:sz="4" w:space="0" w:color="auto"/>
              <w:right w:val="single" w:sz="4" w:space="0" w:color="auto"/>
            </w:tcBorders>
            <w:tcMar>
              <w:top w:w="0" w:type="dxa"/>
              <w:left w:w="340" w:type="dxa"/>
              <w:bottom w:w="0" w:type="dxa"/>
              <w:right w:w="340" w:type="dxa"/>
            </w:tcMar>
            <w:hideMark/>
          </w:tcPr>
          <w:p w14:paraId="20AE70BF" w14:textId="77777777" w:rsidR="00F81A5B" w:rsidRPr="000B46A1" w:rsidRDefault="00F81A5B" w:rsidP="00F81A5B">
            <w:pPr>
              <w:spacing w:after="120" w:line="276" w:lineRule="auto"/>
              <w:rPr>
                <w:sz w:val="20"/>
                <w:lang w:eastAsia="en-US"/>
              </w:rPr>
            </w:pPr>
            <w:r w:rsidRPr="000B46A1">
              <w:rPr>
                <w:sz w:val="20"/>
                <w:lang w:eastAsia="en-US"/>
              </w:rPr>
              <w:t>Year</w:t>
            </w:r>
          </w:p>
        </w:tc>
      </w:tr>
      <w:tr w:rsidR="00F81A5B" w:rsidRPr="000B46A1" w14:paraId="3B2926E1" w14:textId="77777777" w:rsidTr="00D53492">
        <w:tc>
          <w:tcPr>
            <w:tcW w:w="9776" w:type="dxa"/>
            <w:vMerge/>
            <w:tcBorders>
              <w:top w:val="single" w:sz="4" w:space="0" w:color="auto"/>
              <w:left w:val="single" w:sz="4" w:space="0" w:color="auto"/>
              <w:bottom w:val="single" w:sz="4" w:space="0" w:color="auto"/>
              <w:right w:val="single" w:sz="4" w:space="0" w:color="auto"/>
            </w:tcBorders>
            <w:vAlign w:val="center"/>
            <w:hideMark/>
          </w:tcPr>
          <w:p w14:paraId="222CEE78" w14:textId="77777777" w:rsidR="00F81A5B" w:rsidRPr="000B46A1" w:rsidRDefault="00F81A5B" w:rsidP="00F81A5B">
            <w:pPr>
              <w:spacing w:before="120" w:after="120" w:line="276" w:lineRule="auto"/>
              <w:rPr>
                <w:sz w:val="20"/>
                <w:lang w:eastAsia="en-US"/>
              </w:rPr>
            </w:pPr>
          </w:p>
        </w:tc>
        <w:tc>
          <w:tcPr>
            <w:tcW w:w="1701" w:type="dxa"/>
            <w:tcBorders>
              <w:top w:val="single" w:sz="4" w:space="0" w:color="auto"/>
              <w:left w:val="single" w:sz="4" w:space="0" w:color="auto"/>
              <w:bottom w:val="single" w:sz="4" w:space="0" w:color="auto"/>
              <w:right w:val="single" w:sz="4" w:space="0" w:color="auto"/>
            </w:tcBorders>
            <w:tcMar>
              <w:top w:w="0" w:type="dxa"/>
              <w:left w:w="340" w:type="dxa"/>
              <w:bottom w:w="0" w:type="dxa"/>
              <w:right w:w="340" w:type="dxa"/>
            </w:tcMar>
          </w:tcPr>
          <w:p w14:paraId="30C53B1A" w14:textId="77777777" w:rsidR="00F81A5B" w:rsidRPr="000B46A1" w:rsidRDefault="00F81A5B" w:rsidP="00F81A5B">
            <w:pPr>
              <w:spacing w:after="120" w:line="276" w:lineRule="auto"/>
              <w:rPr>
                <w:sz w:val="20"/>
                <w:lang w:eastAsia="en-US"/>
              </w:rPr>
            </w:pPr>
          </w:p>
        </w:tc>
        <w:tc>
          <w:tcPr>
            <w:tcW w:w="3402" w:type="dxa"/>
            <w:tcBorders>
              <w:top w:val="single" w:sz="4" w:space="0" w:color="auto"/>
              <w:left w:val="single" w:sz="4" w:space="0" w:color="auto"/>
              <w:bottom w:val="single" w:sz="4" w:space="0" w:color="auto"/>
              <w:right w:val="single" w:sz="4" w:space="0" w:color="auto"/>
            </w:tcBorders>
            <w:tcMar>
              <w:top w:w="0" w:type="dxa"/>
              <w:left w:w="340" w:type="dxa"/>
              <w:bottom w:w="0" w:type="dxa"/>
              <w:right w:w="340" w:type="dxa"/>
            </w:tcMar>
            <w:hideMark/>
          </w:tcPr>
          <w:p w14:paraId="19790F31" w14:textId="77777777" w:rsidR="00F81A5B" w:rsidRPr="000B46A1" w:rsidRDefault="00F81A5B" w:rsidP="00F81A5B">
            <w:pPr>
              <w:spacing w:after="120" w:line="276" w:lineRule="auto"/>
              <w:rPr>
                <w:sz w:val="20"/>
                <w:lang w:eastAsia="en-US"/>
              </w:rPr>
            </w:pPr>
            <w:r w:rsidRPr="000B46A1">
              <w:rPr>
                <w:sz w:val="20"/>
                <w:lang w:eastAsia="en-US"/>
              </w:rPr>
              <w:t>Characteristics of persons entering a marriage or registered partnership</w:t>
            </w:r>
          </w:p>
        </w:tc>
        <w:tc>
          <w:tcPr>
            <w:tcW w:w="1276" w:type="dxa"/>
            <w:tcBorders>
              <w:top w:val="single" w:sz="4" w:space="0" w:color="auto"/>
              <w:left w:val="single" w:sz="4" w:space="0" w:color="auto"/>
              <w:bottom w:val="single" w:sz="4" w:space="0" w:color="auto"/>
              <w:right w:val="single" w:sz="4" w:space="0" w:color="auto"/>
            </w:tcBorders>
            <w:tcMar>
              <w:top w:w="0" w:type="dxa"/>
              <w:left w:w="340" w:type="dxa"/>
              <w:bottom w:w="0" w:type="dxa"/>
              <w:right w:w="340" w:type="dxa"/>
            </w:tcMar>
            <w:hideMark/>
          </w:tcPr>
          <w:p w14:paraId="54488DDC" w14:textId="77777777" w:rsidR="00F81A5B" w:rsidRPr="000B46A1" w:rsidRDefault="00F81A5B" w:rsidP="00F81A5B">
            <w:pPr>
              <w:spacing w:after="120" w:line="276" w:lineRule="auto"/>
              <w:rPr>
                <w:sz w:val="20"/>
                <w:lang w:eastAsia="en-US"/>
              </w:rPr>
            </w:pPr>
            <w:r w:rsidRPr="000B46A1">
              <w:rPr>
                <w:sz w:val="20"/>
                <w:lang w:eastAsia="en-US"/>
              </w:rPr>
              <w:t>A</w:t>
            </w:r>
          </w:p>
        </w:tc>
        <w:tc>
          <w:tcPr>
            <w:tcW w:w="1559" w:type="dxa"/>
            <w:tcBorders>
              <w:top w:val="single" w:sz="4" w:space="0" w:color="auto"/>
              <w:left w:val="single" w:sz="4" w:space="0" w:color="auto"/>
              <w:bottom w:val="single" w:sz="4" w:space="0" w:color="auto"/>
              <w:right w:val="single" w:sz="4" w:space="0" w:color="auto"/>
            </w:tcBorders>
            <w:tcMar>
              <w:top w:w="0" w:type="dxa"/>
              <w:left w:w="340" w:type="dxa"/>
              <w:bottom w:w="0" w:type="dxa"/>
              <w:right w:w="340" w:type="dxa"/>
            </w:tcMar>
            <w:hideMark/>
          </w:tcPr>
          <w:p w14:paraId="7E772090" w14:textId="77777777" w:rsidR="00F81A5B" w:rsidRPr="000B46A1" w:rsidRDefault="00F81A5B" w:rsidP="00F81A5B">
            <w:pPr>
              <w:spacing w:after="120" w:line="276" w:lineRule="auto"/>
              <w:rPr>
                <w:sz w:val="20"/>
                <w:lang w:eastAsia="en-US"/>
              </w:rPr>
            </w:pPr>
            <w:r w:rsidRPr="000B46A1">
              <w:rPr>
                <w:sz w:val="20"/>
                <w:lang w:eastAsia="en-US"/>
              </w:rPr>
              <w:t>Year</w:t>
            </w:r>
          </w:p>
        </w:tc>
      </w:tr>
      <w:tr w:rsidR="00F81A5B" w:rsidRPr="000B46A1" w14:paraId="2DBE0FEF" w14:textId="77777777" w:rsidTr="00D53492">
        <w:tc>
          <w:tcPr>
            <w:tcW w:w="9776" w:type="dxa"/>
            <w:vMerge/>
            <w:tcBorders>
              <w:top w:val="single" w:sz="4" w:space="0" w:color="auto"/>
              <w:left w:val="single" w:sz="4" w:space="0" w:color="auto"/>
              <w:bottom w:val="single" w:sz="4" w:space="0" w:color="auto"/>
              <w:right w:val="single" w:sz="4" w:space="0" w:color="auto"/>
            </w:tcBorders>
            <w:vAlign w:val="center"/>
            <w:hideMark/>
          </w:tcPr>
          <w:p w14:paraId="34C5553D" w14:textId="77777777" w:rsidR="00F81A5B" w:rsidRPr="000B46A1" w:rsidRDefault="00F81A5B" w:rsidP="00F81A5B">
            <w:pPr>
              <w:spacing w:before="120" w:after="120" w:line="276" w:lineRule="auto"/>
              <w:rPr>
                <w:sz w:val="20"/>
                <w:lang w:eastAsia="en-US"/>
              </w:rPr>
            </w:pPr>
          </w:p>
        </w:tc>
        <w:tc>
          <w:tcPr>
            <w:tcW w:w="1701" w:type="dxa"/>
            <w:tcBorders>
              <w:top w:val="single" w:sz="4" w:space="0" w:color="auto"/>
              <w:left w:val="single" w:sz="4" w:space="0" w:color="auto"/>
              <w:bottom w:val="single" w:sz="4" w:space="0" w:color="auto"/>
              <w:right w:val="single" w:sz="4" w:space="0" w:color="auto"/>
            </w:tcBorders>
            <w:tcMar>
              <w:top w:w="0" w:type="dxa"/>
              <w:left w:w="340" w:type="dxa"/>
              <w:bottom w:w="0" w:type="dxa"/>
              <w:right w:w="340" w:type="dxa"/>
            </w:tcMar>
          </w:tcPr>
          <w:p w14:paraId="1163D44A" w14:textId="77777777" w:rsidR="00F81A5B" w:rsidRPr="000B46A1" w:rsidRDefault="00F81A5B" w:rsidP="00F81A5B">
            <w:pPr>
              <w:spacing w:after="120" w:line="276" w:lineRule="auto"/>
              <w:rPr>
                <w:sz w:val="20"/>
                <w:lang w:eastAsia="en-US"/>
              </w:rPr>
            </w:pPr>
          </w:p>
        </w:tc>
        <w:tc>
          <w:tcPr>
            <w:tcW w:w="3402" w:type="dxa"/>
            <w:tcBorders>
              <w:top w:val="single" w:sz="4" w:space="0" w:color="auto"/>
              <w:left w:val="single" w:sz="4" w:space="0" w:color="auto"/>
              <w:bottom w:val="single" w:sz="4" w:space="0" w:color="auto"/>
              <w:right w:val="single" w:sz="4" w:space="0" w:color="auto"/>
            </w:tcBorders>
            <w:tcMar>
              <w:top w:w="0" w:type="dxa"/>
              <w:left w:w="340" w:type="dxa"/>
              <w:bottom w:w="0" w:type="dxa"/>
              <w:right w:w="340" w:type="dxa"/>
            </w:tcMar>
            <w:hideMark/>
          </w:tcPr>
          <w:p w14:paraId="3DD3C72A" w14:textId="77777777" w:rsidR="00F81A5B" w:rsidRPr="000B46A1" w:rsidRDefault="00F81A5B" w:rsidP="00F81A5B">
            <w:pPr>
              <w:spacing w:after="120" w:line="276" w:lineRule="auto"/>
              <w:rPr>
                <w:sz w:val="20"/>
                <w:lang w:eastAsia="en-US"/>
              </w:rPr>
            </w:pPr>
            <w:r w:rsidRPr="000B46A1">
              <w:rPr>
                <w:sz w:val="20"/>
                <w:lang w:eastAsia="en-US"/>
              </w:rPr>
              <w:t>Divorces and terminated registered partnerships</w:t>
            </w:r>
          </w:p>
        </w:tc>
        <w:tc>
          <w:tcPr>
            <w:tcW w:w="1276" w:type="dxa"/>
            <w:tcBorders>
              <w:top w:val="single" w:sz="4" w:space="0" w:color="auto"/>
              <w:left w:val="single" w:sz="4" w:space="0" w:color="auto"/>
              <w:bottom w:val="single" w:sz="4" w:space="0" w:color="auto"/>
              <w:right w:val="single" w:sz="4" w:space="0" w:color="auto"/>
            </w:tcBorders>
            <w:tcMar>
              <w:top w:w="0" w:type="dxa"/>
              <w:left w:w="340" w:type="dxa"/>
              <w:bottom w:w="0" w:type="dxa"/>
              <w:right w:w="340" w:type="dxa"/>
            </w:tcMar>
            <w:hideMark/>
          </w:tcPr>
          <w:p w14:paraId="008C7D83" w14:textId="77777777" w:rsidR="00F81A5B" w:rsidRPr="000B46A1" w:rsidRDefault="00F81A5B" w:rsidP="00F81A5B">
            <w:pPr>
              <w:spacing w:after="120" w:line="276" w:lineRule="auto"/>
              <w:rPr>
                <w:sz w:val="20"/>
                <w:lang w:eastAsia="en-US"/>
              </w:rPr>
            </w:pPr>
            <w:r w:rsidRPr="000B46A1">
              <w:rPr>
                <w:sz w:val="20"/>
                <w:lang w:eastAsia="en-US"/>
              </w:rPr>
              <w:t>A</w:t>
            </w:r>
          </w:p>
        </w:tc>
        <w:tc>
          <w:tcPr>
            <w:tcW w:w="1559" w:type="dxa"/>
            <w:tcBorders>
              <w:top w:val="single" w:sz="4" w:space="0" w:color="auto"/>
              <w:left w:val="single" w:sz="4" w:space="0" w:color="auto"/>
              <w:bottom w:val="single" w:sz="4" w:space="0" w:color="auto"/>
              <w:right w:val="single" w:sz="4" w:space="0" w:color="auto"/>
            </w:tcBorders>
            <w:tcMar>
              <w:top w:w="0" w:type="dxa"/>
              <w:left w:w="340" w:type="dxa"/>
              <w:bottom w:w="0" w:type="dxa"/>
              <w:right w:w="340" w:type="dxa"/>
            </w:tcMar>
            <w:hideMark/>
          </w:tcPr>
          <w:p w14:paraId="28B7C99B" w14:textId="77777777" w:rsidR="00F81A5B" w:rsidRPr="000B46A1" w:rsidRDefault="00F81A5B" w:rsidP="00F81A5B">
            <w:pPr>
              <w:spacing w:after="120" w:line="276" w:lineRule="auto"/>
              <w:rPr>
                <w:sz w:val="20"/>
                <w:lang w:eastAsia="en-US"/>
              </w:rPr>
            </w:pPr>
            <w:r w:rsidRPr="000B46A1">
              <w:rPr>
                <w:sz w:val="20"/>
                <w:lang w:eastAsia="en-US"/>
              </w:rPr>
              <w:t>Year</w:t>
            </w:r>
          </w:p>
        </w:tc>
      </w:tr>
      <w:tr w:rsidR="00F81A5B" w:rsidRPr="000B46A1" w14:paraId="788F5032" w14:textId="77777777" w:rsidTr="00D53492">
        <w:tc>
          <w:tcPr>
            <w:tcW w:w="9776" w:type="dxa"/>
            <w:vMerge/>
            <w:tcBorders>
              <w:top w:val="single" w:sz="4" w:space="0" w:color="auto"/>
              <w:left w:val="single" w:sz="4" w:space="0" w:color="auto"/>
              <w:bottom w:val="single" w:sz="4" w:space="0" w:color="auto"/>
              <w:right w:val="single" w:sz="4" w:space="0" w:color="auto"/>
            </w:tcBorders>
            <w:vAlign w:val="center"/>
            <w:hideMark/>
          </w:tcPr>
          <w:p w14:paraId="6F7613E2" w14:textId="77777777" w:rsidR="00F81A5B" w:rsidRPr="000B46A1" w:rsidRDefault="00F81A5B" w:rsidP="00F81A5B">
            <w:pPr>
              <w:spacing w:before="120" w:after="120" w:line="276" w:lineRule="auto"/>
              <w:rPr>
                <w:sz w:val="20"/>
                <w:lang w:eastAsia="en-US"/>
              </w:rPr>
            </w:pPr>
          </w:p>
        </w:tc>
        <w:tc>
          <w:tcPr>
            <w:tcW w:w="1701" w:type="dxa"/>
            <w:vMerge w:val="restart"/>
            <w:tcBorders>
              <w:top w:val="single" w:sz="4" w:space="0" w:color="auto"/>
              <w:left w:val="single" w:sz="4" w:space="0" w:color="auto"/>
              <w:bottom w:val="single" w:sz="4" w:space="0" w:color="auto"/>
              <w:right w:val="single" w:sz="4" w:space="0" w:color="auto"/>
            </w:tcBorders>
            <w:tcMar>
              <w:top w:w="0" w:type="dxa"/>
              <w:left w:w="340" w:type="dxa"/>
              <w:bottom w:w="0" w:type="dxa"/>
              <w:right w:w="340" w:type="dxa"/>
            </w:tcMar>
            <w:hideMark/>
          </w:tcPr>
          <w:p w14:paraId="1FE5B54F" w14:textId="77777777" w:rsidR="00F81A5B" w:rsidRPr="000B46A1" w:rsidRDefault="00F81A5B" w:rsidP="00F81A5B">
            <w:pPr>
              <w:spacing w:after="120" w:line="276" w:lineRule="auto"/>
              <w:rPr>
                <w:sz w:val="20"/>
                <w:lang w:eastAsia="en-US"/>
              </w:rPr>
            </w:pPr>
            <w:r w:rsidRPr="000B46A1">
              <w:rPr>
                <w:sz w:val="20"/>
                <w:lang w:eastAsia="en-US"/>
              </w:rPr>
              <w:t>Migration</w:t>
            </w:r>
          </w:p>
        </w:tc>
        <w:tc>
          <w:tcPr>
            <w:tcW w:w="3402" w:type="dxa"/>
            <w:vMerge w:val="restart"/>
            <w:tcBorders>
              <w:top w:val="single" w:sz="4" w:space="0" w:color="auto"/>
              <w:left w:val="single" w:sz="4" w:space="0" w:color="auto"/>
              <w:bottom w:val="single" w:sz="4" w:space="0" w:color="auto"/>
              <w:right w:val="single" w:sz="4" w:space="0" w:color="auto"/>
            </w:tcBorders>
            <w:tcMar>
              <w:top w:w="0" w:type="dxa"/>
              <w:left w:w="340" w:type="dxa"/>
              <w:bottom w:w="0" w:type="dxa"/>
              <w:right w:w="340" w:type="dxa"/>
            </w:tcMar>
            <w:hideMark/>
          </w:tcPr>
          <w:p w14:paraId="4A695EA8" w14:textId="77777777" w:rsidR="00F81A5B" w:rsidRPr="000B46A1" w:rsidRDefault="00F81A5B" w:rsidP="00F81A5B">
            <w:pPr>
              <w:spacing w:after="120" w:line="276" w:lineRule="auto"/>
              <w:rPr>
                <w:sz w:val="20"/>
                <w:lang w:eastAsia="en-US"/>
              </w:rPr>
            </w:pPr>
            <w:r w:rsidRPr="000B46A1">
              <w:rPr>
                <w:sz w:val="20"/>
                <w:lang w:eastAsia="en-US"/>
              </w:rPr>
              <w:t>Immigrants</w:t>
            </w:r>
          </w:p>
        </w:tc>
        <w:tc>
          <w:tcPr>
            <w:tcW w:w="1276" w:type="dxa"/>
            <w:tcBorders>
              <w:top w:val="single" w:sz="4" w:space="0" w:color="auto"/>
              <w:left w:val="single" w:sz="4" w:space="0" w:color="auto"/>
              <w:bottom w:val="single" w:sz="4" w:space="0" w:color="auto"/>
              <w:right w:val="single" w:sz="4" w:space="0" w:color="auto"/>
            </w:tcBorders>
            <w:tcMar>
              <w:top w:w="0" w:type="dxa"/>
              <w:left w:w="340" w:type="dxa"/>
              <w:bottom w:w="0" w:type="dxa"/>
              <w:right w:w="340" w:type="dxa"/>
            </w:tcMar>
            <w:hideMark/>
          </w:tcPr>
          <w:p w14:paraId="47612D65" w14:textId="77777777" w:rsidR="00F81A5B" w:rsidRPr="000B46A1" w:rsidRDefault="00F81A5B" w:rsidP="00F81A5B">
            <w:pPr>
              <w:spacing w:after="120" w:line="276" w:lineRule="auto"/>
              <w:rPr>
                <w:sz w:val="20"/>
                <w:lang w:eastAsia="en-US"/>
              </w:rPr>
            </w:pPr>
            <w:r w:rsidRPr="000B46A1">
              <w:rPr>
                <w:sz w:val="20"/>
                <w:lang w:eastAsia="en-US"/>
              </w:rPr>
              <w:t>Q</w:t>
            </w:r>
          </w:p>
        </w:tc>
        <w:tc>
          <w:tcPr>
            <w:tcW w:w="1559" w:type="dxa"/>
            <w:tcBorders>
              <w:top w:val="single" w:sz="4" w:space="0" w:color="auto"/>
              <w:left w:val="single" w:sz="4" w:space="0" w:color="auto"/>
              <w:bottom w:val="single" w:sz="4" w:space="0" w:color="auto"/>
              <w:right w:val="single" w:sz="4" w:space="0" w:color="auto"/>
            </w:tcBorders>
            <w:tcMar>
              <w:top w:w="0" w:type="dxa"/>
              <w:left w:w="340" w:type="dxa"/>
              <w:bottom w:w="0" w:type="dxa"/>
              <w:right w:w="340" w:type="dxa"/>
            </w:tcMar>
            <w:hideMark/>
          </w:tcPr>
          <w:p w14:paraId="761757C6" w14:textId="77777777" w:rsidR="00F81A5B" w:rsidRPr="000B46A1" w:rsidRDefault="00F81A5B" w:rsidP="00F81A5B">
            <w:pPr>
              <w:spacing w:after="120" w:line="276" w:lineRule="auto"/>
              <w:rPr>
                <w:sz w:val="20"/>
                <w:lang w:eastAsia="en-US"/>
              </w:rPr>
            </w:pPr>
            <w:r w:rsidRPr="000B46A1">
              <w:rPr>
                <w:sz w:val="20"/>
                <w:lang w:eastAsia="en-US"/>
              </w:rPr>
              <w:t>Month</w:t>
            </w:r>
          </w:p>
        </w:tc>
      </w:tr>
      <w:tr w:rsidR="00F81A5B" w:rsidRPr="000B46A1" w14:paraId="1BB644A0" w14:textId="77777777" w:rsidTr="00D53492">
        <w:tc>
          <w:tcPr>
            <w:tcW w:w="9776" w:type="dxa"/>
            <w:vMerge/>
            <w:tcBorders>
              <w:top w:val="single" w:sz="4" w:space="0" w:color="auto"/>
              <w:left w:val="single" w:sz="4" w:space="0" w:color="auto"/>
              <w:bottom w:val="single" w:sz="4" w:space="0" w:color="auto"/>
              <w:right w:val="single" w:sz="4" w:space="0" w:color="auto"/>
            </w:tcBorders>
            <w:vAlign w:val="center"/>
            <w:hideMark/>
          </w:tcPr>
          <w:p w14:paraId="2D048560" w14:textId="77777777" w:rsidR="00F81A5B" w:rsidRPr="000B46A1" w:rsidRDefault="00F81A5B" w:rsidP="00F81A5B">
            <w:pPr>
              <w:spacing w:before="120" w:after="120" w:line="276" w:lineRule="auto"/>
              <w:rPr>
                <w:sz w:val="20"/>
                <w:lang w:eastAsia="en-US"/>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217D8D6B" w14:textId="77777777" w:rsidR="00F81A5B" w:rsidRPr="000B46A1" w:rsidRDefault="00F81A5B" w:rsidP="00F81A5B">
            <w:pPr>
              <w:spacing w:before="120" w:after="120" w:line="276" w:lineRule="auto"/>
              <w:rPr>
                <w:sz w:val="20"/>
                <w:lang w:eastAsia="en-US"/>
              </w:rPr>
            </w:pPr>
          </w:p>
        </w:tc>
        <w:tc>
          <w:tcPr>
            <w:tcW w:w="3402" w:type="dxa"/>
            <w:vMerge/>
            <w:tcBorders>
              <w:top w:val="single" w:sz="4" w:space="0" w:color="auto"/>
              <w:left w:val="single" w:sz="4" w:space="0" w:color="auto"/>
              <w:bottom w:val="single" w:sz="4" w:space="0" w:color="auto"/>
              <w:right w:val="single" w:sz="4" w:space="0" w:color="auto"/>
            </w:tcBorders>
            <w:vAlign w:val="center"/>
            <w:hideMark/>
          </w:tcPr>
          <w:p w14:paraId="68A6F7AB" w14:textId="77777777" w:rsidR="00F81A5B" w:rsidRPr="000B46A1" w:rsidRDefault="00F81A5B" w:rsidP="00F81A5B">
            <w:pPr>
              <w:spacing w:before="120" w:after="120" w:line="276" w:lineRule="auto"/>
              <w:rPr>
                <w:sz w:val="20"/>
                <w:lang w:eastAsia="en-US"/>
              </w:rPr>
            </w:pPr>
          </w:p>
        </w:tc>
        <w:tc>
          <w:tcPr>
            <w:tcW w:w="1276" w:type="dxa"/>
            <w:tcBorders>
              <w:top w:val="single" w:sz="4" w:space="0" w:color="auto"/>
              <w:left w:val="single" w:sz="4" w:space="0" w:color="auto"/>
              <w:bottom w:val="single" w:sz="4" w:space="0" w:color="auto"/>
              <w:right w:val="single" w:sz="4" w:space="0" w:color="auto"/>
            </w:tcBorders>
            <w:tcMar>
              <w:top w:w="0" w:type="dxa"/>
              <w:left w:w="340" w:type="dxa"/>
              <w:bottom w:w="0" w:type="dxa"/>
              <w:right w:w="340" w:type="dxa"/>
            </w:tcMar>
            <w:hideMark/>
          </w:tcPr>
          <w:p w14:paraId="687844FE" w14:textId="77777777" w:rsidR="00F81A5B" w:rsidRPr="000B46A1" w:rsidRDefault="00F81A5B" w:rsidP="00F81A5B">
            <w:pPr>
              <w:spacing w:after="120" w:line="276" w:lineRule="auto"/>
              <w:rPr>
                <w:sz w:val="20"/>
                <w:lang w:eastAsia="en-US"/>
              </w:rPr>
            </w:pPr>
            <w:r w:rsidRPr="000B46A1">
              <w:rPr>
                <w:sz w:val="20"/>
                <w:lang w:eastAsia="en-US"/>
              </w:rPr>
              <w:t>A</w:t>
            </w:r>
          </w:p>
        </w:tc>
        <w:tc>
          <w:tcPr>
            <w:tcW w:w="1559" w:type="dxa"/>
            <w:tcBorders>
              <w:top w:val="single" w:sz="4" w:space="0" w:color="auto"/>
              <w:left w:val="single" w:sz="4" w:space="0" w:color="auto"/>
              <w:bottom w:val="single" w:sz="4" w:space="0" w:color="auto"/>
              <w:right w:val="single" w:sz="4" w:space="0" w:color="auto"/>
            </w:tcBorders>
            <w:tcMar>
              <w:top w:w="0" w:type="dxa"/>
              <w:left w:w="340" w:type="dxa"/>
              <w:bottom w:w="0" w:type="dxa"/>
              <w:right w:w="340" w:type="dxa"/>
            </w:tcMar>
            <w:hideMark/>
          </w:tcPr>
          <w:p w14:paraId="68FBB75C" w14:textId="77777777" w:rsidR="00F81A5B" w:rsidRPr="000B46A1" w:rsidRDefault="00F81A5B" w:rsidP="00F81A5B">
            <w:pPr>
              <w:spacing w:after="120" w:line="276" w:lineRule="auto"/>
              <w:rPr>
                <w:sz w:val="20"/>
                <w:lang w:eastAsia="en-US"/>
              </w:rPr>
            </w:pPr>
            <w:r w:rsidRPr="000B46A1">
              <w:rPr>
                <w:sz w:val="20"/>
                <w:lang w:eastAsia="en-US"/>
              </w:rPr>
              <w:t>Year</w:t>
            </w:r>
          </w:p>
        </w:tc>
      </w:tr>
      <w:tr w:rsidR="00F81A5B" w:rsidRPr="000B46A1" w14:paraId="1F81BC06" w14:textId="77777777" w:rsidTr="00D53492">
        <w:tc>
          <w:tcPr>
            <w:tcW w:w="9776" w:type="dxa"/>
            <w:vMerge/>
            <w:tcBorders>
              <w:top w:val="single" w:sz="4" w:space="0" w:color="auto"/>
              <w:left w:val="single" w:sz="4" w:space="0" w:color="auto"/>
              <w:bottom w:val="single" w:sz="4" w:space="0" w:color="auto"/>
              <w:right w:val="single" w:sz="4" w:space="0" w:color="auto"/>
            </w:tcBorders>
            <w:vAlign w:val="center"/>
            <w:hideMark/>
          </w:tcPr>
          <w:p w14:paraId="3A737FCC" w14:textId="77777777" w:rsidR="00F81A5B" w:rsidRPr="000B46A1" w:rsidRDefault="00F81A5B" w:rsidP="00F81A5B">
            <w:pPr>
              <w:spacing w:before="120" w:after="120" w:line="276" w:lineRule="auto"/>
              <w:rPr>
                <w:sz w:val="20"/>
                <w:lang w:eastAsia="en-US"/>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7BFA8E7F" w14:textId="77777777" w:rsidR="00F81A5B" w:rsidRPr="000B46A1" w:rsidRDefault="00F81A5B" w:rsidP="00F81A5B">
            <w:pPr>
              <w:spacing w:before="120" w:after="120" w:line="276" w:lineRule="auto"/>
              <w:rPr>
                <w:sz w:val="20"/>
                <w:lang w:eastAsia="en-US"/>
              </w:rPr>
            </w:pPr>
          </w:p>
        </w:tc>
        <w:tc>
          <w:tcPr>
            <w:tcW w:w="3402" w:type="dxa"/>
            <w:vMerge w:val="restart"/>
            <w:tcBorders>
              <w:top w:val="single" w:sz="4" w:space="0" w:color="auto"/>
              <w:left w:val="single" w:sz="4" w:space="0" w:color="auto"/>
              <w:bottom w:val="single" w:sz="4" w:space="0" w:color="auto"/>
              <w:right w:val="single" w:sz="4" w:space="0" w:color="auto"/>
            </w:tcBorders>
            <w:tcMar>
              <w:top w:w="0" w:type="dxa"/>
              <w:left w:w="340" w:type="dxa"/>
              <w:bottom w:w="0" w:type="dxa"/>
              <w:right w:w="340" w:type="dxa"/>
            </w:tcMar>
            <w:hideMark/>
          </w:tcPr>
          <w:p w14:paraId="563992B9" w14:textId="77777777" w:rsidR="00F81A5B" w:rsidRPr="000B46A1" w:rsidRDefault="00F81A5B" w:rsidP="00F81A5B">
            <w:pPr>
              <w:spacing w:after="120" w:line="276" w:lineRule="auto"/>
              <w:rPr>
                <w:sz w:val="20"/>
                <w:lang w:eastAsia="en-US"/>
              </w:rPr>
            </w:pPr>
            <w:r w:rsidRPr="000B46A1">
              <w:rPr>
                <w:sz w:val="20"/>
                <w:lang w:eastAsia="en-US"/>
              </w:rPr>
              <w:t>Emigrants</w:t>
            </w:r>
          </w:p>
        </w:tc>
        <w:tc>
          <w:tcPr>
            <w:tcW w:w="1276" w:type="dxa"/>
            <w:tcBorders>
              <w:top w:val="single" w:sz="4" w:space="0" w:color="auto"/>
              <w:left w:val="single" w:sz="4" w:space="0" w:color="auto"/>
              <w:bottom w:val="single" w:sz="4" w:space="0" w:color="auto"/>
              <w:right w:val="single" w:sz="4" w:space="0" w:color="auto"/>
            </w:tcBorders>
            <w:tcMar>
              <w:top w:w="0" w:type="dxa"/>
              <w:left w:w="340" w:type="dxa"/>
              <w:bottom w:w="0" w:type="dxa"/>
              <w:right w:w="340" w:type="dxa"/>
            </w:tcMar>
            <w:hideMark/>
          </w:tcPr>
          <w:p w14:paraId="79BEB552" w14:textId="77777777" w:rsidR="00F81A5B" w:rsidRPr="000B46A1" w:rsidRDefault="00F81A5B" w:rsidP="00F81A5B">
            <w:pPr>
              <w:spacing w:after="120" w:line="276" w:lineRule="auto"/>
              <w:rPr>
                <w:b/>
                <w:i/>
                <w:sz w:val="20"/>
                <w:lang w:eastAsia="en-US"/>
              </w:rPr>
            </w:pPr>
            <w:r w:rsidRPr="000B46A1">
              <w:rPr>
                <w:b/>
                <w:i/>
                <w:sz w:val="20"/>
                <w:lang w:eastAsia="en-US"/>
              </w:rPr>
              <w:t>Q</w:t>
            </w:r>
          </w:p>
        </w:tc>
        <w:tc>
          <w:tcPr>
            <w:tcW w:w="1559" w:type="dxa"/>
            <w:tcBorders>
              <w:top w:val="single" w:sz="4" w:space="0" w:color="auto"/>
              <w:left w:val="single" w:sz="4" w:space="0" w:color="auto"/>
              <w:bottom w:val="single" w:sz="4" w:space="0" w:color="auto"/>
              <w:right w:val="single" w:sz="4" w:space="0" w:color="auto"/>
            </w:tcBorders>
            <w:tcMar>
              <w:top w:w="0" w:type="dxa"/>
              <w:left w:w="340" w:type="dxa"/>
              <w:bottom w:w="0" w:type="dxa"/>
              <w:right w:w="340" w:type="dxa"/>
            </w:tcMar>
            <w:hideMark/>
          </w:tcPr>
          <w:p w14:paraId="243EFD22" w14:textId="77777777" w:rsidR="00F81A5B" w:rsidRPr="000B46A1" w:rsidRDefault="00F81A5B" w:rsidP="00F81A5B">
            <w:pPr>
              <w:spacing w:after="120" w:line="276" w:lineRule="auto"/>
              <w:rPr>
                <w:b/>
                <w:i/>
                <w:sz w:val="20"/>
                <w:lang w:eastAsia="en-US"/>
              </w:rPr>
            </w:pPr>
            <w:r w:rsidRPr="000B46A1">
              <w:rPr>
                <w:b/>
                <w:i/>
                <w:sz w:val="20"/>
                <w:lang w:eastAsia="en-US"/>
              </w:rPr>
              <w:t>Month</w:t>
            </w:r>
          </w:p>
        </w:tc>
      </w:tr>
      <w:tr w:rsidR="00F81A5B" w:rsidRPr="000B46A1" w14:paraId="2C560E2A" w14:textId="77777777" w:rsidTr="00D53492">
        <w:tc>
          <w:tcPr>
            <w:tcW w:w="9776" w:type="dxa"/>
            <w:vMerge/>
            <w:tcBorders>
              <w:top w:val="single" w:sz="4" w:space="0" w:color="auto"/>
              <w:left w:val="single" w:sz="4" w:space="0" w:color="auto"/>
              <w:bottom w:val="single" w:sz="4" w:space="0" w:color="auto"/>
              <w:right w:val="single" w:sz="4" w:space="0" w:color="auto"/>
            </w:tcBorders>
            <w:vAlign w:val="center"/>
            <w:hideMark/>
          </w:tcPr>
          <w:p w14:paraId="4F16EE46" w14:textId="77777777" w:rsidR="00F81A5B" w:rsidRPr="000B46A1" w:rsidRDefault="00F81A5B" w:rsidP="00F81A5B">
            <w:pPr>
              <w:spacing w:before="120" w:after="120" w:line="276" w:lineRule="auto"/>
              <w:rPr>
                <w:sz w:val="20"/>
                <w:lang w:eastAsia="en-US"/>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3DBFC0D5" w14:textId="77777777" w:rsidR="00F81A5B" w:rsidRPr="000B46A1" w:rsidRDefault="00F81A5B" w:rsidP="00F81A5B">
            <w:pPr>
              <w:spacing w:before="120" w:after="120" w:line="276" w:lineRule="auto"/>
              <w:rPr>
                <w:sz w:val="20"/>
                <w:lang w:eastAsia="en-US"/>
              </w:rPr>
            </w:pPr>
          </w:p>
        </w:tc>
        <w:tc>
          <w:tcPr>
            <w:tcW w:w="3402" w:type="dxa"/>
            <w:vMerge/>
            <w:tcBorders>
              <w:top w:val="single" w:sz="4" w:space="0" w:color="auto"/>
              <w:left w:val="single" w:sz="4" w:space="0" w:color="auto"/>
              <w:bottom w:val="single" w:sz="4" w:space="0" w:color="auto"/>
              <w:right w:val="single" w:sz="4" w:space="0" w:color="auto"/>
            </w:tcBorders>
            <w:vAlign w:val="center"/>
            <w:hideMark/>
          </w:tcPr>
          <w:p w14:paraId="00557736" w14:textId="77777777" w:rsidR="00F81A5B" w:rsidRPr="000B46A1" w:rsidRDefault="00F81A5B" w:rsidP="00F81A5B">
            <w:pPr>
              <w:spacing w:before="120" w:after="120" w:line="276" w:lineRule="auto"/>
              <w:rPr>
                <w:sz w:val="20"/>
                <w:lang w:eastAsia="en-US"/>
              </w:rPr>
            </w:pPr>
          </w:p>
        </w:tc>
        <w:tc>
          <w:tcPr>
            <w:tcW w:w="1276" w:type="dxa"/>
            <w:tcBorders>
              <w:top w:val="single" w:sz="4" w:space="0" w:color="auto"/>
              <w:left w:val="single" w:sz="4" w:space="0" w:color="auto"/>
              <w:bottom w:val="single" w:sz="4" w:space="0" w:color="auto"/>
              <w:right w:val="single" w:sz="4" w:space="0" w:color="auto"/>
            </w:tcBorders>
            <w:tcMar>
              <w:top w:w="0" w:type="dxa"/>
              <w:left w:w="340" w:type="dxa"/>
              <w:bottom w:w="0" w:type="dxa"/>
              <w:right w:w="340" w:type="dxa"/>
            </w:tcMar>
            <w:hideMark/>
          </w:tcPr>
          <w:p w14:paraId="69CAFF33" w14:textId="77777777" w:rsidR="00F81A5B" w:rsidRPr="000B46A1" w:rsidRDefault="00F81A5B" w:rsidP="00F81A5B">
            <w:pPr>
              <w:spacing w:after="120" w:line="276" w:lineRule="auto"/>
              <w:rPr>
                <w:sz w:val="20"/>
                <w:lang w:eastAsia="en-US"/>
              </w:rPr>
            </w:pPr>
            <w:r w:rsidRPr="000B46A1">
              <w:rPr>
                <w:sz w:val="20"/>
                <w:lang w:eastAsia="en-US"/>
              </w:rPr>
              <w:t>A</w:t>
            </w:r>
          </w:p>
        </w:tc>
        <w:tc>
          <w:tcPr>
            <w:tcW w:w="1559" w:type="dxa"/>
            <w:tcBorders>
              <w:top w:val="single" w:sz="4" w:space="0" w:color="auto"/>
              <w:left w:val="single" w:sz="4" w:space="0" w:color="auto"/>
              <w:bottom w:val="single" w:sz="4" w:space="0" w:color="auto"/>
              <w:right w:val="single" w:sz="4" w:space="0" w:color="auto"/>
            </w:tcBorders>
            <w:tcMar>
              <w:top w:w="0" w:type="dxa"/>
              <w:left w:w="340" w:type="dxa"/>
              <w:bottom w:w="0" w:type="dxa"/>
              <w:right w:w="340" w:type="dxa"/>
            </w:tcMar>
            <w:hideMark/>
          </w:tcPr>
          <w:p w14:paraId="2BAD244B" w14:textId="77777777" w:rsidR="00F81A5B" w:rsidRPr="000B46A1" w:rsidRDefault="00F81A5B" w:rsidP="00F81A5B">
            <w:pPr>
              <w:spacing w:after="120" w:line="276" w:lineRule="auto"/>
              <w:rPr>
                <w:sz w:val="20"/>
                <w:lang w:eastAsia="en-US"/>
              </w:rPr>
            </w:pPr>
            <w:r w:rsidRPr="000B46A1">
              <w:rPr>
                <w:sz w:val="20"/>
                <w:lang w:eastAsia="en-US"/>
              </w:rPr>
              <w:t>Year</w:t>
            </w:r>
          </w:p>
        </w:tc>
      </w:tr>
      <w:tr w:rsidR="00F81A5B" w:rsidRPr="000B46A1" w14:paraId="5BAFB20D" w14:textId="77777777" w:rsidTr="00D53492">
        <w:tc>
          <w:tcPr>
            <w:tcW w:w="9776" w:type="dxa"/>
            <w:vMerge/>
            <w:tcBorders>
              <w:top w:val="single" w:sz="4" w:space="0" w:color="auto"/>
              <w:left w:val="single" w:sz="4" w:space="0" w:color="auto"/>
              <w:bottom w:val="single" w:sz="4" w:space="0" w:color="auto"/>
              <w:right w:val="single" w:sz="4" w:space="0" w:color="auto"/>
            </w:tcBorders>
            <w:vAlign w:val="center"/>
            <w:hideMark/>
          </w:tcPr>
          <w:p w14:paraId="7C6A2E95" w14:textId="77777777" w:rsidR="00F81A5B" w:rsidRPr="000B46A1" w:rsidRDefault="00F81A5B" w:rsidP="00F81A5B">
            <w:pPr>
              <w:spacing w:before="120" w:after="120" w:line="276" w:lineRule="auto"/>
              <w:rPr>
                <w:sz w:val="20"/>
                <w:lang w:eastAsia="en-US"/>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1089F55B" w14:textId="77777777" w:rsidR="00F81A5B" w:rsidRPr="000B46A1" w:rsidRDefault="00F81A5B" w:rsidP="00F81A5B">
            <w:pPr>
              <w:spacing w:before="120" w:after="120" w:line="276" w:lineRule="auto"/>
              <w:rPr>
                <w:sz w:val="20"/>
                <w:lang w:eastAsia="en-US"/>
              </w:rPr>
            </w:pPr>
          </w:p>
        </w:tc>
        <w:tc>
          <w:tcPr>
            <w:tcW w:w="3402" w:type="dxa"/>
            <w:tcBorders>
              <w:top w:val="single" w:sz="4" w:space="0" w:color="auto"/>
              <w:left w:val="single" w:sz="4" w:space="0" w:color="auto"/>
              <w:bottom w:val="single" w:sz="4" w:space="0" w:color="auto"/>
              <w:right w:val="single" w:sz="4" w:space="0" w:color="auto"/>
            </w:tcBorders>
            <w:tcMar>
              <w:top w:w="0" w:type="dxa"/>
              <w:left w:w="340" w:type="dxa"/>
              <w:bottom w:w="0" w:type="dxa"/>
              <w:right w:w="340" w:type="dxa"/>
            </w:tcMar>
            <w:hideMark/>
          </w:tcPr>
          <w:p w14:paraId="179654D7" w14:textId="77777777" w:rsidR="00F81A5B" w:rsidRPr="000B46A1" w:rsidRDefault="00F81A5B" w:rsidP="00F81A5B">
            <w:pPr>
              <w:spacing w:after="120" w:line="276" w:lineRule="auto"/>
              <w:rPr>
                <w:sz w:val="20"/>
                <w:lang w:eastAsia="en-US"/>
              </w:rPr>
            </w:pPr>
            <w:r w:rsidRPr="000B46A1">
              <w:rPr>
                <w:sz w:val="20"/>
                <w:lang w:eastAsia="en-US"/>
              </w:rPr>
              <w:t>Internal migration</w:t>
            </w:r>
          </w:p>
        </w:tc>
        <w:tc>
          <w:tcPr>
            <w:tcW w:w="1276" w:type="dxa"/>
            <w:tcBorders>
              <w:top w:val="single" w:sz="4" w:space="0" w:color="auto"/>
              <w:left w:val="single" w:sz="4" w:space="0" w:color="auto"/>
              <w:bottom w:val="single" w:sz="4" w:space="0" w:color="auto"/>
              <w:right w:val="single" w:sz="4" w:space="0" w:color="auto"/>
            </w:tcBorders>
            <w:tcMar>
              <w:top w:w="0" w:type="dxa"/>
              <w:left w:w="340" w:type="dxa"/>
              <w:bottom w:w="0" w:type="dxa"/>
              <w:right w:w="340" w:type="dxa"/>
            </w:tcMar>
            <w:hideMark/>
          </w:tcPr>
          <w:p w14:paraId="7D417918" w14:textId="77777777" w:rsidR="00F81A5B" w:rsidRPr="000B46A1" w:rsidRDefault="00F81A5B" w:rsidP="00F81A5B">
            <w:pPr>
              <w:spacing w:after="120" w:line="276" w:lineRule="auto"/>
              <w:rPr>
                <w:sz w:val="20"/>
                <w:lang w:eastAsia="en-US"/>
              </w:rPr>
            </w:pPr>
            <w:r w:rsidRPr="000B46A1">
              <w:rPr>
                <w:sz w:val="20"/>
                <w:lang w:eastAsia="en-US"/>
              </w:rPr>
              <w:t>A</w:t>
            </w:r>
          </w:p>
        </w:tc>
        <w:tc>
          <w:tcPr>
            <w:tcW w:w="1559" w:type="dxa"/>
            <w:tcBorders>
              <w:top w:val="single" w:sz="4" w:space="0" w:color="auto"/>
              <w:left w:val="single" w:sz="4" w:space="0" w:color="auto"/>
              <w:bottom w:val="single" w:sz="4" w:space="0" w:color="auto"/>
              <w:right w:val="single" w:sz="4" w:space="0" w:color="auto"/>
            </w:tcBorders>
            <w:tcMar>
              <w:top w:w="0" w:type="dxa"/>
              <w:left w:w="340" w:type="dxa"/>
              <w:bottom w:w="0" w:type="dxa"/>
              <w:right w:w="340" w:type="dxa"/>
            </w:tcMar>
            <w:hideMark/>
          </w:tcPr>
          <w:p w14:paraId="53CF8860" w14:textId="77777777" w:rsidR="00F81A5B" w:rsidRPr="000B46A1" w:rsidRDefault="00F81A5B" w:rsidP="00F81A5B">
            <w:pPr>
              <w:spacing w:after="120" w:line="276" w:lineRule="auto"/>
              <w:rPr>
                <w:sz w:val="20"/>
                <w:lang w:eastAsia="en-US"/>
              </w:rPr>
            </w:pPr>
            <w:r w:rsidRPr="000B46A1">
              <w:rPr>
                <w:sz w:val="20"/>
                <w:lang w:eastAsia="en-US"/>
              </w:rPr>
              <w:t>Year</w:t>
            </w:r>
          </w:p>
        </w:tc>
      </w:tr>
      <w:tr w:rsidR="00F81A5B" w:rsidRPr="000B46A1" w14:paraId="54A1798E" w14:textId="77777777" w:rsidTr="00D53492">
        <w:tc>
          <w:tcPr>
            <w:tcW w:w="9776" w:type="dxa"/>
            <w:vMerge/>
            <w:tcBorders>
              <w:top w:val="single" w:sz="4" w:space="0" w:color="auto"/>
              <w:left w:val="single" w:sz="4" w:space="0" w:color="auto"/>
              <w:bottom w:val="single" w:sz="4" w:space="0" w:color="auto"/>
              <w:right w:val="single" w:sz="4" w:space="0" w:color="auto"/>
            </w:tcBorders>
            <w:vAlign w:val="center"/>
            <w:hideMark/>
          </w:tcPr>
          <w:p w14:paraId="7E4E7B21" w14:textId="77777777" w:rsidR="00F81A5B" w:rsidRPr="000B46A1" w:rsidRDefault="00F81A5B" w:rsidP="00F81A5B">
            <w:pPr>
              <w:spacing w:before="120" w:after="120" w:line="276" w:lineRule="auto"/>
              <w:rPr>
                <w:sz w:val="20"/>
                <w:lang w:eastAsia="en-US"/>
              </w:rPr>
            </w:pPr>
          </w:p>
        </w:tc>
        <w:tc>
          <w:tcPr>
            <w:tcW w:w="1701" w:type="dxa"/>
            <w:vMerge w:val="restart"/>
            <w:tcBorders>
              <w:top w:val="single" w:sz="4" w:space="0" w:color="auto"/>
              <w:left w:val="single" w:sz="4" w:space="0" w:color="auto"/>
              <w:bottom w:val="single" w:sz="4" w:space="0" w:color="auto"/>
              <w:right w:val="single" w:sz="4" w:space="0" w:color="auto"/>
            </w:tcBorders>
            <w:tcMar>
              <w:top w:w="0" w:type="dxa"/>
              <w:left w:w="340" w:type="dxa"/>
              <w:bottom w:w="0" w:type="dxa"/>
              <w:right w:w="340" w:type="dxa"/>
            </w:tcMar>
            <w:hideMark/>
          </w:tcPr>
          <w:p w14:paraId="23D69C19" w14:textId="77777777" w:rsidR="00F81A5B" w:rsidRPr="000B46A1" w:rsidRDefault="00F81A5B" w:rsidP="00F81A5B">
            <w:pPr>
              <w:spacing w:after="120" w:line="276" w:lineRule="auto"/>
              <w:rPr>
                <w:sz w:val="20"/>
                <w:lang w:eastAsia="en-US"/>
              </w:rPr>
            </w:pPr>
            <w:r w:rsidRPr="000B46A1">
              <w:rPr>
                <w:sz w:val="20"/>
                <w:lang w:eastAsia="en-US"/>
              </w:rPr>
              <w:t xml:space="preserve">Acquisition </w:t>
            </w:r>
            <w:r w:rsidRPr="000B46A1">
              <w:rPr>
                <w:sz w:val="20"/>
                <w:lang w:eastAsia="en-US"/>
              </w:rPr>
              <w:lastRenderedPageBreak/>
              <w:t>and loss of citizenship of EU MS and the Union</w:t>
            </w:r>
          </w:p>
        </w:tc>
        <w:tc>
          <w:tcPr>
            <w:tcW w:w="3402" w:type="dxa"/>
            <w:tcBorders>
              <w:top w:val="single" w:sz="4" w:space="0" w:color="auto"/>
              <w:left w:val="single" w:sz="4" w:space="0" w:color="auto"/>
              <w:bottom w:val="single" w:sz="4" w:space="0" w:color="auto"/>
              <w:right w:val="single" w:sz="4" w:space="0" w:color="auto"/>
            </w:tcBorders>
            <w:tcMar>
              <w:top w:w="0" w:type="dxa"/>
              <w:left w:w="340" w:type="dxa"/>
              <w:bottom w:w="0" w:type="dxa"/>
              <w:right w:w="340" w:type="dxa"/>
            </w:tcMar>
            <w:hideMark/>
          </w:tcPr>
          <w:p w14:paraId="7B2F2F57" w14:textId="77777777" w:rsidR="00F81A5B" w:rsidRPr="000B46A1" w:rsidRDefault="00F81A5B" w:rsidP="00F81A5B">
            <w:pPr>
              <w:spacing w:after="120" w:line="276" w:lineRule="auto"/>
              <w:rPr>
                <w:sz w:val="20"/>
                <w:lang w:eastAsia="en-US"/>
              </w:rPr>
            </w:pPr>
            <w:r w:rsidRPr="000B46A1">
              <w:rPr>
                <w:sz w:val="20"/>
                <w:lang w:eastAsia="en-US"/>
              </w:rPr>
              <w:lastRenderedPageBreak/>
              <w:t>Persons who acquired citizenship</w:t>
            </w:r>
          </w:p>
        </w:tc>
        <w:tc>
          <w:tcPr>
            <w:tcW w:w="1276" w:type="dxa"/>
            <w:tcBorders>
              <w:top w:val="single" w:sz="4" w:space="0" w:color="auto"/>
              <w:left w:val="single" w:sz="4" w:space="0" w:color="auto"/>
              <w:bottom w:val="single" w:sz="4" w:space="0" w:color="auto"/>
              <w:right w:val="single" w:sz="4" w:space="0" w:color="auto"/>
            </w:tcBorders>
            <w:tcMar>
              <w:top w:w="0" w:type="dxa"/>
              <w:left w:w="340" w:type="dxa"/>
              <w:bottom w:w="0" w:type="dxa"/>
              <w:right w:w="340" w:type="dxa"/>
            </w:tcMar>
            <w:hideMark/>
          </w:tcPr>
          <w:p w14:paraId="5C3808A7" w14:textId="77777777" w:rsidR="00F81A5B" w:rsidRPr="000B46A1" w:rsidRDefault="00F81A5B" w:rsidP="00F81A5B">
            <w:pPr>
              <w:spacing w:after="120" w:line="276" w:lineRule="auto"/>
              <w:rPr>
                <w:sz w:val="20"/>
                <w:lang w:eastAsia="en-US"/>
              </w:rPr>
            </w:pPr>
            <w:r w:rsidRPr="000B46A1">
              <w:rPr>
                <w:sz w:val="20"/>
                <w:lang w:eastAsia="en-US"/>
              </w:rPr>
              <w:t>A</w:t>
            </w:r>
          </w:p>
        </w:tc>
        <w:tc>
          <w:tcPr>
            <w:tcW w:w="1559" w:type="dxa"/>
            <w:tcBorders>
              <w:top w:val="single" w:sz="4" w:space="0" w:color="auto"/>
              <w:left w:val="single" w:sz="4" w:space="0" w:color="auto"/>
              <w:bottom w:val="single" w:sz="4" w:space="0" w:color="auto"/>
              <w:right w:val="single" w:sz="4" w:space="0" w:color="auto"/>
            </w:tcBorders>
            <w:tcMar>
              <w:top w:w="0" w:type="dxa"/>
              <w:left w:w="340" w:type="dxa"/>
              <w:bottom w:w="0" w:type="dxa"/>
              <w:right w:w="340" w:type="dxa"/>
            </w:tcMar>
            <w:hideMark/>
          </w:tcPr>
          <w:p w14:paraId="6CB0C5CF" w14:textId="77777777" w:rsidR="00F81A5B" w:rsidRPr="000B46A1" w:rsidRDefault="00F81A5B" w:rsidP="00F81A5B">
            <w:pPr>
              <w:spacing w:after="120" w:line="276" w:lineRule="auto"/>
              <w:rPr>
                <w:sz w:val="20"/>
                <w:lang w:eastAsia="en-US"/>
              </w:rPr>
            </w:pPr>
            <w:r w:rsidRPr="000B46A1">
              <w:rPr>
                <w:sz w:val="20"/>
                <w:lang w:eastAsia="en-US"/>
              </w:rPr>
              <w:t>Year</w:t>
            </w:r>
          </w:p>
        </w:tc>
      </w:tr>
      <w:tr w:rsidR="00F81A5B" w:rsidRPr="000B46A1" w14:paraId="56323C7C" w14:textId="77777777" w:rsidTr="00D53492">
        <w:tc>
          <w:tcPr>
            <w:tcW w:w="9776" w:type="dxa"/>
            <w:vMerge/>
            <w:tcBorders>
              <w:top w:val="single" w:sz="4" w:space="0" w:color="auto"/>
              <w:left w:val="single" w:sz="4" w:space="0" w:color="auto"/>
              <w:bottom w:val="single" w:sz="4" w:space="0" w:color="auto"/>
              <w:right w:val="single" w:sz="4" w:space="0" w:color="auto"/>
            </w:tcBorders>
            <w:vAlign w:val="center"/>
            <w:hideMark/>
          </w:tcPr>
          <w:p w14:paraId="51C11108" w14:textId="77777777" w:rsidR="00F81A5B" w:rsidRPr="000B46A1" w:rsidRDefault="00F81A5B" w:rsidP="00F81A5B">
            <w:pPr>
              <w:spacing w:before="120" w:after="120" w:line="276" w:lineRule="auto"/>
              <w:rPr>
                <w:sz w:val="20"/>
                <w:lang w:eastAsia="en-US"/>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76B72E94" w14:textId="77777777" w:rsidR="00F81A5B" w:rsidRPr="000B46A1" w:rsidRDefault="00F81A5B" w:rsidP="00F81A5B">
            <w:pPr>
              <w:spacing w:before="120" w:after="120" w:line="276" w:lineRule="auto"/>
              <w:rPr>
                <w:sz w:val="20"/>
                <w:lang w:eastAsia="en-US"/>
              </w:rPr>
            </w:pPr>
          </w:p>
        </w:tc>
        <w:tc>
          <w:tcPr>
            <w:tcW w:w="3402" w:type="dxa"/>
            <w:tcBorders>
              <w:top w:val="single" w:sz="4" w:space="0" w:color="auto"/>
              <w:left w:val="single" w:sz="4" w:space="0" w:color="auto"/>
              <w:bottom w:val="single" w:sz="4" w:space="0" w:color="auto"/>
              <w:right w:val="single" w:sz="4" w:space="0" w:color="auto"/>
            </w:tcBorders>
            <w:tcMar>
              <w:top w:w="0" w:type="dxa"/>
              <w:left w:w="340" w:type="dxa"/>
              <w:bottom w:w="0" w:type="dxa"/>
              <w:right w:w="340" w:type="dxa"/>
            </w:tcMar>
            <w:hideMark/>
          </w:tcPr>
          <w:p w14:paraId="6C82D953" w14:textId="77777777" w:rsidR="00F81A5B" w:rsidRPr="000B46A1" w:rsidRDefault="00F81A5B" w:rsidP="00F81A5B">
            <w:pPr>
              <w:spacing w:after="120" w:line="276" w:lineRule="auto"/>
              <w:rPr>
                <w:sz w:val="20"/>
                <w:lang w:eastAsia="en-US"/>
              </w:rPr>
            </w:pPr>
            <w:r w:rsidRPr="000B46A1">
              <w:rPr>
                <w:sz w:val="20"/>
                <w:lang w:eastAsia="en-US"/>
              </w:rPr>
              <w:t>Persons who lost / gave up citizenship</w:t>
            </w:r>
          </w:p>
        </w:tc>
        <w:tc>
          <w:tcPr>
            <w:tcW w:w="1276" w:type="dxa"/>
            <w:tcBorders>
              <w:top w:val="single" w:sz="4" w:space="0" w:color="auto"/>
              <w:left w:val="single" w:sz="4" w:space="0" w:color="auto"/>
              <w:bottom w:val="single" w:sz="4" w:space="0" w:color="auto"/>
              <w:right w:val="single" w:sz="4" w:space="0" w:color="auto"/>
            </w:tcBorders>
            <w:tcMar>
              <w:top w:w="0" w:type="dxa"/>
              <w:left w:w="340" w:type="dxa"/>
              <w:bottom w:w="0" w:type="dxa"/>
              <w:right w:w="340" w:type="dxa"/>
            </w:tcMar>
            <w:hideMark/>
          </w:tcPr>
          <w:p w14:paraId="72D84534" w14:textId="77777777" w:rsidR="00F81A5B" w:rsidRPr="000B46A1" w:rsidRDefault="00F81A5B" w:rsidP="00F81A5B">
            <w:pPr>
              <w:spacing w:after="120" w:line="276" w:lineRule="auto"/>
              <w:rPr>
                <w:sz w:val="20"/>
                <w:lang w:eastAsia="en-US"/>
              </w:rPr>
            </w:pPr>
            <w:r w:rsidRPr="000B46A1">
              <w:rPr>
                <w:sz w:val="20"/>
                <w:lang w:eastAsia="en-US"/>
              </w:rPr>
              <w:t>A</w:t>
            </w:r>
          </w:p>
        </w:tc>
        <w:tc>
          <w:tcPr>
            <w:tcW w:w="1559" w:type="dxa"/>
            <w:tcBorders>
              <w:top w:val="single" w:sz="4" w:space="0" w:color="auto"/>
              <w:left w:val="single" w:sz="4" w:space="0" w:color="auto"/>
              <w:bottom w:val="single" w:sz="4" w:space="0" w:color="auto"/>
              <w:right w:val="single" w:sz="4" w:space="0" w:color="auto"/>
            </w:tcBorders>
            <w:tcMar>
              <w:top w:w="0" w:type="dxa"/>
              <w:left w:w="340" w:type="dxa"/>
              <w:bottom w:w="0" w:type="dxa"/>
              <w:right w:w="340" w:type="dxa"/>
            </w:tcMar>
            <w:hideMark/>
          </w:tcPr>
          <w:p w14:paraId="6DE3C610" w14:textId="77777777" w:rsidR="00F81A5B" w:rsidRPr="000B46A1" w:rsidRDefault="00F81A5B" w:rsidP="00F81A5B">
            <w:pPr>
              <w:spacing w:after="120" w:line="276" w:lineRule="auto"/>
              <w:rPr>
                <w:sz w:val="20"/>
                <w:lang w:eastAsia="en-US"/>
              </w:rPr>
            </w:pPr>
            <w:r w:rsidRPr="000B46A1">
              <w:rPr>
                <w:sz w:val="20"/>
                <w:lang w:eastAsia="en-US"/>
              </w:rPr>
              <w:t>Year</w:t>
            </w:r>
          </w:p>
        </w:tc>
      </w:tr>
      <w:tr w:rsidR="00F81A5B" w:rsidRPr="000B46A1" w14:paraId="22070F0C" w14:textId="77777777" w:rsidTr="00D53492">
        <w:trPr>
          <w:cantSplit/>
        </w:trPr>
        <w:tc>
          <w:tcPr>
            <w:tcW w:w="183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604757CE" w14:textId="77777777" w:rsidR="00F81A5B" w:rsidRPr="000B46A1" w:rsidRDefault="00F81A5B" w:rsidP="00F81A5B">
            <w:pPr>
              <w:spacing w:before="120" w:after="120" w:line="360" w:lineRule="auto"/>
              <w:jc w:val="center"/>
              <w:rPr>
                <w:noProof/>
                <w:sz w:val="20"/>
                <w:szCs w:val="24"/>
              </w:rPr>
            </w:pPr>
            <w:r w:rsidRPr="000B46A1">
              <w:rPr>
                <w:noProof/>
                <w:sz w:val="20"/>
                <w:szCs w:val="24"/>
              </w:rPr>
              <w:t>Housing</w:t>
            </w:r>
          </w:p>
        </w:tc>
        <w:tc>
          <w:tcPr>
            <w:tcW w:w="1701" w:type="dxa"/>
            <w:tcBorders>
              <w:top w:val="nil"/>
              <w:left w:val="single" w:sz="4" w:space="0" w:color="auto"/>
              <w:bottom w:val="single" w:sz="4" w:space="0" w:color="auto"/>
              <w:right w:val="single" w:sz="4" w:space="0" w:color="auto"/>
            </w:tcBorders>
            <w:shd w:val="clear" w:color="auto" w:fill="FFFFFF"/>
            <w:vAlign w:val="center"/>
            <w:hideMark/>
          </w:tcPr>
          <w:p w14:paraId="2C007638" w14:textId="77777777" w:rsidR="00F81A5B" w:rsidRPr="000B46A1" w:rsidRDefault="00F81A5B" w:rsidP="00F81A5B">
            <w:pPr>
              <w:spacing w:before="120" w:after="120" w:line="360" w:lineRule="auto"/>
              <w:jc w:val="center"/>
              <w:rPr>
                <w:noProof/>
                <w:sz w:val="20"/>
                <w:szCs w:val="24"/>
              </w:rPr>
            </w:pPr>
            <w:r w:rsidRPr="000B46A1">
              <w:rPr>
                <w:noProof/>
                <w:sz w:val="20"/>
                <w:szCs w:val="24"/>
              </w:rPr>
              <w:t>Living quarters</w:t>
            </w:r>
          </w:p>
        </w:tc>
        <w:tc>
          <w:tcPr>
            <w:tcW w:w="3402" w:type="dxa"/>
            <w:tcBorders>
              <w:top w:val="nil"/>
              <w:left w:val="nil"/>
              <w:bottom w:val="single" w:sz="4" w:space="0" w:color="auto"/>
              <w:right w:val="single" w:sz="4" w:space="0" w:color="auto"/>
            </w:tcBorders>
            <w:shd w:val="clear" w:color="auto" w:fill="FFFFFF"/>
            <w:vAlign w:val="center"/>
            <w:hideMark/>
          </w:tcPr>
          <w:p w14:paraId="28C409E7" w14:textId="77777777" w:rsidR="00F81A5B" w:rsidRPr="000B46A1" w:rsidRDefault="00F81A5B" w:rsidP="00F81A5B">
            <w:pPr>
              <w:spacing w:before="120" w:after="120" w:line="360" w:lineRule="auto"/>
              <w:jc w:val="center"/>
              <w:rPr>
                <w:noProof/>
                <w:sz w:val="20"/>
                <w:szCs w:val="24"/>
              </w:rPr>
            </w:pPr>
            <w:r w:rsidRPr="000B46A1">
              <w:rPr>
                <w:noProof/>
                <w:sz w:val="20"/>
                <w:szCs w:val="24"/>
              </w:rPr>
              <w:t>Living quarters characteristics</w:t>
            </w:r>
          </w:p>
        </w:tc>
        <w:tc>
          <w:tcPr>
            <w:tcW w:w="1276" w:type="dxa"/>
            <w:tcBorders>
              <w:top w:val="nil"/>
              <w:left w:val="nil"/>
              <w:bottom w:val="single" w:sz="4" w:space="0" w:color="auto"/>
              <w:right w:val="single" w:sz="4" w:space="0" w:color="auto"/>
            </w:tcBorders>
            <w:shd w:val="clear" w:color="auto" w:fill="FFFFFF"/>
            <w:vAlign w:val="center"/>
            <w:hideMark/>
          </w:tcPr>
          <w:p w14:paraId="03BCA84E" w14:textId="77777777" w:rsidR="00F81A5B" w:rsidRPr="000B46A1" w:rsidRDefault="00F81A5B" w:rsidP="00F81A5B">
            <w:pPr>
              <w:spacing w:before="120" w:after="120" w:line="360" w:lineRule="auto"/>
              <w:jc w:val="center"/>
              <w:rPr>
                <w:noProof/>
                <w:sz w:val="20"/>
                <w:szCs w:val="24"/>
              </w:rPr>
            </w:pPr>
            <w:r w:rsidRPr="000B46A1">
              <w:rPr>
                <w:noProof/>
                <w:sz w:val="20"/>
                <w:szCs w:val="24"/>
              </w:rPr>
              <w:t>D</w:t>
            </w:r>
          </w:p>
        </w:tc>
        <w:tc>
          <w:tcPr>
            <w:tcW w:w="1559" w:type="dxa"/>
            <w:tcBorders>
              <w:top w:val="nil"/>
              <w:left w:val="nil"/>
              <w:bottom w:val="single" w:sz="4" w:space="0" w:color="auto"/>
              <w:right w:val="single" w:sz="4" w:space="0" w:color="auto"/>
            </w:tcBorders>
            <w:shd w:val="clear" w:color="auto" w:fill="FFFFFF"/>
            <w:vAlign w:val="center"/>
            <w:hideMark/>
          </w:tcPr>
          <w:p w14:paraId="77917374" w14:textId="77777777" w:rsidR="00F81A5B" w:rsidRPr="000B46A1" w:rsidRDefault="00F81A5B" w:rsidP="00F81A5B">
            <w:pPr>
              <w:spacing w:before="120" w:after="120" w:line="360" w:lineRule="auto"/>
              <w:jc w:val="center"/>
              <w:rPr>
                <w:noProof/>
                <w:sz w:val="20"/>
                <w:szCs w:val="24"/>
              </w:rPr>
            </w:pPr>
            <w:r w:rsidRPr="000B46A1">
              <w:rPr>
                <w:noProof/>
                <w:sz w:val="20"/>
                <w:szCs w:val="24"/>
              </w:rPr>
              <w:t>31.12.YY</w:t>
            </w:r>
          </w:p>
        </w:tc>
      </w:tr>
      <w:tr w:rsidR="00F81A5B" w:rsidRPr="000B46A1" w14:paraId="29621BA0" w14:textId="77777777" w:rsidTr="00D53492">
        <w:trPr>
          <w:cantSplit/>
        </w:trPr>
        <w:tc>
          <w:tcPr>
            <w:tcW w:w="9776" w:type="dxa"/>
            <w:vMerge/>
            <w:tcBorders>
              <w:top w:val="single" w:sz="4" w:space="0" w:color="auto"/>
              <w:left w:val="single" w:sz="4" w:space="0" w:color="auto"/>
              <w:bottom w:val="single" w:sz="4" w:space="0" w:color="auto"/>
              <w:right w:val="single" w:sz="4" w:space="0" w:color="auto"/>
            </w:tcBorders>
            <w:vAlign w:val="center"/>
            <w:hideMark/>
          </w:tcPr>
          <w:p w14:paraId="03D8F40A" w14:textId="77777777" w:rsidR="00F81A5B" w:rsidRPr="000B46A1" w:rsidRDefault="00F81A5B" w:rsidP="00F81A5B">
            <w:pPr>
              <w:spacing w:before="120" w:after="120" w:line="276" w:lineRule="auto"/>
              <w:rPr>
                <w:noProof/>
                <w:sz w:val="20"/>
                <w:szCs w:val="22"/>
              </w:rPr>
            </w:pP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14:paraId="3516CB59" w14:textId="77777777" w:rsidR="00F81A5B" w:rsidRPr="000B46A1" w:rsidRDefault="00F81A5B" w:rsidP="00F81A5B">
            <w:pPr>
              <w:spacing w:before="120" w:after="120" w:line="360" w:lineRule="auto"/>
              <w:jc w:val="center"/>
              <w:rPr>
                <w:noProof/>
                <w:sz w:val="20"/>
                <w:szCs w:val="24"/>
              </w:rPr>
            </w:pPr>
            <w:r w:rsidRPr="000B46A1">
              <w:rPr>
                <w:noProof/>
                <w:sz w:val="20"/>
                <w:szCs w:val="24"/>
              </w:rPr>
              <w:t>Conventional dwellings</w:t>
            </w:r>
          </w:p>
        </w:tc>
        <w:tc>
          <w:tcPr>
            <w:tcW w:w="3402" w:type="dxa"/>
            <w:vMerge w:val="restart"/>
            <w:tcBorders>
              <w:top w:val="single" w:sz="4" w:space="0" w:color="auto"/>
              <w:left w:val="single" w:sz="4" w:space="0" w:color="auto"/>
              <w:bottom w:val="single" w:sz="4" w:space="0" w:color="000000"/>
              <w:right w:val="single" w:sz="4" w:space="0" w:color="auto"/>
            </w:tcBorders>
            <w:shd w:val="clear" w:color="auto" w:fill="FFFFFF"/>
            <w:vAlign w:val="center"/>
            <w:hideMark/>
          </w:tcPr>
          <w:p w14:paraId="4683D326" w14:textId="77777777" w:rsidR="00F81A5B" w:rsidRPr="000B46A1" w:rsidRDefault="00F81A5B" w:rsidP="00F81A5B">
            <w:pPr>
              <w:spacing w:before="120" w:after="120" w:line="360" w:lineRule="auto"/>
              <w:jc w:val="center"/>
              <w:rPr>
                <w:noProof/>
                <w:sz w:val="20"/>
                <w:szCs w:val="24"/>
              </w:rPr>
            </w:pPr>
            <w:r w:rsidRPr="000B46A1">
              <w:rPr>
                <w:noProof/>
                <w:sz w:val="20"/>
                <w:szCs w:val="24"/>
              </w:rPr>
              <w:t>Basic building characteristics</w:t>
            </w:r>
          </w:p>
        </w:tc>
        <w:tc>
          <w:tcPr>
            <w:tcW w:w="1276" w:type="dxa"/>
            <w:tcBorders>
              <w:top w:val="nil"/>
              <w:left w:val="single" w:sz="4" w:space="0" w:color="auto"/>
              <w:bottom w:val="single" w:sz="4" w:space="0" w:color="auto"/>
              <w:right w:val="single" w:sz="4" w:space="0" w:color="auto"/>
            </w:tcBorders>
            <w:shd w:val="clear" w:color="auto" w:fill="FFFFFF"/>
            <w:vAlign w:val="center"/>
            <w:hideMark/>
          </w:tcPr>
          <w:p w14:paraId="4A482D06" w14:textId="77777777" w:rsidR="00F81A5B" w:rsidRPr="000B46A1" w:rsidRDefault="00F81A5B" w:rsidP="00F81A5B">
            <w:pPr>
              <w:spacing w:before="120" w:after="120" w:line="360" w:lineRule="auto"/>
              <w:jc w:val="center"/>
              <w:rPr>
                <w:noProof/>
                <w:sz w:val="20"/>
                <w:szCs w:val="24"/>
              </w:rPr>
            </w:pPr>
            <w:r w:rsidRPr="000B46A1">
              <w:rPr>
                <w:noProof/>
                <w:sz w:val="20"/>
                <w:szCs w:val="24"/>
              </w:rPr>
              <w:t>MA</w:t>
            </w:r>
          </w:p>
        </w:tc>
        <w:tc>
          <w:tcPr>
            <w:tcW w:w="1559" w:type="dxa"/>
            <w:tcBorders>
              <w:top w:val="nil"/>
              <w:left w:val="nil"/>
              <w:bottom w:val="single" w:sz="4" w:space="0" w:color="auto"/>
              <w:right w:val="single" w:sz="4" w:space="0" w:color="auto"/>
            </w:tcBorders>
            <w:shd w:val="clear" w:color="auto" w:fill="FFFFFF"/>
            <w:vAlign w:val="center"/>
            <w:hideMark/>
          </w:tcPr>
          <w:p w14:paraId="4DF41F50" w14:textId="77777777" w:rsidR="00F81A5B" w:rsidRPr="000B46A1" w:rsidRDefault="00F81A5B" w:rsidP="00F81A5B">
            <w:pPr>
              <w:spacing w:before="120" w:after="120" w:line="360" w:lineRule="auto"/>
              <w:jc w:val="center"/>
              <w:rPr>
                <w:noProof/>
                <w:sz w:val="20"/>
                <w:szCs w:val="24"/>
              </w:rPr>
            </w:pPr>
            <w:r w:rsidRPr="000B46A1">
              <w:rPr>
                <w:noProof/>
                <w:sz w:val="20"/>
                <w:szCs w:val="24"/>
              </w:rPr>
              <w:t>31.12.YY</w:t>
            </w:r>
          </w:p>
        </w:tc>
      </w:tr>
      <w:tr w:rsidR="00F81A5B" w:rsidRPr="000B46A1" w14:paraId="7199ED3F" w14:textId="77777777" w:rsidTr="00D53492">
        <w:trPr>
          <w:cantSplit/>
        </w:trPr>
        <w:tc>
          <w:tcPr>
            <w:tcW w:w="9776" w:type="dxa"/>
            <w:vMerge/>
            <w:tcBorders>
              <w:top w:val="single" w:sz="4" w:space="0" w:color="auto"/>
              <w:left w:val="single" w:sz="4" w:space="0" w:color="auto"/>
              <w:bottom w:val="single" w:sz="4" w:space="0" w:color="auto"/>
              <w:right w:val="single" w:sz="4" w:space="0" w:color="auto"/>
            </w:tcBorders>
            <w:vAlign w:val="center"/>
            <w:hideMark/>
          </w:tcPr>
          <w:p w14:paraId="33CAA19E" w14:textId="77777777" w:rsidR="00F81A5B" w:rsidRPr="000B46A1" w:rsidRDefault="00F81A5B" w:rsidP="00F81A5B">
            <w:pPr>
              <w:spacing w:before="120" w:after="120" w:line="276" w:lineRule="auto"/>
              <w:rPr>
                <w:noProof/>
                <w:sz w:val="20"/>
                <w:szCs w:val="22"/>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7FA6F1BA" w14:textId="77777777" w:rsidR="00F81A5B" w:rsidRPr="000B46A1" w:rsidRDefault="00F81A5B" w:rsidP="00F81A5B">
            <w:pPr>
              <w:spacing w:before="120" w:after="120" w:line="276" w:lineRule="auto"/>
              <w:rPr>
                <w:noProof/>
                <w:sz w:val="20"/>
                <w:szCs w:val="22"/>
              </w:rPr>
            </w:pPr>
          </w:p>
        </w:tc>
        <w:tc>
          <w:tcPr>
            <w:tcW w:w="3402" w:type="dxa"/>
            <w:vMerge/>
            <w:tcBorders>
              <w:top w:val="single" w:sz="4" w:space="0" w:color="auto"/>
              <w:left w:val="single" w:sz="4" w:space="0" w:color="auto"/>
              <w:bottom w:val="single" w:sz="4" w:space="0" w:color="000000"/>
              <w:right w:val="single" w:sz="4" w:space="0" w:color="auto"/>
            </w:tcBorders>
            <w:vAlign w:val="center"/>
            <w:hideMark/>
          </w:tcPr>
          <w:p w14:paraId="429469C7" w14:textId="77777777" w:rsidR="00F81A5B" w:rsidRPr="000B46A1" w:rsidRDefault="00F81A5B" w:rsidP="00F81A5B">
            <w:pPr>
              <w:spacing w:before="120" w:after="120" w:line="276" w:lineRule="auto"/>
              <w:rPr>
                <w:noProof/>
                <w:sz w:val="20"/>
                <w:szCs w:val="22"/>
              </w:rPr>
            </w:pPr>
          </w:p>
        </w:tc>
        <w:tc>
          <w:tcPr>
            <w:tcW w:w="1276" w:type="dxa"/>
            <w:tcBorders>
              <w:top w:val="nil"/>
              <w:left w:val="single" w:sz="4" w:space="0" w:color="auto"/>
              <w:bottom w:val="single" w:sz="4" w:space="0" w:color="auto"/>
              <w:right w:val="single" w:sz="4" w:space="0" w:color="auto"/>
            </w:tcBorders>
            <w:shd w:val="clear" w:color="auto" w:fill="FFFFFF"/>
            <w:vAlign w:val="center"/>
            <w:hideMark/>
          </w:tcPr>
          <w:p w14:paraId="52AABED9" w14:textId="77777777" w:rsidR="00F81A5B" w:rsidRPr="000B46A1" w:rsidRDefault="00F81A5B" w:rsidP="00F81A5B">
            <w:pPr>
              <w:spacing w:before="120" w:after="120" w:line="360" w:lineRule="auto"/>
              <w:jc w:val="center"/>
              <w:rPr>
                <w:noProof/>
                <w:sz w:val="20"/>
                <w:szCs w:val="24"/>
              </w:rPr>
            </w:pPr>
            <w:r w:rsidRPr="000B46A1">
              <w:rPr>
                <w:noProof/>
                <w:sz w:val="20"/>
                <w:szCs w:val="24"/>
              </w:rPr>
              <w:t>D</w:t>
            </w:r>
          </w:p>
        </w:tc>
        <w:tc>
          <w:tcPr>
            <w:tcW w:w="1559" w:type="dxa"/>
            <w:tcBorders>
              <w:top w:val="nil"/>
              <w:left w:val="nil"/>
              <w:bottom w:val="single" w:sz="4" w:space="0" w:color="auto"/>
              <w:right w:val="single" w:sz="4" w:space="0" w:color="auto"/>
            </w:tcBorders>
            <w:shd w:val="clear" w:color="auto" w:fill="FFFFFF"/>
            <w:vAlign w:val="center"/>
            <w:hideMark/>
          </w:tcPr>
          <w:p w14:paraId="7B687693" w14:textId="77777777" w:rsidR="00F81A5B" w:rsidRPr="000B46A1" w:rsidRDefault="00F81A5B" w:rsidP="00F81A5B">
            <w:pPr>
              <w:spacing w:before="120" w:after="120" w:line="360" w:lineRule="auto"/>
              <w:jc w:val="center"/>
              <w:rPr>
                <w:noProof/>
                <w:sz w:val="20"/>
                <w:szCs w:val="24"/>
              </w:rPr>
            </w:pPr>
            <w:r w:rsidRPr="000B46A1">
              <w:rPr>
                <w:noProof/>
                <w:sz w:val="20"/>
                <w:szCs w:val="24"/>
              </w:rPr>
              <w:t>31.12.YY</w:t>
            </w:r>
          </w:p>
        </w:tc>
      </w:tr>
      <w:tr w:rsidR="00F81A5B" w:rsidRPr="000B46A1" w14:paraId="753B0E69" w14:textId="77777777" w:rsidTr="00D53492">
        <w:trPr>
          <w:cantSplit/>
        </w:trPr>
        <w:tc>
          <w:tcPr>
            <w:tcW w:w="9776" w:type="dxa"/>
            <w:vMerge/>
            <w:tcBorders>
              <w:top w:val="single" w:sz="4" w:space="0" w:color="auto"/>
              <w:left w:val="single" w:sz="4" w:space="0" w:color="auto"/>
              <w:bottom w:val="single" w:sz="4" w:space="0" w:color="auto"/>
              <w:right w:val="single" w:sz="4" w:space="0" w:color="auto"/>
            </w:tcBorders>
            <w:vAlign w:val="center"/>
            <w:hideMark/>
          </w:tcPr>
          <w:p w14:paraId="392F6FDD" w14:textId="77777777" w:rsidR="00F81A5B" w:rsidRPr="000B46A1" w:rsidRDefault="00F81A5B" w:rsidP="00F81A5B">
            <w:pPr>
              <w:spacing w:before="120" w:after="120" w:line="276" w:lineRule="auto"/>
              <w:rPr>
                <w:noProof/>
                <w:sz w:val="20"/>
                <w:szCs w:val="22"/>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6BE3535D" w14:textId="77777777" w:rsidR="00F81A5B" w:rsidRPr="000B46A1" w:rsidRDefault="00F81A5B" w:rsidP="00F81A5B">
            <w:pPr>
              <w:spacing w:before="120" w:after="120" w:line="276" w:lineRule="auto"/>
              <w:rPr>
                <w:noProof/>
                <w:sz w:val="20"/>
                <w:szCs w:val="22"/>
              </w:rPr>
            </w:pPr>
          </w:p>
        </w:tc>
        <w:tc>
          <w:tcPr>
            <w:tcW w:w="3402" w:type="dxa"/>
            <w:vMerge w:val="restart"/>
            <w:tcBorders>
              <w:top w:val="single" w:sz="4" w:space="0" w:color="000000"/>
              <w:left w:val="single" w:sz="4" w:space="0" w:color="auto"/>
              <w:bottom w:val="single" w:sz="4" w:space="0" w:color="auto"/>
              <w:right w:val="single" w:sz="4" w:space="0" w:color="auto"/>
            </w:tcBorders>
            <w:vAlign w:val="center"/>
            <w:hideMark/>
          </w:tcPr>
          <w:p w14:paraId="0B020E13" w14:textId="77777777" w:rsidR="00F81A5B" w:rsidRPr="000B46A1" w:rsidRDefault="00F81A5B" w:rsidP="00F81A5B">
            <w:pPr>
              <w:spacing w:before="120" w:after="120" w:line="360" w:lineRule="auto"/>
              <w:jc w:val="center"/>
              <w:rPr>
                <w:noProof/>
                <w:sz w:val="20"/>
                <w:szCs w:val="24"/>
              </w:rPr>
            </w:pPr>
            <w:r w:rsidRPr="000B46A1">
              <w:rPr>
                <w:noProof/>
                <w:sz w:val="20"/>
                <w:szCs w:val="24"/>
              </w:rPr>
              <w:t>Energy related building characteristics</w:t>
            </w:r>
          </w:p>
        </w:tc>
        <w:tc>
          <w:tcPr>
            <w:tcW w:w="1276" w:type="dxa"/>
            <w:tcBorders>
              <w:top w:val="nil"/>
              <w:left w:val="single" w:sz="4" w:space="0" w:color="auto"/>
              <w:bottom w:val="single" w:sz="4" w:space="0" w:color="auto"/>
              <w:right w:val="single" w:sz="4" w:space="0" w:color="auto"/>
            </w:tcBorders>
            <w:shd w:val="clear" w:color="auto" w:fill="FFFFFF"/>
            <w:vAlign w:val="center"/>
            <w:hideMark/>
          </w:tcPr>
          <w:p w14:paraId="68E2A8F8" w14:textId="77777777" w:rsidR="00F81A5B" w:rsidRPr="000B46A1" w:rsidRDefault="00F81A5B" w:rsidP="00F81A5B">
            <w:pPr>
              <w:spacing w:before="120" w:after="120" w:line="360" w:lineRule="auto"/>
              <w:jc w:val="center"/>
              <w:rPr>
                <w:noProof/>
                <w:sz w:val="20"/>
                <w:szCs w:val="24"/>
              </w:rPr>
            </w:pPr>
            <w:r w:rsidRPr="000B46A1">
              <w:rPr>
                <w:noProof/>
                <w:sz w:val="20"/>
                <w:szCs w:val="24"/>
              </w:rPr>
              <w:t xml:space="preserve">MA </w:t>
            </w:r>
            <w:r w:rsidRPr="000B46A1">
              <w:rPr>
                <w:noProof/>
                <w:sz w:val="20"/>
                <w:szCs w:val="24"/>
              </w:rPr>
              <w:br/>
              <w:t>(A from 2031 onwards)</w:t>
            </w:r>
          </w:p>
        </w:tc>
        <w:tc>
          <w:tcPr>
            <w:tcW w:w="1559" w:type="dxa"/>
            <w:tcBorders>
              <w:top w:val="nil"/>
              <w:left w:val="nil"/>
              <w:bottom w:val="single" w:sz="4" w:space="0" w:color="auto"/>
              <w:right w:val="single" w:sz="4" w:space="0" w:color="auto"/>
            </w:tcBorders>
            <w:shd w:val="clear" w:color="auto" w:fill="FFFFFF"/>
            <w:vAlign w:val="center"/>
            <w:hideMark/>
          </w:tcPr>
          <w:p w14:paraId="5A792987" w14:textId="77777777" w:rsidR="00F81A5B" w:rsidRPr="000B46A1" w:rsidRDefault="00F81A5B" w:rsidP="00F81A5B">
            <w:pPr>
              <w:spacing w:before="120" w:after="120" w:line="360" w:lineRule="auto"/>
              <w:jc w:val="center"/>
              <w:rPr>
                <w:noProof/>
                <w:sz w:val="20"/>
                <w:szCs w:val="24"/>
              </w:rPr>
            </w:pPr>
            <w:r w:rsidRPr="000B46A1">
              <w:rPr>
                <w:noProof/>
                <w:sz w:val="20"/>
                <w:szCs w:val="24"/>
              </w:rPr>
              <w:t>31.12.YY</w:t>
            </w:r>
          </w:p>
        </w:tc>
      </w:tr>
      <w:tr w:rsidR="00F81A5B" w:rsidRPr="000B46A1" w14:paraId="338909D7" w14:textId="77777777" w:rsidTr="00D53492">
        <w:trPr>
          <w:cantSplit/>
        </w:trPr>
        <w:tc>
          <w:tcPr>
            <w:tcW w:w="9776" w:type="dxa"/>
            <w:vMerge/>
            <w:tcBorders>
              <w:top w:val="single" w:sz="4" w:space="0" w:color="auto"/>
              <w:left w:val="single" w:sz="4" w:space="0" w:color="auto"/>
              <w:bottom w:val="single" w:sz="4" w:space="0" w:color="auto"/>
              <w:right w:val="single" w:sz="4" w:space="0" w:color="auto"/>
            </w:tcBorders>
            <w:vAlign w:val="center"/>
            <w:hideMark/>
          </w:tcPr>
          <w:p w14:paraId="75A4C156" w14:textId="77777777" w:rsidR="00F81A5B" w:rsidRPr="000B46A1" w:rsidRDefault="00F81A5B" w:rsidP="00F81A5B">
            <w:pPr>
              <w:spacing w:before="120" w:after="120" w:line="276" w:lineRule="auto"/>
              <w:rPr>
                <w:noProof/>
                <w:sz w:val="20"/>
                <w:szCs w:val="22"/>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4C99EF5C" w14:textId="77777777" w:rsidR="00F81A5B" w:rsidRPr="000B46A1" w:rsidRDefault="00F81A5B" w:rsidP="00F81A5B">
            <w:pPr>
              <w:spacing w:before="120" w:after="120" w:line="276" w:lineRule="auto"/>
              <w:rPr>
                <w:noProof/>
                <w:sz w:val="20"/>
                <w:szCs w:val="22"/>
              </w:rPr>
            </w:pPr>
          </w:p>
        </w:tc>
        <w:tc>
          <w:tcPr>
            <w:tcW w:w="3402" w:type="dxa"/>
            <w:vMerge/>
            <w:tcBorders>
              <w:top w:val="single" w:sz="4" w:space="0" w:color="000000"/>
              <w:left w:val="single" w:sz="4" w:space="0" w:color="auto"/>
              <w:bottom w:val="single" w:sz="4" w:space="0" w:color="auto"/>
              <w:right w:val="single" w:sz="4" w:space="0" w:color="auto"/>
            </w:tcBorders>
            <w:vAlign w:val="center"/>
            <w:hideMark/>
          </w:tcPr>
          <w:p w14:paraId="488084A6" w14:textId="77777777" w:rsidR="00F81A5B" w:rsidRPr="000B46A1" w:rsidRDefault="00F81A5B" w:rsidP="00F81A5B">
            <w:pPr>
              <w:spacing w:before="120" w:after="120" w:line="276" w:lineRule="auto"/>
              <w:rPr>
                <w:noProof/>
                <w:sz w:val="20"/>
                <w:szCs w:val="22"/>
              </w:rPr>
            </w:pPr>
          </w:p>
        </w:tc>
        <w:tc>
          <w:tcPr>
            <w:tcW w:w="1276" w:type="dxa"/>
            <w:tcBorders>
              <w:top w:val="nil"/>
              <w:left w:val="single" w:sz="4" w:space="0" w:color="auto"/>
              <w:bottom w:val="single" w:sz="4" w:space="0" w:color="auto"/>
              <w:right w:val="single" w:sz="4" w:space="0" w:color="auto"/>
            </w:tcBorders>
            <w:shd w:val="clear" w:color="auto" w:fill="FFFFFF"/>
            <w:vAlign w:val="center"/>
            <w:hideMark/>
          </w:tcPr>
          <w:p w14:paraId="056DA12F" w14:textId="77777777" w:rsidR="00F81A5B" w:rsidRPr="000B46A1" w:rsidRDefault="00F81A5B" w:rsidP="00F81A5B">
            <w:pPr>
              <w:spacing w:before="120" w:after="120" w:line="360" w:lineRule="auto"/>
              <w:jc w:val="center"/>
              <w:rPr>
                <w:noProof/>
                <w:sz w:val="20"/>
                <w:szCs w:val="24"/>
              </w:rPr>
            </w:pPr>
            <w:r w:rsidRPr="000B46A1">
              <w:rPr>
                <w:noProof/>
                <w:sz w:val="20"/>
                <w:szCs w:val="24"/>
              </w:rPr>
              <w:t>D</w:t>
            </w:r>
          </w:p>
        </w:tc>
        <w:tc>
          <w:tcPr>
            <w:tcW w:w="1559" w:type="dxa"/>
            <w:tcBorders>
              <w:top w:val="nil"/>
              <w:left w:val="nil"/>
              <w:bottom w:val="single" w:sz="4" w:space="0" w:color="auto"/>
              <w:right w:val="single" w:sz="4" w:space="0" w:color="auto"/>
            </w:tcBorders>
            <w:shd w:val="clear" w:color="auto" w:fill="FFFFFF"/>
            <w:vAlign w:val="center"/>
            <w:hideMark/>
          </w:tcPr>
          <w:p w14:paraId="59CD497C" w14:textId="77777777" w:rsidR="00F81A5B" w:rsidRPr="000B46A1" w:rsidRDefault="00F81A5B" w:rsidP="00F81A5B">
            <w:pPr>
              <w:spacing w:before="120" w:after="120" w:line="360" w:lineRule="auto"/>
              <w:jc w:val="center"/>
              <w:rPr>
                <w:noProof/>
                <w:sz w:val="20"/>
                <w:szCs w:val="24"/>
              </w:rPr>
            </w:pPr>
            <w:r w:rsidRPr="000B46A1">
              <w:rPr>
                <w:noProof/>
                <w:sz w:val="20"/>
                <w:szCs w:val="24"/>
              </w:rPr>
              <w:t>31.12.YY</w:t>
            </w:r>
          </w:p>
        </w:tc>
      </w:tr>
      <w:tr w:rsidR="00F81A5B" w:rsidRPr="000B46A1" w14:paraId="720A36AB" w14:textId="77777777" w:rsidTr="00D53492">
        <w:trPr>
          <w:cantSplit/>
        </w:trPr>
        <w:tc>
          <w:tcPr>
            <w:tcW w:w="9776" w:type="dxa"/>
            <w:vMerge/>
            <w:tcBorders>
              <w:top w:val="single" w:sz="4" w:space="0" w:color="auto"/>
              <w:left w:val="single" w:sz="4" w:space="0" w:color="auto"/>
              <w:bottom w:val="single" w:sz="4" w:space="0" w:color="auto"/>
              <w:right w:val="single" w:sz="4" w:space="0" w:color="auto"/>
            </w:tcBorders>
            <w:vAlign w:val="center"/>
            <w:hideMark/>
          </w:tcPr>
          <w:p w14:paraId="2B4B573F" w14:textId="77777777" w:rsidR="00F81A5B" w:rsidRPr="000B46A1" w:rsidRDefault="00F81A5B" w:rsidP="00F81A5B">
            <w:pPr>
              <w:spacing w:before="120" w:after="120" w:line="276" w:lineRule="auto"/>
              <w:rPr>
                <w:noProof/>
                <w:sz w:val="20"/>
                <w:szCs w:val="22"/>
              </w:rPr>
            </w:pPr>
          </w:p>
        </w:tc>
        <w:tc>
          <w:tcPr>
            <w:tcW w:w="1701" w:type="dxa"/>
            <w:vMerge w:val="restart"/>
            <w:tcBorders>
              <w:top w:val="single" w:sz="4" w:space="0" w:color="auto"/>
              <w:left w:val="single" w:sz="4" w:space="0" w:color="auto"/>
              <w:bottom w:val="single" w:sz="4" w:space="0" w:color="000000"/>
              <w:right w:val="single" w:sz="4" w:space="0" w:color="auto"/>
            </w:tcBorders>
            <w:shd w:val="clear" w:color="auto" w:fill="FFFFFF"/>
            <w:vAlign w:val="center"/>
            <w:hideMark/>
          </w:tcPr>
          <w:p w14:paraId="045ED313" w14:textId="77777777" w:rsidR="00F81A5B" w:rsidRPr="000B46A1" w:rsidRDefault="00F81A5B" w:rsidP="00F81A5B">
            <w:pPr>
              <w:spacing w:before="120" w:after="120" w:line="360" w:lineRule="auto"/>
              <w:jc w:val="center"/>
              <w:rPr>
                <w:noProof/>
                <w:sz w:val="20"/>
                <w:szCs w:val="24"/>
              </w:rPr>
            </w:pPr>
            <w:r w:rsidRPr="000B46A1">
              <w:rPr>
                <w:noProof/>
                <w:sz w:val="20"/>
                <w:szCs w:val="24"/>
              </w:rPr>
              <w:t>Occupied conventional dwellings</w:t>
            </w:r>
          </w:p>
        </w:tc>
        <w:tc>
          <w:tcPr>
            <w:tcW w:w="340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4D42272" w14:textId="77777777" w:rsidR="00F81A5B" w:rsidRPr="000B46A1" w:rsidRDefault="00F81A5B" w:rsidP="00F81A5B">
            <w:pPr>
              <w:spacing w:before="120" w:after="120" w:line="360" w:lineRule="auto"/>
              <w:jc w:val="center"/>
              <w:rPr>
                <w:noProof/>
                <w:sz w:val="20"/>
                <w:szCs w:val="24"/>
              </w:rPr>
            </w:pPr>
            <w:r w:rsidRPr="000B46A1">
              <w:rPr>
                <w:noProof/>
                <w:sz w:val="20"/>
                <w:szCs w:val="24"/>
              </w:rPr>
              <w:t>Characteristics of occupied conventional dwellings</w:t>
            </w:r>
          </w:p>
        </w:tc>
        <w:tc>
          <w:tcPr>
            <w:tcW w:w="1276" w:type="dxa"/>
            <w:tcBorders>
              <w:top w:val="nil"/>
              <w:left w:val="nil"/>
              <w:bottom w:val="single" w:sz="4" w:space="0" w:color="auto"/>
              <w:right w:val="single" w:sz="4" w:space="0" w:color="auto"/>
            </w:tcBorders>
            <w:shd w:val="clear" w:color="auto" w:fill="FFFFFF"/>
            <w:vAlign w:val="center"/>
            <w:hideMark/>
          </w:tcPr>
          <w:p w14:paraId="193A3F24" w14:textId="77777777" w:rsidR="00F81A5B" w:rsidRPr="000B46A1" w:rsidRDefault="00F81A5B" w:rsidP="00F81A5B">
            <w:pPr>
              <w:spacing w:before="120" w:after="120" w:line="360" w:lineRule="auto"/>
              <w:jc w:val="center"/>
              <w:rPr>
                <w:noProof/>
                <w:sz w:val="20"/>
                <w:szCs w:val="24"/>
              </w:rPr>
            </w:pPr>
            <w:r w:rsidRPr="000B46A1">
              <w:rPr>
                <w:noProof/>
                <w:sz w:val="20"/>
                <w:szCs w:val="24"/>
              </w:rPr>
              <w:t>D</w:t>
            </w:r>
          </w:p>
        </w:tc>
        <w:tc>
          <w:tcPr>
            <w:tcW w:w="1559" w:type="dxa"/>
            <w:tcBorders>
              <w:top w:val="nil"/>
              <w:left w:val="nil"/>
              <w:bottom w:val="single" w:sz="4" w:space="0" w:color="auto"/>
              <w:right w:val="single" w:sz="4" w:space="0" w:color="auto"/>
            </w:tcBorders>
            <w:shd w:val="clear" w:color="auto" w:fill="FFFFFF"/>
            <w:vAlign w:val="center"/>
            <w:hideMark/>
          </w:tcPr>
          <w:p w14:paraId="6A9505BE" w14:textId="77777777" w:rsidR="00F81A5B" w:rsidRPr="000B46A1" w:rsidRDefault="00F81A5B" w:rsidP="00F81A5B">
            <w:pPr>
              <w:spacing w:before="120" w:after="120" w:line="360" w:lineRule="auto"/>
              <w:jc w:val="center"/>
              <w:rPr>
                <w:noProof/>
                <w:sz w:val="20"/>
                <w:szCs w:val="24"/>
              </w:rPr>
            </w:pPr>
            <w:r w:rsidRPr="000B46A1">
              <w:rPr>
                <w:noProof/>
                <w:sz w:val="20"/>
                <w:szCs w:val="24"/>
              </w:rPr>
              <w:t>31.12.YY</w:t>
            </w:r>
          </w:p>
        </w:tc>
      </w:tr>
      <w:tr w:rsidR="00F81A5B" w:rsidRPr="000B46A1" w14:paraId="7DBE56F6" w14:textId="77777777" w:rsidTr="00D53492">
        <w:trPr>
          <w:cantSplit/>
        </w:trPr>
        <w:tc>
          <w:tcPr>
            <w:tcW w:w="9776" w:type="dxa"/>
            <w:vMerge/>
            <w:tcBorders>
              <w:top w:val="single" w:sz="4" w:space="0" w:color="auto"/>
              <w:left w:val="single" w:sz="4" w:space="0" w:color="auto"/>
              <w:bottom w:val="single" w:sz="4" w:space="0" w:color="auto"/>
              <w:right w:val="single" w:sz="4" w:space="0" w:color="auto"/>
            </w:tcBorders>
            <w:vAlign w:val="center"/>
            <w:hideMark/>
          </w:tcPr>
          <w:p w14:paraId="0CE02680" w14:textId="77777777" w:rsidR="00F81A5B" w:rsidRPr="000B46A1" w:rsidRDefault="00F81A5B" w:rsidP="00F81A5B">
            <w:pPr>
              <w:spacing w:before="120" w:after="120" w:line="276" w:lineRule="auto"/>
              <w:rPr>
                <w:noProof/>
                <w:sz w:val="20"/>
                <w:szCs w:val="22"/>
              </w:rPr>
            </w:pPr>
          </w:p>
        </w:tc>
        <w:tc>
          <w:tcPr>
            <w:tcW w:w="1701" w:type="dxa"/>
            <w:vMerge/>
            <w:tcBorders>
              <w:top w:val="single" w:sz="4" w:space="0" w:color="auto"/>
              <w:left w:val="single" w:sz="4" w:space="0" w:color="auto"/>
              <w:bottom w:val="single" w:sz="4" w:space="0" w:color="000000"/>
              <w:right w:val="single" w:sz="4" w:space="0" w:color="auto"/>
            </w:tcBorders>
            <w:vAlign w:val="center"/>
            <w:hideMark/>
          </w:tcPr>
          <w:p w14:paraId="0E31B107" w14:textId="77777777" w:rsidR="00F81A5B" w:rsidRPr="000B46A1" w:rsidRDefault="00F81A5B" w:rsidP="00F81A5B">
            <w:pPr>
              <w:spacing w:before="120" w:after="120" w:line="276" w:lineRule="auto"/>
              <w:rPr>
                <w:noProof/>
                <w:sz w:val="20"/>
                <w:szCs w:val="22"/>
              </w:rPr>
            </w:pPr>
          </w:p>
        </w:tc>
        <w:tc>
          <w:tcPr>
            <w:tcW w:w="3402" w:type="dxa"/>
            <w:tcBorders>
              <w:top w:val="nil"/>
              <w:left w:val="single" w:sz="4" w:space="0" w:color="auto"/>
              <w:bottom w:val="single" w:sz="4" w:space="0" w:color="auto"/>
              <w:right w:val="single" w:sz="4" w:space="0" w:color="auto"/>
            </w:tcBorders>
            <w:shd w:val="clear" w:color="auto" w:fill="FFFFFF"/>
            <w:vAlign w:val="center"/>
            <w:hideMark/>
          </w:tcPr>
          <w:p w14:paraId="236119AF" w14:textId="77777777" w:rsidR="00F81A5B" w:rsidRPr="000B46A1" w:rsidRDefault="00F81A5B" w:rsidP="00F81A5B">
            <w:pPr>
              <w:spacing w:before="120" w:after="120" w:line="360" w:lineRule="auto"/>
              <w:jc w:val="center"/>
              <w:rPr>
                <w:noProof/>
                <w:sz w:val="20"/>
                <w:szCs w:val="24"/>
              </w:rPr>
            </w:pPr>
            <w:r w:rsidRPr="000B46A1">
              <w:rPr>
                <w:noProof/>
                <w:sz w:val="20"/>
                <w:szCs w:val="24"/>
              </w:rPr>
              <w:t>Usage of occupied conventional dwellings</w:t>
            </w:r>
          </w:p>
        </w:tc>
        <w:tc>
          <w:tcPr>
            <w:tcW w:w="1276" w:type="dxa"/>
            <w:tcBorders>
              <w:top w:val="nil"/>
              <w:left w:val="nil"/>
              <w:bottom w:val="single" w:sz="4" w:space="0" w:color="auto"/>
              <w:right w:val="single" w:sz="4" w:space="0" w:color="auto"/>
            </w:tcBorders>
            <w:shd w:val="clear" w:color="auto" w:fill="FFFFFF"/>
            <w:vAlign w:val="center"/>
            <w:hideMark/>
          </w:tcPr>
          <w:p w14:paraId="5F2314A1" w14:textId="77777777" w:rsidR="00F81A5B" w:rsidRPr="000B46A1" w:rsidRDefault="00F81A5B" w:rsidP="00F81A5B">
            <w:pPr>
              <w:spacing w:before="120" w:after="120" w:line="360" w:lineRule="auto"/>
              <w:jc w:val="center"/>
              <w:rPr>
                <w:noProof/>
                <w:sz w:val="20"/>
                <w:szCs w:val="24"/>
              </w:rPr>
            </w:pPr>
            <w:r w:rsidRPr="000B46A1">
              <w:rPr>
                <w:noProof/>
                <w:sz w:val="20"/>
                <w:szCs w:val="24"/>
              </w:rPr>
              <w:t>D</w:t>
            </w:r>
          </w:p>
        </w:tc>
        <w:tc>
          <w:tcPr>
            <w:tcW w:w="1559" w:type="dxa"/>
            <w:tcBorders>
              <w:top w:val="nil"/>
              <w:left w:val="nil"/>
              <w:bottom w:val="single" w:sz="4" w:space="0" w:color="auto"/>
              <w:right w:val="single" w:sz="4" w:space="0" w:color="auto"/>
            </w:tcBorders>
            <w:shd w:val="clear" w:color="auto" w:fill="FFFFFF"/>
            <w:vAlign w:val="center"/>
            <w:hideMark/>
          </w:tcPr>
          <w:p w14:paraId="5FDB5E52" w14:textId="77777777" w:rsidR="00F81A5B" w:rsidRPr="000B46A1" w:rsidRDefault="00F81A5B" w:rsidP="00F81A5B">
            <w:pPr>
              <w:spacing w:before="120" w:after="120" w:line="360" w:lineRule="auto"/>
              <w:jc w:val="center"/>
              <w:rPr>
                <w:noProof/>
                <w:sz w:val="20"/>
                <w:szCs w:val="24"/>
              </w:rPr>
            </w:pPr>
            <w:r w:rsidRPr="000B46A1">
              <w:rPr>
                <w:noProof/>
                <w:sz w:val="20"/>
                <w:szCs w:val="24"/>
              </w:rPr>
              <w:t>31.12.YY</w:t>
            </w:r>
          </w:p>
        </w:tc>
      </w:tr>
      <w:tr w:rsidR="00F81A5B" w:rsidRPr="000B46A1" w14:paraId="30508455" w14:textId="77777777" w:rsidTr="00D53492">
        <w:trPr>
          <w:cantSplit/>
        </w:trPr>
        <w:tc>
          <w:tcPr>
            <w:tcW w:w="1838" w:type="dxa"/>
            <w:vMerge w:val="restart"/>
            <w:tcBorders>
              <w:top w:val="single" w:sz="4" w:space="0" w:color="auto"/>
              <w:left w:val="single" w:sz="8" w:space="0" w:color="auto"/>
              <w:bottom w:val="single" w:sz="4" w:space="0" w:color="000000"/>
              <w:right w:val="single" w:sz="4" w:space="0" w:color="auto"/>
            </w:tcBorders>
            <w:shd w:val="clear" w:color="auto" w:fill="FFFFFF"/>
            <w:vAlign w:val="center"/>
            <w:hideMark/>
          </w:tcPr>
          <w:p w14:paraId="0A1B2025" w14:textId="77777777" w:rsidR="00F81A5B" w:rsidRPr="000B46A1" w:rsidRDefault="00F81A5B" w:rsidP="00F81A5B">
            <w:pPr>
              <w:spacing w:before="120" w:after="120" w:line="360" w:lineRule="auto"/>
              <w:jc w:val="center"/>
              <w:rPr>
                <w:noProof/>
                <w:sz w:val="20"/>
                <w:szCs w:val="24"/>
              </w:rPr>
            </w:pPr>
            <w:r w:rsidRPr="000B46A1">
              <w:rPr>
                <w:noProof/>
                <w:sz w:val="20"/>
                <w:szCs w:val="24"/>
              </w:rPr>
              <w:t>Families and households</w:t>
            </w:r>
          </w:p>
        </w:tc>
        <w:tc>
          <w:tcPr>
            <w:tcW w:w="1701" w:type="dxa"/>
            <w:tcBorders>
              <w:top w:val="nil"/>
              <w:left w:val="nil"/>
              <w:bottom w:val="single" w:sz="4" w:space="0" w:color="auto"/>
              <w:right w:val="single" w:sz="4" w:space="0" w:color="auto"/>
            </w:tcBorders>
            <w:shd w:val="clear" w:color="auto" w:fill="FFFFFF"/>
            <w:vAlign w:val="center"/>
            <w:hideMark/>
          </w:tcPr>
          <w:p w14:paraId="4DACD9D2" w14:textId="77777777" w:rsidR="00F81A5B" w:rsidRPr="000B46A1" w:rsidRDefault="00F81A5B" w:rsidP="00F81A5B">
            <w:pPr>
              <w:spacing w:before="120" w:after="120" w:line="360" w:lineRule="auto"/>
              <w:jc w:val="center"/>
              <w:rPr>
                <w:noProof/>
                <w:sz w:val="20"/>
                <w:szCs w:val="24"/>
              </w:rPr>
            </w:pPr>
            <w:r w:rsidRPr="000B46A1">
              <w:rPr>
                <w:noProof/>
                <w:sz w:val="20"/>
                <w:szCs w:val="24"/>
              </w:rPr>
              <w:t>Families</w:t>
            </w:r>
          </w:p>
        </w:tc>
        <w:tc>
          <w:tcPr>
            <w:tcW w:w="3402" w:type="dxa"/>
            <w:tcBorders>
              <w:top w:val="nil"/>
              <w:left w:val="nil"/>
              <w:bottom w:val="single" w:sz="4" w:space="0" w:color="auto"/>
              <w:right w:val="single" w:sz="4" w:space="0" w:color="auto"/>
            </w:tcBorders>
            <w:shd w:val="clear" w:color="auto" w:fill="FFFFFF"/>
            <w:vAlign w:val="center"/>
            <w:hideMark/>
          </w:tcPr>
          <w:p w14:paraId="7B2D37D5" w14:textId="77777777" w:rsidR="00F81A5B" w:rsidRPr="000B46A1" w:rsidRDefault="00F81A5B" w:rsidP="00F81A5B">
            <w:pPr>
              <w:spacing w:before="120" w:after="120" w:line="360" w:lineRule="auto"/>
              <w:jc w:val="center"/>
              <w:rPr>
                <w:noProof/>
                <w:sz w:val="20"/>
                <w:szCs w:val="24"/>
              </w:rPr>
            </w:pPr>
            <w:r w:rsidRPr="000B46A1">
              <w:rPr>
                <w:noProof/>
                <w:sz w:val="20"/>
                <w:szCs w:val="24"/>
              </w:rPr>
              <w:t>Family characteristics</w:t>
            </w:r>
          </w:p>
        </w:tc>
        <w:tc>
          <w:tcPr>
            <w:tcW w:w="1276" w:type="dxa"/>
            <w:tcBorders>
              <w:top w:val="nil"/>
              <w:left w:val="single" w:sz="4" w:space="0" w:color="auto"/>
              <w:bottom w:val="single" w:sz="4" w:space="0" w:color="auto"/>
              <w:right w:val="single" w:sz="4" w:space="0" w:color="auto"/>
            </w:tcBorders>
            <w:shd w:val="clear" w:color="auto" w:fill="FFFFFF"/>
            <w:vAlign w:val="center"/>
            <w:hideMark/>
          </w:tcPr>
          <w:p w14:paraId="10C3F1D3" w14:textId="77777777" w:rsidR="00F81A5B" w:rsidRPr="000B46A1" w:rsidRDefault="00F81A5B" w:rsidP="00F81A5B">
            <w:pPr>
              <w:spacing w:before="120" w:after="120" w:line="360" w:lineRule="auto"/>
              <w:jc w:val="center"/>
              <w:rPr>
                <w:noProof/>
                <w:sz w:val="20"/>
                <w:szCs w:val="24"/>
              </w:rPr>
            </w:pPr>
            <w:r w:rsidRPr="000B46A1">
              <w:rPr>
                <w:noProof/>
                <w:sz w:val="20"/>
                <w:szCs w:val="24"/>
              </w:rPr>
              <w:t>D</w:t>
            </w:r>
          </w:p>
        </w:tc>
        <w:tc>
          <w:tcPr>
            <w:tcW w:w="1559" w:type="dxa"/>
            <w:tcBorders>
              <w:top w:val="nil"/>
              <w:left w:val="nil"/>
              <w:bottom w:val="single" w:sz="4" w:space="0" w:color="auto"/>
              <w:right w:val="single" w:sz="4" w:space="0" w:color="auto"/>
            </w:tcBorders>
            <w:shd w:val="clear" w:color="auto" w:fill="FFFFFF"/>
            <w:vAlign w:val="center"/>
            <w:hideMark/>
          </w:tcPr>
          <w:p w14:paraId="4820E07A" w14:textId="77777777" w:rsidR="00F81A5B" w:rsidRPr="000B46A1" w:rsidRDefault="00F81A5B" w:rsidP="00F81A5B">
            <w:pPr>
              <w:spacing w:before="120" w:after="120" w:line="360" w:lineRule="auto"/>
              <w:jc w:val="center"/>
              <w:rPr>
                <w:noProof/>
                <w:sz w:val="20"/>
                <w:szCs w:val="24"/>
              </w:rPr>
            </w:pPr>
            <w:r w:rsidRPr="000B46A1">
              <w:rPr>
                <w:noProof/>
                <w:sz w:val="20"/>
                <w:szCs w:val="24"/>
              </w:rPr>
              <w:t>31.12.YY</w:t>
            </w:r>
          </w:p>
        </w:tc>
      </w:tr>
      <w:tr w:rsidR="00F81A5B" w:rsidRPr="000B46A1" w14:paraId="0A17D2BB" w14:textId="77777777" w:rsidTr="00D53492">
        <w:trPr>
          <w:cantSplit/>
        </w:trPr>
        <w:tc>
          <w:tcPr>
            <w:tcW w:w="9776" w:type="dxa"/>
            <w:vMerge/>
            <w:tcBorders>
              <w:top w:val="single" w:sz="4" w:space="0" w:color="auto"/>
              <w:left w:val="single" w:sz="8" w:space="0" w:color="auto"/>
              <w:bottom w:val="single" w:sz="4" w:space="0" w:color="000000"/>
              <w:right w:val="single" w:sz="4" w:space="0" w:color="auto"/>
            </w:tcBorders>
            <w:vAlign w:val="center"/>
            <w:hideMark/>
          </w:tcPr>
          <w:p w14:paraId="1BF18CD2" w14:textId="77777777" w:rsidR="00F81A5B" w:rsidRPr="000B46A1" w:rsidRDefault="00F81A5B" w:rsidP="00F81A5B">
            <w:pPr>
              <w:spacing w:before="120" w:after="120" w:line="276" w:lineRule="auto"/>
              <w:rPr>
                <w:noProof/>
                <w:sz w:val="20"/>
                <w:szCs w:val="22"/>
              </w:rPr>
            </w:pPr>
          </w:p>
        </w:tc>
        <w:tc>
          <w:tcPr>
            <w:tcW w:w="1701" w:type="dxa"/>
            <w:vMerge w:val="restart"/>
            <w:tcBorders>
              <w:top w:val="single" w:sz="4" w:space="0" w:color="auto"/>
              <w:left w:val="nil"/>
              <w:bottom w:val="single" w:sz="4" w:space="0" w:color="000000"/>
              <w:right w:val="single" w:sz="4" w:space="0" w:color="auto"/>
            </w:tcBorders>
            <w:shd w:val="clear" w:color="auto" w:fill="FFFFFF"/>
            <w:vAlign w:val="center"/>
            <w:hideMark/>
          </w:tcPr>
          <w:p w14:paraId="1CB402E6" w14:textId="77777777" w:rsidR="00F81A5B" w:rsidRPr="000B46A1" w:rsidRDefault="00F81A5B" w:rsidP="00F81A5B">
            <w:pPr>
              <w:spacing w:before="120" w:after="120" w:line="360" w:lineRule="auto"/>
              <w:jc w:val="center"/>
              <w:rPr>
                <w:noProof/>
                <w:sz w:val="20"/>
                <w:szCs w:val="24"/>
              </w:rPr>
            </w:pPr>
            <w:r w:rsidRPr="000B46A1">
              <w:rPr>
                <w:noProof/>
                <w:sz w:val="20"/>
                <w:szCs w:val="24"/>
              </w:rPr>
              <w:t>Households</w:t>
            </w:r>
          </w:p>
        </w:tc>
        <w:tc>
          <w:tcPr>
            <w:tcW w:w="3402" w:type="dxa"/>
            <w:vMerge w:val="restart"/>
            <w:tcBorders>
              <w:top w:val="single" w:sz="4" w:space="0" w:color="auto"/>
              <w:left w:val="nil"/>
              <w:bottom w:val="nil"/>
              <w:right w:val="single" w:sz="4" w:space="0" w:color="auto"/>
            </w:tcBorders>
            <w:shd w:val="clear" w:color="auto" w:fill="FFFFFF"/>
            <w:vAlign w:val="center"/>
            <w:hideMark/>
          </w:tcPr>
          <w:p w14:paraId="40DFE448" w14:textId="77777777" w:rsidR="00F81A5B" w:rsidRPr="000B46A1" w:rsidRDefault="00F81A5B" w:rsidP="00F81A5B">
            <w:pPr>
              <w:spacing w:before="120" w:after="120" w:line="360" w:lineRule="auto"/>
              <w:jc w:val="center"/>
              <w:rPr>
                <w:noProof/>
                <w:sz w:val="20"/>
                <w:szCs w:val="24"/>
              </w:rPr>
            </w:pPr>
            <w:r w:rsidRPr="000B46A1">
              <w:rPr>
                <w:noProof/>
                <w:sz w:val="20"/>
                <w:szCs w:val="24"/>
              </w:rPr>
              <w:t>Household characteristics</w:t>
            </w:r>
          </w:p>
        </w:tc>
        <w:tc>
          <w:tcPr>
            <w:tcW w:w="1276" w:type="dxa"/>
            <w:tcBorders>
              <w:top w:val="nil"/>
              <w:left w:val="single" w:sz="4" w:space="0" w:color="auto"/>
              <w:bottom w:val="single" w:sz="4" w:space="0" w:color="auto"/>
              <w:right w:val="single" w:sz="4" w:space="0" w:color="auto"/>
            </w:tcBorders>
            <w:shd w:val="clear" w:color="auto" w:fill="FFFFFF"/>
            <w:vAlign w:val="center"/>
            <w:hideMark/>
          </w:tcPr>
          <w:p w14:paraId="684576DF" w14:textId="77777777" w:rsidR="00F81A5B" w:rsidRPr="000B46A1" w:rsidRDefault="00F81A5B" w:rsidP="00F81A5B">
            <w:pPr>
              <w:spacing w:before="120" w:after="120" w:line="360" w:lineRule="auto"/>
              <w:jc w:val="center"/>
              <w:rPr>
                <w:noProof/>
                <w:sz w:val="20"/>
                <w:szCs w:val="24"/>
              </w:rPr>
            </w:pPr>
            <w:r w:rsidRPr="000B46A1">
              <w:rPr>
                <w:noProof/>
                <w:sz w:val="20"/>
                <w:szCs w:val="24"/>
              </w:rPr>
              <w:t>A</w:t>
            </w:r>
          </w:p>
        </w:tc>
        <w:tc>
          <w:tcPr>
            <w:tcW w:w="1559" w:type="dxa"/>
            <w:tcBorders>
              <w:top w:val="nil"/>
              <w:left w:val="nil"/>
              <w:bottom w:val="single" w:sz="4" w:space="0" w:color="auto"/>
              <w:right w:val="single" w:sz="4" w:space="0" w:color="auto"/>
            </w:tcBorders>
            <w:shd w:val="clear" w:color="auto" w:fill="FFFFFF"/>
            <w:vAlign w:val="center"/>
            <w:hideMark/>
          </w:tcPr>
          <w:p w14:paraId="4BEE253F" w14:textId="77777777" w:rsidR="00F81A5B" w:rsidRPr="000B46A1" w:rsidRDefault="00F81A5B" w:rsidP="00F81A5B">
            <w:pPr>
              <w:spacing w:before="120" w:after="120" w:line="360" w:lineRule="auto"/>
              <w:jc w:val="center"/>
              <w:rPr>
                <w:noProof/>
                <w:sz w:val="20"/>
                <w:szCs w:val="24"/>
              </w:rPr>
            </w:pPr>
            <w:r w:rsidRPr="000B46A1">
              <w:rPr>
                <w:noProof/>
                <w:sz w:val="20"/>
                <w:szCs w:val="24"/>
              </w:rPr>
              <w:t>31.12.YY</w:t>
            </w:r>
          </w:p>
        </w:tc>
      </w:tr>
      <w:tr w:rsidR="00F81A5B" w:rsidRPr="000B46A1" w14:paraId="4A35AC92" w14:textId="77777777" w:rsidTr="00D53492">
        <w:trPr>
          <w:cantSplit/>
        </w:trPr>
        <w:tc>
          <w:tcPr>
            <w:tcW w:w="9776" w:type="dxa"/>
            <w:vMerge/>
            <w:tcBorders>
              <w:top w:val="single" w:sz="4" w:space="0" w:color="auto"/>
              <w:left w:val="single" w:sz="8" w:space="0" w:color="auto"/>
              <w:bottom w:val="single" w:sz="4" w:space="0" w:color="000000"/>
              <w:right w:val="single" w:sz="4" w:space="0" w:color="auto"/>
            </w:tcBorders>
            <w:vAlign w:val="center"/>
            <w:hideMark/>
          </w:tcPr>
          <w:p w14:paraId="4EFC188A" w14:textId="77777777" w:rsidR="00F81A5B" w:rsidRPr="000B46A1" w:rsidRDefault="00F81A5B" w:rsidP="00F81A5B">
            <w:pPr>
              <w:spacing w:before="120" w:after="120" w:line="276" w:lineRule="auto"/>
              <w:rPr>
                <w:noProof/>
                <w:sz w:val="20"/>
                <w:szCs w:val="22"/>
              </w:rPr>
            </w:pPr>
          </w:p>
        </w:tc>
        <w:tc>
          <w:tcPr>
            <w:tcW w:w="1701" w:type="dxa"/>
            <w:vMerge/>
            <w:tcBorders>
              <w:top w:val="single" w:sz="4" w:space="0" w:color="auto"/>
              <w:left w:val="nil"/>
              <w:bottom w:val="single" w:sz="4" w:space="0" w:color="000000"/>
              <w:right w:val="single" w:sz="4" w:space="0" w:color="auto"/>
            </w:tcBorders>
            <w:vAlign w:val="center"/>
            <w:hideMark/>
          </w:tcPr>
          <w:p w14:paraId="38464059" w14:textId="77777777" w:rsidR="00F81A5B" w:rsidRPr="000B46A1" w:rsidRDefault="00F81A5B" w:rsidP="00F81A5B">
            <w:pPr>
              <w:spacing w:before="120" w:after="120" w:line="276" w:lineRule="auto"/>
              <w:rPr>
                <w:noProof/>
                <w:sz w:val="20"/>
                <w:szCs w:val="22"/>
              </w:rPr>
            </w:pPr>
          </w:p>
        </w:tc>
        <w:tc>
          <w:tcPr>
            <w:tcW w:w="3402" w:type="dxa"/>
            <w:vMerge/>
            <w:tcBorders>
              <w:top w:val="single" w:sz="4" w:space="0" w:color="auto"/>
              <w:left w:val="nil"/>
              <w:bottom w:val="nil"/>
              <w:right w:val="single" w:sz="4" w:space="0" w:color="auto"/>
            </w:tcBorders>
            <w:vAlign w:val="center"/>
            <w:hideMark/>
          </w:tcPr>
          <w:p w14:paraId="7A1F647B" w14:textId="77777777" w:rsidR="00F81A5B" w:rsidRPr="000B46A1" w:rsidRDefault="00F81A5B" w:rsidP="00F81A5B">
            <w:pPr>
              <w:spacing w:before="120" w:after="120" w:line="276" w:lineRule="auto"/>
              <w:rPr>
                <w:noProof/>
                <w:sz w:val="20"/>
                <w:szCs w:val="22"/>
              </w:rPr>
            </w:pPr>
          </w:p>
        </w:tc>
        <w:tc>
          <w:tcPr>
            <w:tcW w:w="1276" w:type="dxa"/>
            <w:tcBorders>
              <w:top w:val="nil"/>
              <w:left w:val="single" w:sz="4" w:space="0" w:color="auto"/>
              <w:bottom w:val="single" w:sz="4" w:space="0" w:color="auto"/>
              <w:right w:val="single" w:sz="4" w:space="0" w:color="auto"/>
            </w:tcBorders>
            <w:shd w:val="clear" w:color="auto" w:fill="FFFFFF"/>
            <w:vAlign w:val="center"/>
            <w:hideMark/>
          </w:tcPr>
          <w:p w14:paraId="215EADD5" w14:textId="77777777" w:rsidR="00F81A5B" w:rsidRPr="000B46A1" w:rsidRDefault="00F81A5B" w:rsidP="00F81A5B">
            <w:pPr>
              <w:spacing w:before="120" w:after="120" w:line="360" w:lineRule="auto"/>
              <w:jc w:val="center"/>
              <w:rPr>
                <w:noProof/>
                <w:sz w:val="20"/>
                <w:szCs w:val="24"/>
              </w:rPr>
            </w:pPr>
            <w:r w:rsidRPr="000B46A1">
              <w:rPr>
                <w:noProof/>
                <w:sz w:val="20"/>
                <w:szCs w:val="24"/>
              </w:rPr>
              <w:t>MA</w:t>
            </w:r>
          </w:p>
        </w:tc>
        <w:tc>
          <w:tcPr>
            <w:tcW w:w="1559" w:type="dxa"/>
            <w:tcBorders>
              <w:top w:val="nil"/>
              <w:left w:val="nil"/>
              <w:bottom w:val="single" w:sz="4" w:space="0" w:color="auto"/>
              <w:right w:val="single" w:sz="4" w:space="0" w:color="auto"/>
            </w:tcBorders>
            <w:shd w:val="clear" w:color="auto" w:fill="FFFFFF"/>
            <w:vAlign w:val="center"/>
            <w:hideMark/>
          </w:tcPr>
          <w:p w14:paraId="483F94A0" w14:textId="77777777" w:rsidR="00F81A5B" w:rsidRPr="000B46A1" w:rsidRDefault="00F81A5B" w:rsidP="00F81A5B">
            <w:pPr>
              <w:spacing w:before="120" w:after="120" w:line="360" w:lineRule="auto"/>
              <w:jc w:val="center"/>
              <w:rPr>
                <w:noProof/>
                <w:sz w:val="20"/>
                <w:szCs w:val="24"/>
              </w:rPr>
            </w:pPr>
            <w:r w:rsidRPr="000B46A1">
              <w:rPr>
                <w:noProof/>
                <w:sz w:val="20"/>
                <w:szCs w:val="24"/>
              </w:rPr>
              <w:t>31.12.YY</w:t>
            </w:r>
          </w:p>
        </w:tc>
      </w:tr>
      <w:tr w:rsidR="00F81A5B" w:rsidRPr="000B46A1" w14:paraId="7524F9D7" w14:textId="77777777" w:rsidTr="00D53492">
        <w:trPr>
          <w:cantSplit/>
        </w:trPr>
        <w:tc>
          <w:tcPr>
            <w:tcW w:w="9776" w:type="dxa"/>
            <w:vMerge/>
            <w:tcBorders>
              <w:top w:val="single" w:sz="4" w:space="0" w:color="auto"/>
              <w:left w:val="single" w:sz="8" w:space="0" w:color="auto"/>
              <w:bottom w:val="single" w:sz="4" w:space="0" w:color="000000"/>
              <w:right w:val="single" w:sz="4" w:space="0" w:color="auto"/>
            </w:tcBorders>
            <w:vAlign w:val="center"/>
            <w:hideMark/>
          </w:tcPr>
          <w:p w14:paraId="082A2CD7" w14:textId="77777777" w:rsidR="00F81A5B" w:rsidRPr="000B46A1" w:rsidRDefault="00F81A5B" w:rsidP="00F81A5B">
            <w:pPr>
              <w:spacing w:before="120" w:after="120" w:line="276" w:lineRule="auto"/>
              <w:rPr>
                <w:noProof/>
                <w:sz w:val="20"/>
                <w:szCs w:val="22"/>
              </w:rPr>
            </w:pPr>
          </w:p>
        </w:tc>
        <w:tc>
          <w:tcPr>
            <w:tcW w:w="1701" w:type="dxa"/>
            <w:vMerge/>
            <w:tcBorders>
              <w:top w:val="single" w:sz="4" w:space="0" w:color="auto"/>
              <w:left w:val="nil"/>
              <w:bottom w:val="single" w:sz="4" w:space="0" w:color="000000"/>
              <w:right w:val="single" w:sz="4" w:space="0" w:color="auto"/>
            </w:tcBorders>
            <w:vAlign w:val="center"/>
            <w:hideMark/>
          </w:tcPr>
          <w:p w14:paraId="5506F8BD" w14:textId="77777777" w:rsidR="00F81A5B" w:rsidRPr="000B46A1" w:rsidRDefault="00F81A5B" w:rsidP="00F81A5B">
            <w:pPr>
              <w:spacing w:before="120" w:after="120" w:line="276" w:lineRule="auto"/>
              <w:rPr>
                <w:noProof/>
                <w:sz w:val="20"/>
                <w:szCs w:val="22"/>
              </w:rPr>
            </w:pPr>
          </w:p>
        </w:tc>
        <w:tc>
          <w:tcPr>
            <w:tcW w:w="3402" w:type="dxa"/>
            <w:vMerge w:val="restart"/>
            <w:tcBorders>
              <w:top w:val="single" w:sz="4" w:space="0" w:color="auto"/>
              <w:left w:val="single" w:sz="4" w:space="0" w:color="auto"/>
              <w:bottom w:val="single" w:sz="4" w:space="0" w:color="000000"/>
              <w:right w:val="single" w:sz="4" w:space="0" w:color="auto"/>
            </w:tcBorders>
            <w:shd w:val="clear" w:color="auto" w:fill="FFFFFF"/>
            <w:vAlign w:val="center"/>
            <w:hideMark/>
          </w:tcPr>
          <w:p w14:paraId="07815330" w14:textId="77777777" w:rsidR="00F81A5B" w:rsidRPr="000B46A1" w:rsidRDefault="00F81A5B" w:rsidP="00F81A5B">
            <w:pPr>
              <w:spacing w:before="120" w:after="120" w:line="360" w:lineRule="auto"/>
              <w:jc w:val="center"/>
              <w:rPr>
                <w:noProof/>
                <w:sz w:val="20"/>
                <w:szCs w:val="24"/>
              </w:rPr>
            </w:pPr>
            <w:r w:rsidRPr="000B46A1">
              <w:rPr>
                <w:noProof/>
                <w:sz w:val="20"/>
                <w:szCs w:val="24"/>
              </w:rPr>
              <w:t>The person's household situation</w:t>
            </w:r>
          </w:p>
        </w:tc>
        <w:tc>
          <w:tcPr>
            <w:tcW w:w="1276" w:type="dxa"/>
            <w:tcBorders>
              <w:top w:val="nil"/>
              <w:left w:val="single" w:sz="4" w:space="0" w:color="auto"/>
              <w:bottom w:val="single" w:sz="4" w:space="0" w:color="auto"/>
              <w:right w:val="single" w:sz="4" w:space="0" w:color="auto"/>
            </w:tcBorders>
            <w:shd w:val="clear" w:color="auto" w:fill="FFFFFF"/>
            <w:vAlign w:val="center"/>
            <w:hideMark/>
          </w:tcPr>
          <w:p w14:paraId="07611AD4" w14:textId="77777777" w:rsidR="00F81A5B" w:rsidRPr="000B46A1" w:rsidRDefault="00F81A5B" w:rsidP="00F81A5B">
            <w:pPr>
              <w:spacing w:before="120" w:after="120" w:line="360" w:lineRule="auto"/>
              <w:jc w:val="center"/>
              <w:rPr>
                <w:noProof/>
                <w:sz w:val="20"/>
                <w:szCs w:val="24"/>
              </w:rPr>
            </w:pPr>
            <w:r w:rsidRPr="000B46A1">
              <w:rPr>
                <w:noProof/>
                <w:sz w:val="20"/>
                <w:szCs w:val="24"/>
              </w:rPr>
              <w:t>A</w:t>
            </w:r>
          </w:p>
        </w:tc>
        <w:tc>
          <w:tcPr>
            <w:tcW w:w="1559" w:type="dxa"/>
            <w:tcBorders>
              <w:top w:val="nil"/>
              <w:left w:val="nil"/>
              <w:bottom w:val="single" w:sz="4" w:space="0" w:color="auto"/>
              <w:right w:val="single" w:sz="4" w:space="0" w:color="auto"/>
            </w:tcBorders>
            <w:shd w:val="clear" w:color="auto" w:fill="FFFFFF"/>
            <w:vAlign w:val="center"/>
            <w:hideMark/>
          </w:tcPr>
          <w:p w14:paraId="334EE7F2" w14:textId="77777777" w:rsidR="00F81A5B" w:rsidRPr="000B46A1" w:rsidRDefault="00F81A5B" w:rsidP="00F81A5B">
            <w:pPr>
              <w:spacing w:before="120" w:after="120" w:line="360" w:lineRule="auto"/>
              <w:jc w:val="center"/>
              <w:rPr>
                <w:noProof/>
                <w:sz w:val="20"/>
                <w:szCs w:val="24"/>
              </w:rPr>
            </w:pPr>
            <w:r w:rsidRPr="000B46A1">
              <w:rPr>
                <w:noProof/>
                <w:sz w:val="20"/>
                <w:szCs w:val="24"/>
              </w:rPr>
              <w:t>31.12.YY</w:t>
            </w:r>
          </w:p>
        </w:tc>
      </w:tr>
      <w:tr w:rsidR="00F81A5B" w:rsidRPr="000B46A1" w14:paraId="65522BBA" w14:textId="77777777" w:rsidTr="00D53492">
        <w:trPr>
          <w:cantSplit/>
        </w:trPr>
        <w:tc>
          <w:tcPr>
            <w:tcW w:w="9776" w:type="dxa"/>
            <w:vMerge/>
            <w:tcBorders>
              <w:top w:val="single" w:sz="4" w:space="0" w:color="auto"/>
              <w:left w:val="single" w:sz="8" w:space="0" w:color="auto"/>
              <w:bottom w:val="single" w:sz="4" w:space="0" w:color="000000"/>
              <w:right w:val="single" w:sz="4" w:space="0" w:color="auto"/>
            </w:tcBorders>
            <w:vAlign w:val="center"/>
            <w:hideMark/>
          </w:tcPr>
          <w:p w14:paraId="26919F86" w14:textId="77777777" w:rsidR="00F81A5B" w:rsidRPr="000B46A1" w:rsidRDefault="00F81A5B" w:rsidP="00F81A5B">
            <w:pPr>
              <w:spacing w:before="120" w:after="120" w:line="276" w:lineRule="auto"/>
              <w:rPr>
                <w:noProof/>
                <w:sz w:val="20"/>
                <w:szCs w:val="22"/>
              </w:rPr>
            </w:pPr>
          </w:p>
        </w:tc>
        <w:tc>
          <w:tcPr>
            <w:tcW w:w="1701" w:type="dxa"/>
            <w:vMerge/>
            <w:tcBorders>
              <w:top w:val="single" w:sz="4" w:space="0" w:color="auto"/>
              <w:left w:val="nil"/>
              <w:bottom w:val="single" w:sz="4" w:space="0" w:color="000000"/>
              <w:right w:val="single" w:sz="4" w:space="0" w:color="auto"/>
            </w:tcBorders>
            <w:vAlign w:val="center"/>
            <w:hideMark/>
          </w:tcPr>
          <w:p w14:paraId="3BA1993E" w14:textId="77777777" w:rsidR="00F81A5B" w:rsidRPr="000B46A1" w:rsidRDefault="00F81A5B" w:rsidP="00F81A5B">
            <w:pPr>
              <w:spacing w:before="120" w:after="120" w:line="276" w:lineRule="auto"/>
              <w:rPr>
                <w:noProof/>
                <w:sz w:val="20"/>
                <w:szCs w:val="22"/>
              </w:rPr>
            </w:pPr>
          </w:p>
        </w:tc>
        <w:tc>
          <w:tcPr>
            <w:tcW w:w="3402" w:type="dxa"/>
            <w:vMerge/>
            <w:tcBorders>
              <w:top w:val="single" w:sz="4" w:space="0" w:color="auto"/>
              <w:left w:val="single" w:sz="4" w:space="0" w:color="auto"/>
              <w:bottom w:val="single" w:sz="4" w:space="0" w:color="000000"/>
              <w:right w:val="single" w:sz="4" w:space="0" w:color="auto"/>
            </w:tcBorders>
            <w:vAlign w:val="center"/>
            <w:hideMark/>
          </w:tcPr>
          <w:p w14:paraId="4180B6E4" w14:textId="77777777" w:rsidR="00F81A5B" w:rsidRPr="000B46A1" w:rsidRDefault="00F81A5B" w:rsidP="00F81A5B">
            <w:pPr>
              <w:spacing w:before="120" w:after="120" w:line="276" w:lineRule="auto"/>
              <w:rPr>
                <w:noProof/>
                <w:sz w:val="20"/>
                <w:szCs w:val="22"/>
              </w:rPr>
            </w:pPr>
          </w:p>
        </w:tc>
        <w:tc>
          <w:tcPr>
            <w:tcW w:w="1276" w:type="dxa"/>
            <w:tcBorders>
              <w:top w:val="nil"/>
              <w:left w:val="single" w:sz="4" w:space="0" w:color="auto"/>
              <w:bottom w:val="single" w:sz="4" w:space="0" w:color="auto"/>
              <w:right w:val="single" w:sz="4" w:space="0" w:color="auto"/>
            </w:tcBorders>
            <w:shd w:val="clear" w:color="auto" w:fill="FFFFFF"/>
            <w:vAlign w:val="center"/>
            <w:hideMark/>
          </w:tcPr>
          <w:p w14:paraId="01F51ABB" w14:textId="77777777" w:rsidR="00F81A5B" w:rsidRPr="000B46A1" w:rsidRDefault="00F81A5B" w:rsidP="00F81A5B">
            <w:pPr>
              <w:spacing w:before="120" w:after="120" w:line="360" w:lineRule="auto"/>
              <w:jc w:val="center"/>
              <w:rPr>
                <w:noProof/>
                <w:sz w:val="20"/>
                <w:szCs w:val="24"/>
              </w:rPr>
            </w:pPr>
            <w:r w:rsidRPr="000B46A1">
              <w:rPr>
                <w:noProof/>
                <w:sz w:val="20"/>
                <w:szCs w:val="24"/>
              </w:rPr>
              <w:t>D</w:t>
            </w:r>
          </w:p>
        </w:tc>
        <w:tc>
          <w:tcPr>
            <w:tcW w:w="1559" w:type="dxa"/>
            <w:tcBorders>
              <w:top w:val="nil"/>
              <w:left w:val="nil"/>
              <w:bottom w:val="single" w:sz="4" w:space="0" w:color="auto"/>
              <w:right w:val="single" w:sz="4" w:space="0" w:color="auto"/>
            </w:tcBorders>
            <w:shd w:val="clear" w:color="auto" w:fill="FFFFFF"/>
            <w:vAlign w:val="center"/>
            <w:hideMark/>
          </w:tcPr>
          <w:p w14:paraId="330F1981" w14:textId="77777777" w:rsidR="00F81A5B" w:rsidRPr="000B46A1" w:rsidRDefault="00F81A5B" w:rsidP="00F81A5B">
            <w:pPr>
              <w:spacing w:before="120" w:after="120" w:line="360" w:lineRule="auto"/>
              <w:jc w:val="center"/>
              <w:rPr>
                <w:noProof/>
                <w:sz w:val="20"/>
                <w:szCs w:val="24"/>
              </w:rPr>
            </w:pPr>
            <w:r w:rsidRPr="000B46A1">
              <w:rPr>
                <w:noProof/>
                <w:sz w:val="20"/>
                <w:szCs w:val="24"/>
              </w:rPr>
              <w:t>31.12.YY</w:t>
            </w:r>
          </w:p>
        </w:tc>
      </w:tr>
      <w:tr w:rsidR="00F81A5B" w:rsidRPr="000B46A1" w14:paraId="5221B47C" w14:textId="77777777" w:rsidTr="00D53492">
        <w:tc>
          <w:tcPr>
            <w:tcW w:w="9776" w:type="dxa"/>
            <w:gridSpan w:val="5"/>
            <w:tcBorders>
              <w:top w:val="single" w:sz="4" w:space="0" w:color="auto"/>
              <w:left w:val="single" w:sz="4" w:space="0" w:color="auto"/>
              <w:bottom w:val="single" w:sz="4" w:space="0" w:color="auto"/>
              <w:right w:val="single" w:sz="4" w:space="0" w:color="auto"/>
            </w:tcBorders>
            <w:tcMar>
              <w:top w:w="0" w:type="dxa"/>
              <w:left w:w="340" w:type="dxa"/>
              <w:bottom w:w="0" w:type="dxa"/>
              <w:right w:w="340" w:type="dxa"/>
            </w:tcMar>
            <w:hideMark/>
          </w:tcPr>
          <w:p w14:paraId="1C646274" w14:textId="77777777" w:rsidR="00F81A5B" w:rsidRPr="000B46A1" w:rsidRDefault="00F81A5B" w:rsidP="00F81A5B">
            <w:pPr>
              <w:spacing w:after="120" w:line="276" w:lineRule="auto"/>
              <w:rPr>
                <w:sz w:val="20"/>
                <w:lang w:eastAsia="en-US"/>
              </w:rPr>
            </w:pPr>
            <w:r w:rsidRPr="000B46A1">
              <w:rPr>
                <w:sz w:val="20"/>
                <w:lang w:eastAsia="en-US"/>
              </w:rPr>
              <w:t>_______________________________________</w:t>
            </w:r>
          </w:p>
        </w:tc>
      </w:tr>
      <w:tr w:rsidR="00F81A5B" w:rsidRPr="000B46A1" w14:paraId="4DB1F8D2" w14:textId="77777777" w:rsidTr="00D53492">
        <w:tc>
          <w:tcPr>
            <w:tcW w:w="9776" w:type="dxa"/>
            <w:gridSpan w:val="5"/>
            <w:tcBorders>
              <w:top w:val="single" w:sz="4" w:space="0" w:color="auto"/>
              <w:left w:val="single" w:sz="4" w:space="0" w:color="auto"/>
              <w:bottom w:val="single" w:sz="4" w:space="0" w:color="auto"/>
              <w:right w:val="single" w:sz="4" w:space="0" w:color="auto"/>
            </w:tcBorders>
            <w:tcMar>
              <w:top w:w="0" w:type="dxa"/>
              <w:left w:w="340" w:type="dxa"/>
              <w:bottom w:w="0" w:type="dxa"/>
              <w:right w:w="340" w:type="dxa"/>
            </w:tcMar>
          </w:tcPr>
          <w:p w14:paraId="7215E9A9" w14:textId="77777777" w:rsidR="00F81A5B" w:rsidRPr="000B46A1" w:rsidRDefault="00F81A5B" w:rsidP="00F81A5B">
            <w:pPr>
              <w:spacing w:after="120" w:line="276" w:lineRule="auto"/>
              <w:rPr>
                <w:sz w:val="20"/>
                <w:lang w:eastAsia="en-US"/>
              </w:rPr>
            </w:pPr>
          </w:p>
        </w:tc>
      </w:tr>
      <w:tr w:rsidR="00F81A5B" w:rsidRPr="000B46A1" w14:paraId="7D19AF6A" w14:textId="77777777" w:rsidTr="00D53492">
        <w:tc>
          <w:tcPr>
            <w:tcW w:w="9776" w:type="dxa"/>
            <w:gridSpan w:val="5"/>
            <w:tcBorders>
              <w:top w:val="single" w:sz="4" w:space="0" w:color="auto"/>
              <w:left w:val="single" w:sz="4" w:space="0" w:color="auto"/>
              <w:bottom w:val="single" w:sz="4" w:space="0" w:color="auto"/>
              <w:right w:val="single" w:sz="4" w:space="0" w:color="auto"/>
            </w:tcBorders>
            <w:tcMar>
              <w:top w:w="0" w:type="dxa"/>
              <w:left w:w="340" w:type="dxa"/>
              <w:bottom w:w="0" w:type="dxa"/>
              <w:right w:w="340" w:type="dxa"/>
            </w:tcMar>
            <w:hideMark/>
          </w:tcPr>
          <w:p w14:paraId="3FA37704" w14:textId="77777777" w:rsidR="00F81A5B" w:rsidRPr="000B46A1" w:rsidRDefault="00F81A5B" w:rsidP="00F81A5B">
            <w:pPr>
              <w:spacing w:after="120" w:line="276" w:lineRule="auto"/>
              <w:rPr>
                <w:sz w:val="20"/>
                <w:lang w:eastAsia="en-US"/>
              </w:rPr>
            </w:pPr>
            <w:r w:rsidRPr="000B46A1">
              <w:rPr>
                <w:sz w:val="20"/>
                <w:vertAlign w:val="superscript"/>
                <w:lang w:eastAsia="en-US"/>
              </w:rPr>
              <w:t>1</w:t>
            </w:r>
            <w:r w:rsidRPr="000B46A1">
              <w:rPr>
                <w:sz w:val="20"/>
                <w:lang w:eastAsia="en-US"/>
              </w:rPr>
              <w:t xml:space="preserve"> To be provided on a voluntary basis.</w:t>
            </w:r>
          </w:p>
        </w:tc>
      </w:tr>
    </w:tbl>
    <w:p w14:paraId="5D6B62FA" w14:textId="77777777" w:rsidR="00F81A5B" w:rsidRPr="000B46A1" w:rsidRDefault="00F81A5B" w:rsidP="00F81A5B">
      <w:pPr>
        <w:spacing w:before="120" w:after="120" w:line="360" w:lineRule="auto"/>
        <w:outlineLvl w:val="0"/>
        <w:rPr>
          <w:b/>
          <w:i/>
          <w:iCs/>
          <w:noProof/>
          <w:szCs w:val="24"/>
          <w:lang w:eastAsia="en-US"/>
        </w:rPr>
      </w:pPr>
    </w:p>
    <w:p w14:paraId="7BC0F931" w14:textId="77777777" w:rsidR="00F81A5B" w:rsidRPr="000B46A1" w:rsidRDefault="00F81A5B" w:rsidP="00F81A5B">
      <w:pPr>
        <w:keepNext/>
        <w:widowControl/>
        <w:tabs>
          <w:tab w:val="left" w:pos="850"/>
        </w:tabs>
        <w:spacing w:before="120" w:after="120"/>
        <w:ind w:left="850" w:hanging="850"/>
        <w:jc w:val="both"/>
        <w:outlineLvl w:val="1"/>
        <w:rPr>
          <w:rFonts w:eastAsia="Calibri"/>
          <w:b/>
          <w:noProof/>
          <w:szCs w:val="22"/>
          <w:lang w:eastAsia="en-US"/>
        </w:rPr>
      </w:pPr>
      <w:r w:rsidRPr="000B46A1">
        <w:rPr>
          <w:rFonts w:eastAsia="Calibri"/>
          <w:b/>
          <w:noProof/>
          <w:szCs w:val="22"/>
          <w:lang w:eastAsia="en-US"/>
        </w:rPr>
        <w:lastRenderedPageBreak/>
        <w:t>Legend</w:t>
      </w:r>
    </w:p>
    <w:tbl>
      <w:tblPr>
        <w:tblW w:w="5660" w:type="dxa"/>
        <w:tblLook w:val="04A0" w:firstRow="1" w:lastRow="0" w:firstColumn="1" w:lastColumn="0" w:noHBand="0" w:noVBand="1"/>
      </w:tblPr>
      <w:tblGrid>
        <w:gridCol w:w="4644"/>
        <w:gridCol w:w="1016"/>
      </w:tblGrid>
      <w:tr w:rsidR="00F81A5B" w:rsidRPr="000B46A1" w14:paraId="5FFECF5A" w14:textId="77777777" w:rsidTr="00D53492">
        <w:tc>
          <w:tcPr>
            <w:tcW w:w="5660" w:type="dxa"/>
            <w:gridSpan w:val="2"/>
            <w:tcBorders>
              <w:top w:val="single" w:sz="8" w:space="0" w:color="auto"/>
              <w:left w:val="single" w:sz="8" w:space="0" w:color="auto"/>
              <w:bottom w:val="single" w:sz="4" w:space="0" w:color="auto"/>
              <w:right w:val="single" w:sz="8" w:space="0" w:color="000000"/>
            </w:tcBorders>
            <w:shd w:val="clear" w:color="000000" w:fill="FFFFFF"/>
            <w:vAlign w:val="center"/>
            <w:hideMark/>
          </w:tcPr>
          <w:p w14:paraId="3524CDFA" w14:textId="77777777" w:rsidR="00F81A5B" w:rsidRPr="000B46A1" w:rsidRDefault="00F81A5B" w:rsidP="00F81A5B">
            <w:pPr>
              <w:keepNext/>
              <w:widowControl/>
              <w:tabs>
                <w:tab w:val="left" w:pos="850"/>
              </w:tabs>
              <w:spacing w:before="120" w:after="120"/>
              <w:ind w:left="850" w:hanging="850"/>
              <w:jc w:val="center"/>
              <w:outlineLvl w:val="1"/>
              <w:rPr>
                <w:rFonts w:eastAsia="Calibri"/>
                <w:b/>
                <w:noProof/>
                <w:sz w:val="20"/>
                <w:szCs w:val="22"/>
              </w:rPr>
            </w:pPr>
            <w:r w:rsidRPr="000B46A1">
              <w:rPr>
                <w:rFonts w:eastAsia="Calibri"/>
                <w:b/>
                <w:noProof/>
                <w:sz w:val="20"/>
                <w:szCs w:val="22"/>
              </w:rPr>
              <w:t>Periodicity</w:t>
            </w:r>
          </w:p>
        </w:tc>
      </w:tr>
      <w:tr w:rsidR="00F81A5B" w:rsidRPr="000B46A1" w14:paraId="60A6034F" w14:textId="77777777" w:rsidTr="00D53492">
        <w:tc>
          <w:tcPr>
            <w:tcW w:w="4644" w:type="dxa"/>
            <w:tcBorders>
              <w:top w:val="nil"/>
              <w:left w:val="single" w:sz="8" w:space="0" w:color="auto"/>
              <w:bottom w:val="single" w:sz="4" w:space="0" w:color="auto"/>
              <w:right w:val="single" w:sz="4" w:space="0" w:color="auto"/>
            </w:tcBorders>
            <w:shd w:val="clear" w:color="000000" w:fill="FFFFFF"/>
            <w:vAlign w:val="center"/>
            <w:hideMark/>
          </w:tcPr>
          <w:p w14:paraId="4D65A03D" w14:textId="77777777" w:rsidR="00F81A5B" w:rsidRPr="000B46A1" w:rsidRDefault="00F81A5B" w:rsidP="00F81A5B">
            <w:pPr>
              <w:spacing w:before="120" w:after="120" w:line="360" w:lineRule="auto"/>
              <w:jc w:val="center"/>
              <w:rPr>
                <w:noProof/>
                <w:sz w:val="20"/>
                <w:szCs w:val="24"/>
              </w:rPr>
            </w:pPr>
            <w:r w:rsidRPr="000B46A1">
              <w:rPr>
                <w:noProof/>
                <w:sz w:val="20"/>
                <w:szCs w:val="24"/>
              </w:rPr>
              <w:t>Quarterly</w:t>
            </w:r>
          </w:p>
        </w:tc>
        <w:tc>
          <w:tcPr>
            <w:tcW w:w="1016" w:type="dxa"/>
            <w:tcBorders>
              <w:top w:val="nil"/>
              <w:left w:val="nil"/>
              <w:bottom w:val="single" w:sz="4" w:space="0" w:color="auto"/>
              <w:right w:val="single" w:sz="8" w:space="0" w:color="auto"/>
            </w:tcBorders>
            <w:shd w:val="clear" w:color="000000" w:fill="FFFFFF"/>
            <w:vAlign w:val="center"/>
            <w:hideMark/>
          </w:tcPr>
          <w:p w14:paraId="4EC11741" w14:textId="77777777" w:rsidR="00F81A5B" w:rsidRPr="000B46A1" w:rsidRDefault="00F81A5B" w:rsidP="00F81A5B">
            <w:pPr>
              <w:spacing w:before="120" w:after="120" w:line="360" w:lineRule="auto"/>
              <w:jc w:val="center"/>
              <w:rPr>
                <w:noProof/>
                <w:sz w:val="20"/>
                <w:szCs w:val="24"/>
              </w:rPr>
            </w:pPr>
            <w:r w:rsidRPr="000B46A1">
              <w:rPr>
                <w:noProof/>
                <w:sz w:val="20"/>
                <w:szCs w:val="24"/>
              </w:rPr>
              <w:t>Q</w:t>
            </w:r>
          </w:p>
        </w:tc>
      </w:tr>
      <w:tr w:rsidR="00F81A5B" w:rsidRPr="000B46A1" w14:paraId="0A84157E" w14:textId="77777777" w:rsidTr="00D53492">
        <w:tc>
          <w:tcPr>
            <w:tcW w:w="4644" w:type="dxa"/>
            <w:tcBorders>
              <w:top w:val="nil"/>
              <w:left w:val="single" w:sz="8" w:space="0" w:color="auto"/>
              <w:bottom w:val="single" w:sz="4" w:space="0" w:color="auto"/>
              <w:right w:val="single" w:sz="4" w:space="0" w:color="auto"/>
            </w:tcBorders>
            <w:shd w:val="clear" w:color="000000" w:fill="FFFFFF"/>
            <w:vAlign w:val="center"/>
            <w:hideMark/>
          </w:tcPr>
          <w:p w14:paraId="5BD9E0B6" w14:textId="77777777" w:rsidR="00F81A5B" w:rsidRPr="000B46A1" w:rsidRDefault="00F81A5B" w:rsidP="00F81A5B">
            <w:pPr>
              <w:spacing w:before="120" w:after="120" w:line="360" w:lineRule="auto"/>
              <w:jc w:val="center"/>
              <w:rPr>
                <w:noProof/>
                <w:sz w:val="20"/>
                <w:szCs w:val="24"/>
              </w:rPr>
            </w:pPr>
            <w:r w:rsidRPr="000B46A1">
              <w:rPr>
                <w:noProof/>
                <w:sz w:val="20"/>
                <w:szCs w:val="24"/>
              </w:rPr>
              <w:t>Every 6 months</w:t>
            </w:r>
          </w:p>
        </w:tc>
        <w:tc>
          <w:tcPr>
            <w:tcW w:w="1016" w:type="dxa"/>
            <w:tcBorders>
              <w:top w:val="nil"/>
              <w:left w:val="nil"/>
              <w:bottom w:val="single" w:sz="4" w:space="0" w:color="auto"/>
              <w:right w:val="single" w:sz="8" w:space="0" w:color="auto"/>
            </w:tcBorders>
            <w:shd w:val="clear" w:color="000000" w:fill="FFFFFF"/>
            <w:vAlign w:val="center"/>
            <w:hideMark/>
          </w:tcPr>
          <w:p w14:paraId="508E9F5A" w14:textId="77777777" w:rsidR="00F81A5B" w:rsidRPr="000B46A1" w:rsidRDefault="00F81A5B" w:rsidP="00F81A5B">
            <w:pPr>
              <w:spacing w:before="120" w:after="120" w:line="360" w:lineRule="auto"/>
              <w:jc w:val="center"/>
              <w:rPr>
                <w:noProof/>
                <w:sz w:val="20"/>
                <w:szCs w:val="24"/>
              </w:rPr>
            </w:pPr>
            <w:r w:rsidRPr="000B46A1">
              <w:rPr>
                <w:noProof/>
                <w:sz w:val="20"/>
                <w:szCs w:val="24"/>
              </w:rPr>
              <w:t>6M</w:t>
            </w:r>
          </w:p>
        </w:tc>
      </w:tr>
      <w:tr w:rsidR="00F81A5B" w:rsidRPr="000B46A1" w14:paraId="0486D855" w14:textId="77777777" w:rsidTr="00D53492">
        <w:tc>
          <w:tcPr>
            <w:tcW w:w="4644" w:type="dxa"/>
            <w:tcBorders>
              <w:top w:val="nil"/>
              <w:left w:val="single" w:sz="8" w:space="0" w:color="auto"/>
              <w:bottom w:val="single" w:sz="4" w:space="0" w:color="auto"/>
              <w:right w:val="single" w:sz="4" w:space="0" w:color="auto"/>
            </w:tcBorders>
            <w:shd w:val="clear" w:color="000000" w:fill="FFFFFF"/>
            <w:vAlign w:val="center"/>
            <w:hideMark/>
          </w:tcPr>
          <w:p w14:paraId="0839356E" w14:textId="77777777" w:rsidR="00F81A5B" w:rsidRPr="000B46A1" w:rsidRDefault="00F81A5B" w:rsidP="00F81A5B">
            <w:pPr>
              <w:spacing w:before="120" w:after="120" w:line="360" w:lineRule="auto"/>
              <w:jc w:val="center"/>
              <w:rPr>
                <w:noProof/>
                <w:sz w:val="20"/>
                <w:szCs w:val="24"/>
              </w:rPr>
            </w:pPr>
            <w:r w:rsidRPr="000B46A1">
              <w:rPr>
                <w:noProof/>
                <w:sz w:val="20"/>
                <w:szCs w:val="24"/>
              </w:rPr>
              <w:t>Annual</w:t>
            </w:r>
          </w:p>
        </w:tc>
        <w:tc>
          <w:tcPr>
            <w:tcW w:w="1016" w:type="dxa"/>
            <w:tcBorders>
              <w:top w:val="nil"/>
              <w:left w:val="nil"/>
              <w:bottom w:val="single" w:sz="4" w:space="0" w:color="auto"/>
              <w:right w:val="single" w:sz="8" w:space="0" w:color="auto"/>
            </w:tcBorders>
            <w:shd w:val="clear" w:color="000000" w:fill="FFFFFF"/>
            <w:vAlign w:val="center"/>
            <w:hideMark/>
          </w:tcPr>
          <w:p w14:paraId="15C36859" w14:textId="77777777" w:rsidR="00F81A5B" w:rsidRPr="000B46A1" w:rsidRDefault="00F81A5B" w:rsidP="00F81A5B">
            <w:pPr>
              <w:spacing w:before="120" w:after="120" w:line="360" w:lineRule="auto"/>
              <w:jc w:val="center"/>
              <w:rPr>
                <w:noProof/>
                <w:sz w:val="20"/>
                <w:szCs w:val="24"/>
              </w:rPr>
            </w:pPr>
            <w:r w:rsidRPr="000B46A1">
              <w:rPr>
                <w:noProof/>
                <w:sz w:val="20"/>
                <w:szCs w:val="24"/>
              </w:rPr>
              <w:t>A</w:t>
            </w:r>
          </w:p>
        </w:tc>
      </w:tr>
      <w:tr w:rsidR="00F81A5B" w:rsidRPr="000B46A1" w14:paraId="01454E4A" w14:textId="77777777" w:rsidTr="00D53492">
        <w:tc>
          <w:tcPr>
            <w:tcW w:w="4644" w:type="dxa"/>
            <w:tcBorders>
              <w:top w:val="nil"/>
              <w:left w:val="single" w:sz="8" w:space="0" w:color="auto"/>
              <w:bottom w:val="single" w:sz="4" w:space="0" w:color="auto"/>
              <w:right w:val="single" w:sz="4" w:space="0" w:color="auto"/>
            </w:tcBorders>
            <w:shd w:val="clear" w:color="000000" w:fill="FFFFFF"/>
            <w:vAlign w:val="center"/>
            <w:hideMark/>
          </w:tcPr>
          <w:p w14:paraId="4425D89F" w14:textId="77777777" w:rsidR="00F81A5B" w:rsidRPr="000B46A1" w:rsidRDefault="00F81A5B" w:rsidP="00F81A5B">
            <w:pPr>
              <w:spacing w:before="120" w:after="120" w:line="360" w:lineRule="auto"/>
              <w:jc w:val="center"/>
              <w:rPr>
                <w:noProof/>
                <w:sz w:val="20"/>
                <w:szCs w:val="24"/>
              </w:rPr>
            </w:pPr>
            <w:r w:rsidRPr="000B46A1">
              <w:rPr>
                <w:noProof/>
                <w:sz w:val="20"/>
                <w:szCs w:val="24"/>
              </w:rPr>
              <w:t>Multi-annual (years ending with ‘1’, ‘5’, ‘8’)</w:t>
            </w:r>
          </w:p>
        </w:tc>
        <w:tc>
          <w:tcPr>
            <w:tcW w:w="1016" w:type="dxa"/>
            <w:tcBorders>
              <w:top w:val="nil"/>
              <w:left w:val="nil"/>
              <w:bottom w:val="single" w:sz="4" w:space="0" w:color="auto"/>
              <w:right w:val="single" w:sz="8" w:space="0" w:color="auto"/>
            </w:tcBorders>
            <w:shd w:val="clear" w:color="000000" w:fill="FFFFFF"/>
            <w:vAlign w:val="center"/>
            <w:hideMark/>
          </w:tcPr>
          <w:p w14:paraId="7AF417E3" w14:textId="77777777" w:rsidR="00F81A5B" w:rsidRPr="000B46A1" w:rsidRDefault="00F81A5B" w:rsidP="00F81A5B">
            <w:pPr>
              <w:spacing w:before="120" w:after="120" w:line="360" w:lineRule="auto"/>
              <w:jc w:val="center"/>
              <w:rPr>
                <w:noProof/>
                <w:sz w:val="20"/>
                <w:szCs w:val="24"/>
              </w:rPr>
            </w:pPr>
            <w:r w:rsidRPr="000B46A1">
              <w:rPr>
                <w:noProof/>
                <w:sz w:val="20"/>
                <w:szCs w:val="24"/>
              </w:rPr>
              <w:t>MA</w:t>
            </w:r>
          </w:p>
        </w:tc>
      </w:tr>
      <w:tr w:rsidR="00F81A5B" w:rsidRPr="00F81A5B" w14:paraId="5E547840" w14:textId="77777777" w:rsidTr="00D53492">
        <w:tc>
          <w:tcPr>
            <w:tcW w:w="4644" w:type="dxa"/>
            <w:tcBorders>
              <w:top w:val="nil"/>
              <w:left w:val="single" w:sz="8" w:space="0" w:color="auto"/>
              <w:bottom w:val="single" w:sz="8" w:space="0" w:color="auto"/>
              <w:right w:val="single" w:sz="4" w:space="0" w:color="auto"/>
            </w:tcBorders>
            <w:shd w:val="clear" w:color="000000" w:fill="FFFFFF"/>
            <w:vAlign w:val="center"/>
            <w:hideMark/>
          </w:tcPr>
          <w:p w14:paraId="5AD912DF" w14:textId="77777777" w:rsidR="00F81A5B" w:rsidRPr="000B46A1" w:rsidRDefault="00F81A5B" w:rsidP="00F81A5B">
            <w:pPr>
              <w:spacing w:before="120" w:after="120" w:line="360" w:lineRule="auto"/>
              <w:jc w:val="center"/>
              <w:rPr>
                <w:noProof/>
                <w:sz w:val="20"/>
                <w:szCs w:val="24"/>
              </w:rPr>
            </w:pPr>
            <w:r w:rsidRPr="000B46A1">
              <w:rPr>
                <w:noProof/>
                <w:sz w:val="20"/>
                <w:szCs w:val="24"/>
              </w:rPr>
              <w:t>Decennial (years ending with ‘1’)</w:t>
            </w:r>
          </w:p>
        </w:tc>
        <w:tc>
          <w:tcPr>
            <w:tcW w:w="1016" w:type="dxa"/>
            <w:tcBorders>
              <w:top w:val="nil"/>
              <w:left w:val="nil"/>
              <w:bottom w:val="single" w:sz="8" w:space="0" w:color="auto"/>
              <w:right w:val="single" w:sz="8" w:space="0" w:color="auto"/>
            </w:tcBorders>
            <w:shd w:val="clear" w:color="000000" w:fill="FFFFFF"/>
            <w:vAlign w:val="center"/>
            <w:hideMark/>
          </w:tcPr>
          <w:p w14:paraId="54B5D25F" w14:textId="77777777" w:rsidR="00F81A5B" w:rsidRPr="00F81A5B" w:rsidRDefault="00F81A5B" w:rsidP="00F81A5B">
            <w:pPr>
              <w:spacing w:before="120" w:after="120" w:line="360" w:lineRule="auto"/>
              <w:jc w:val="center"/>
              <w:rPr>
                <w:noProof/>
                <w:sz w:val="20"/>
                <w:szCs w:val="24"/>
              </w:rPr>
            </w:pPr>
            <w:r w:rsidRPr="000B46A1">
              <w:rPr>
                <w:noProof/>
                <w:sz w:val="20"/>
                <w:szCs w:val="24"/>
              </w:rPr>
              <w:t>D</w:t>
            </w:r>
          </w:p>
        </w:tc>
      </w:tr>
    </w:tbl>
    <w:p w14:paraId="6996251C" w14:textId="77777777" w:rsidR="00F81A5B" w:rsidRPr="00F81A5B" w:rsidRDefault="00F81A5B" w:rsidP="00F81A5B">
      <w:pPr>
        <w:spacing w:before="120" w:after="120" w:line="360" w:lineRule="auto"/>
        <w:outlineLvl w:val="0"/>
        <w:rPr>
          <w:b/>
          <w:noProof/>
          <w:szCs w:val="24"/>
          <w:lang w:eastAsia="en-US"/>
        </w:rPr>
      </w:pPr>
    </w:p>
    <w:p w14:paraId="401A98A9" w14:textId="77777777" w:rsidR="00F81A5B" w:rsidRPr="00F81A5B" w:rsidRDefault="00F81A5B" w:rsidP="00F81A5B">
      <w:pPr>
        <w:spacing w:before="120" w:after="120" w:line="360" w:lineRule="auto"/>
        <w:outlineLvl w:val="0"/>
        <w:rPr>
          <w:b/>
          <w:i/>
          <w:iCs/>
          <w:noProof/>
          <w:szCs w:val="24"/>
          <w:lang w:eastAsia="en-US"/>
        </w:rPr>
      </w:pPr>
    </w:p>
    <w:p w14:paraId="575F5E0A" w14:textId="77777777" w:rsidR="00F81A5B" w:rsidRPr="00F81A5B" w:rsidRDefault="00F81A5B" w:rsidP="00F81A5B">
      <w:pPr>
        <w:spacing w:before="120" w:after="120" w:line="360" w:lineRule="auto"/>
        <w:rPr>
          <w:szCs w:val="24"/>
          <w:lang w:eastAsia="en-US"/>
        </w:rPr>
      </w:pPr>
    </w:p>
    <w:p w14:paraId="00A78CE3" w14:textId="77777777" w:rsidR="00F81A5B" w:rsidRPr="00F81A5B" w:rsidRDefault="00F81A5B" w:rsidP="00F81A5B">
      <w:pPr>
        <w:spacing w:after="240"/>
        <w:jc w:val="center"/>
      </w:pPr>
    </w:p>
    <w:p w14:paraId="7DC0E22F" w14:textId="673A6EAE" w:rsidR="00EE7159" w:rsidRPr="009B63E8" w:rsidRDefault="00EE7159" w:rsidP="00EE7159"/>
    <w:sectPr w:rsidR="00EE7159" w:rsidRPr="009B63E8" w:rsidSect="009B63E8">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17C351" w14:textId="77777777" w:rsidR="00841434" w:rsidRPr="009B63E8" w:rsidRDefault="00841434">
      <w:r w:rsidRPr="009B63E8">
        <w:separator/>
      </w:r>
    </w:p>
  </w:endnote>
  <w:endnote w:type="continuationSeparator" w:id="0">
    <w:p w14:paraId="3B4DEE79" w14:textId="77777777" w:rsidR="00841434" w:rsidRPr="009B63E8" w:rsidRDefault="00841434">
      <w:r w:rsidRPr="009B63E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01A942" w14:textId="77777777" w:rsidR="00841434" w:rsidRPr="009B63E8" w:rsidRDefault="00841434"/>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D0C127" w14:textId="77777777" w:rsidR="00841434" w:rsidRPr="009B63E8" w:rsidRDefault="00841434"/>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E9D413" w14:textId="77777777" w:rsidR="00841434" w:rsidRPr="009B63E8" w:rsidRDefault="00841434"/>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9C5F8A" w14:textId="77777777" w:rsidR="00841434" w:rsidRPr="009B63E8" w:rsidRDefault="00841434">
      <w:r w:rsidRPr="009B63E8">
        <w:separator/>
      </w:r>
    </w:p>
  </w:footnote>
  <w:footnote w:type="continuationSeparator" w:id="0">
    <w:p w14:paraId="5C45E74E" w14:textId="77777777" w:rsidR="00841434" w:rsidRPr="009B63E8" w:rsidRDefault="00841434">
      <w:r w:rsidRPr="009B63E8">
        <w:continuationSeparator/>
      </w:r>
    </w:p>
  </w:footnote>
  <w:footnote w:id="1">
    <w:p w14:paraId="0E388B46" w14:textId="11C2F990" w:rsidR="00841434" w:rsidRPr="000B46A1" w:rsidRDefault="00841434" w:rsidP="000B46A1">
      <w:pPr>
        <w:pStyle w:val="FootnoteText"/>
        <w:ind w:left="567" w:hanging="567"/>
        <w:rPr>
          <w:sz w:val="24"/>
          <w:szCs w:val="24"/>
          <w:lang w:val="en-GB"/>
        </w:rPr>
      </w:pPr>
      <w:r w:rsidRPr="000B46A1">
        <w:rPr>
          <w:rStyle w:val="FootnoteReference"/>
          <w:sz w:val="24"/>
          <w:szCs w:val="24"/>
        </w:rPr>
        <w:footnoteRef/>
      </w:r>
      <w:r w:rsidRPr="000B46A1">
        <w:rPr>
          <w:sz w:val="24"/>
          <w:szCs w:val="24"/>
          <w:lang w:val="en-GB"/>
        </w:rPr>
        <w:tab/>
        <w:t>OJ C 228, 29.6.2023, p. 148.</w:t>
      </w:r>
    </w:p>
  </w:footnote>
  <w:footnote w:id="2">
    <w:p w14:paraId="66780A1D" w14:textId="0449D5A9" w:rsidR="00841434" w:rsidRPr="001C75E9" w:rsidRDefault="00841434" w:rsidP="001C75E9">
      <w:pPr>
        <w:pStyle w:val="FootnoteText"/>
        <w:ind w:left="709" w:hanging="709"/>
        <w:rPr>
          <w:sz w:val="24"/>
          <w:szCs w:val="24"/>
          <w:lang w:val="en-GB"/>
        </w:rPr>
      </w:pPr>
      <w:r w:rsidRPr="001C75E9">
        <w:rPr>
          <w:rStyle w:val="FootnoteReference"/>
          <w:sz w:val="24"/>
          <w:szCs w:val="24"/>
          <w:lang w:val="en-GB"/>
        </w:rPr>
        <w:t>*</w:t>
      </w:r>
      <w:r w:rsidRPr="001C75E9">
        <w:rPr>
          <w:sz w:val="24"/>
          <w:szCs w:val="24"/>
          <w:lang w:val="en-GB"/>
        </w:rPr>
        <w:t xml:space="preserve"> </w:t>
      </w:r>
      <w:r w:rsidRPr="001C75E9">
        <w:rPr>
          <w:sz w:val="24"/>
          <w:szCs w:val="24"/>
          <w:lang w:val="en-GB"/>
        </w:rPr>
        <w:tab/>
        <w:t xml:space="preserve">The changes throughout the text result </w:t>
      </w:r>
      <w:r w:rsidR="002F26E5">
        <w:rPr>
          <w:sz w:val="24"/>
          <w:szCs w:val="24"/>
          <w:lang w:val="en-GB"/>
        </w:rPr>
        <w:t>from the adoption of amendment 56</w:t>
      </w:r>
      <w:r w:rsidRPr="001C75E9">
        <w:rPr>
          <w:sz w:val="24"/>
          <w:szCs w:val="24"/>
          <w:lang w:val="en-GB"/>
        </w:rPr>
        <w:t>. New or amended text is highlighted in bold italics; deletions are indicated by the symbol ▌.</w:t>
      </w:r>
    </w:p>
  </w:footnote>
  <w:footnote w:id="3">
    <w:p w14:paraId="36D49F7B" w14:textId="77777777" w:rsidR="00841434" w:rsidRPr="000F2877" w:rsidRDefault="00841434" w:rsidP="00F81A5B">
      <w:pPr>
        <w:pStyle w:val="FootnoteTextForceStyle"/>
        <w:ind w:left="709" w:hanging="709"/>
        <w:rPr>
          <w:szCs w:val="24"/>
          <w:lang w:val="en-GB"/>
        </w:rPr>
      </w:pPr>
      <w:r w:rsidRPr="000F2877">
        <w:rPr>
          <w:szCs w:val="24"/>
          <w:vertAlign w:val="superscript"/>
          <w:lang w:val="en-GB"/>
        </w:rPr>
        <w:footnoteRef/>
      </w:r>
      <w:r w:rsidRPr="000F2877">
        <w:rPr>
          <w:szCs w:val="24"/>
          <w:lang w:val="en-GB"/>
        </w:rPr>
        <w:tab/>
        <w:t xml:space="preserve">OJ </w:t>
      </w:r>
      <w:proofErr w:type="gramStart"/>
      <w:r w:rsidRPr="000F2877">
        <w:rPr>
          <w:szCs w:val="24"/>
          <w:lang w:val="en-GB"/>
        </w:rPr>
        <w:t>C ,</w:t>
      </w:r>
      <w:proofErr w:type="gramEnd"/>
      <w:r w:rsidRPr="000F2877">
        <w:rPr>
          <w:szCs w:val="24"/>
          <w:lang w:val="en-GB"/>
        </w:rPr>
        <w:t xml:space="preserve"> , p. .</w:t>
      </w:r>
    </w:p>
  </w:footnote>
  <w:footnote w:id="4">
    <w:p w14:paraId="15F7024F" w14:textId="77777777" w:rsidR="00841434" w:rsidRPr="000F2877" w:rsidRDefault="00841434" w:rsidP="00F81A5B">
      <w:pPr>
        <w:pStyle w:val="FootnoteTextForceStyle"/>
        <w:ind w:left="709" w:hanging="709"/>
        <w:rPr>
          <w:szCs w:val="24"/>
          <w:lang w:val="en-GB"/>
        </w:rPr>
      </w:pPr>
      <w:r w:rsidRPr="000F2877">
        <w:rPr>
          <w:szCs w:val="24"/>
          <w:vertAlign w:val="superscript"/>
          <w:lang w:val="en-GB"/>
        </w:rPr>
        <w:footnoteRef/>
      </w:r>
      <w:r w:rsidRPr="000F2877">
        <w:rPr>
          <w:szCs w:val="24"/>
          <w:lang w:val="en-GB"/>
        </w:rPr>
        <w:tab/>
        <w:t xml:space="preserve">OJ </w:t>
      </w:r>
      <w:proofErr w:type="gramStart"/>
      <w:r w:rsidRPr="000F2877">
        <w:rPr>
          <w:szCs w:val="24"/>
          <w:lang w:val="en-GB"/>
        </w:rPr>
        <w:t>C ,</w:t>
      </w:r>
      <w:proofErr w:type="gramEnd"/>
      <w:r w:rsidRPr="000F2877">
        <w:rPr>
          <w:szCs w:val="24"/>
          <w:lang w:val="en-GB"/>
        </w:rPr>
        <w:t xml:space="preserve"> , p. .</w:t>
      </w:r>
    </w:p>
  </w:footnote>
  <w:footnote w:id="5">
    <w:p w14:paraId="352B72BF" w14:textId="77777777" w:rsidR="00841434" w:rsidRPr="000F2877" w:rsidRDefault="00841434" w:rsidP="00F81A5B">
      <w:pPr>
        <w:pStyle w:val="FootnoteTextForceStyle"/>
        <w:ind w:left="709" w:hanging="709"/>
        <w:rPr>
          <w:szCs w:val="24"/>
          <w:lang w:val="en-GB"/>
        </w:rPr>
      </w:pPr>
      <w:r w:rsidRPr="000F2877">
        <w:rPr>
          <w:szCs w:val="24"/>
          <w:vertAlign w:val="superscript"/>
          <w:lang w:val="en-GB"/>
        </w:rPr>
        <w:footnoteRef/>
      </w:r>
      <w:r w:rsidRPr="000F2877">
        <w:rPr>
          <w:szCs w:val="24"/>
          <w:lang w:val="en-GB"/>
        </w:rPr>
        <w:tab/>
        <w:t>Regulation (EU) 2019/1700 of the European Parliament and of the Council of 10 October 2019 establishing a common framework for European statistics relating to persons and households, based on data at individual level collected from samples, amending Regulations (EC) No 808/2004, (EC) No 452/2008 and (EC) No 1338/2008 of the European Parliament and of the Council, and repealing Regulation (EC) No 1177/2003 of the European Parliament and of the Council and Council Regulation (EC) No 577/98 (OJ L 261I, 14.10.2019, p. 1).</w:t>
      </w:r>
    </w:p>
  </w:footnote>
  <w:footnote w:id="6">
    <w:p w14:paraId="5EDDE58C" w14:textId="77777777" w:rsidR="00841434" w:rsidRPr="000F2877" w:rsidRDefault="00841434" w:rsidP="00F81A5B">
      <w:pPr>
        <w:pStyle w:val="FootnoteTextForceStyle"/>
        <w:ind w:left="709" w:hanging="709"/>
        <w:rPr>
          <w:szCs w:val="24"/>
          <w:lang w:val="en-GB"/>
        </w:rPr>
      </w:pPr>
      <w:r w:rsidRPr="000F2877">
        <w:rPr>
          <w:szCs w:val="24"/>
          <w:vertAlign w:val="superscript"/>
          <w:lang w:val="en-GB"/>
        </w:rPr>
        <w:footnoteRef/>
      </w:r>
      <w:r w:rsidRPr="000F2877">
        <w:rPr>
          <w:szCs w:val="24"/>
          <w:lang w:val="en-GB"/>
        </w:rPr>
        <w:tab/>
        <w:t>Regulation (EU) No 1260/2013 of the European Parliament and of the Council of 20 November 2013 on European demographic statistics (OJ L 330, 10.12.2013, p. 39).</w:t>
      </w:r>
    </w:p>
  </w:footnote>
  <w:footnote w:id="7">
    <w:p w14:paraId="01BC15BD" w14:textId="77777777" w:rsidR="00841434" w:rsidRPr="000F2877" w:rsidRDefault="00841434" w:rsidP="00F81A5B">
      <w:pPr>
        <w:pStyle w:val="FootnoteTextForceStyle"/>
        <w:ind w:left="709" w:hanging="709"/>
        <w:rPr>
          <w:szCs w:val="24"/>
          <w:lang w:val="en-GB"/>
        </w:rPr>
      </w:pPr>
      <w:r w:rsidRPr="000F2877">
        <w:rPr>
          <w:szCs w:val="24"/>
          <w:vertAlign w:val="superscript"/>
          <w:lang w:val="en-GB"/>
        </w:rPr>
        <w:footnoteRef/>
      </w:r>
      <w:r w:rsidRPr="000F2877">
        <w:rPr>
          <w:szCs w:val="24"/>
          <w:lang w:val="en-GB"/>
        </w:rPr>
        <w:tab/>
        <w:t xml:space="preserve">Regulation (EC) No 223/2009 of the European Parliament and of the Council of 11 March 2009 on European statistics and repealing Regulation (EC, </w:t>
      </w:r>
      <w:proofErr w:type="spellStart"/>
      <w:r w:rsidRPr="000F2877">
        <w:rPr>
          <w:szCs w:val="24"/>
          <w:lang w:val="en-GB"/>
        </w:rPr>
        <w:t>Euratom</w:t>
      </w:r>
      <w:proofErr w:type="spellEnd"/>
      <w:r w:rsidRPr="000F2877">
        <w:rPr>
          <w:szCs w:val="24"/>
          <w:lang w:val="en-GB"/>
        </w:rPr>
        <w:t xml:space="preserve">) No 1101/2008 of the European Parliament and of the Council on the transmission of data subject to statistical confidentiality to the Statistical Office of the European Communities, Council Regulation (EC) No 322/97 on Community Statistics, and Council Decision 89/382/EEC, </w:t>
      </w:r>
      <w:proofErr w:type="spellStart"/>
      <w:r w:rsidRPr="000F2877">
        <w:rPr>
          <w:szCs w:val="24"/>
          <w:lang w:val="en-GB"/>
        </w:rPr>
        <w:t>Euratom</w:t>
      </w:r>
      <w:proofErr w:type="spellEnd"/>
      <w:r w:rsidRPr="000F2877">
        <w:rPr>
          <w:szCs w:val="24"/>
          <w:lang w:val="en-GB"/>
        </w:rPr>
        <w:t xml:space="preserve"> establishing a Committee on the Statistical Programmes of the European Communities (OJ L 87, 31.3.2009, p. 164).</w:t>
      </w:r>
    </w:p>
  </w:footnote>
  <w:footnote w:id="8">
    <w:p w14:paraId="279A9A06" w14:textId="77777777" w:rsidR="00841434" w:rsidRPr="000F2877" w:rsidRDefault="00841434" w:rsidP="00F81A5B">
      <w:pPr>
        <w:pStyle w:val="FootnoteTextForceStyle"/>
        <w:ind w:left="709" w:hanging="709"/>
        <w:rPr>
          <w:szCs w:val="24"/>
          <w:lang w:val="en-GB"/>
        </w:rPr>
      </w:pPr>
      <w:r w:rsidRPr="000F2877">
        <w:rPr>
          <w:szCs w:val="24"/>
          <w:vertAlign w:val="superscript"/>
          <w:lang w:val="en-GB"/>
        </w:rPr>
        <w:footnoteRef/>
      </w:r>
      <w:r w:rsidRPr="000F2877">
        <w:rPr>
          <w:szCs w:val="24"/>
          <w:lang w:val="en-GB"/>
        </w:rPr>
        <w:tab/>
      </w:r>
      <w:proofErr w:type="gramStart"/>
      <w:r w:rsidRPr="000F2877">
        <w:rPr>
          <w:szCs w:val="24"/>
          <w:lang w:val="en-GB"/>
        </w:rPr>
        <w:t>SWD(</w:t>
      </w:r>
      <w:proofErr w:type="gramEnd"/>
      <w:r w:rsidRPr="000F2877">
        <w:rPr>
          <w:szCs w:val="24"/>
          <w:lang w:val="en-GB"/>
        </w:rPr>
        <w:t>2023)13.</w:t>
      </w:r>
    </w:p>
  </w:footnote>
  <w:footnote w:id="9">
    <w:p w14:paraId="7113B205" w14:textId="77777777" w:rsidR="00841434" w:rsidRPr="000F2877" w:rsidRDefault="00841434" w:rsidP="00F81A5B">
      <w:pPr>
        <w:pStyle w:val="FootnoteTextForceStyle"/>
        <w:ind w:left="709" w:hanging="709"/>
        <w:rPr>
          <w:szCs w:val="24"/>
          <w:lang w:val="en-GB"/>
        </w:rPr>
      </w:pPr>
      <w:r w:rsidRPr="000F2877">
        <w:rPr>
          <w:szCs w:val="24"/>
          <w:vertAlign w:val="superscript"/>
          <w:lang w:val="en-GB"/>
        </w:rPr>
        <w:footnoteRef/>
      </w:r>
      <w:r w:rsidRPr="000F2877">
        <w:rPr>
          <w:szCs w:val="24"/>
          <w:lang w:val="en-GB"/>
        </w:rPr>
        <w:tab/>
        <w:t>Regulation (EC) No 862/2007 of the European Parliament and of the Council of 11 July 2007 on Community statistics on migration and international protection and repealing Council Regulation (EEC) No 311/76 on the compilation of statistics on foreign workers (OJ L 199, 31.7.2007, p. 23).</w:t>
      </w:r>
    </w:p>
  </w:footnote>
  <w:footnote w:id="10">
    <w:p w14:paraId="1BA1527E" w14:textId="77777777" w:rsidR="00841434" w:rsidRPr="000F2877" w:rsidRDefault="00841434" w:rsidP="00F81A5B">
      <w:pPr>
        <w:pStyle w:val="FootnoteTextForceStyle"/>
        <w:ind w:left="709" w:hanging="709"/>
        <w:rPr>
          <w:szCs w:val="24"/>
          <w:lang w:val="en-GB"/>
        </w:rPr>
      </w:pPr>
      <w:r w:rsidRPr="000F2877">
        <w:rPr>
          <w:szCs w:val="24"/>
          <w:vertAlign w:val="superscript"/>
          <w:lang w:val="en-GB"/>
        </w:rPr>
        <w:footnoteRef/>
      </w:r>
      <w:r w:rsidRPr="000F2877">
        <w:rPr>
          <w:szCs w:val="24"/>
          <w:lang w:val="en-GB"/>
        </w:rPr>
        <w:tab/>
        <w:t>Regulation (EC) No 763/2008 of the European Parliament and of the Council of 9 July 2008 on population and housing censuses (OJ L 218, 13.8.2008, p. 14).</w:t>
      </w:r>
    </w:p>
  </w:footnote>
  <w:footnote w:id="11">
    <w:p w14:paraId="16E67C2D" w14:textId="77777777" w:rsidR="00841434" w:rsidRPr="000F2877" w:rsidRDefault="00841434" w:rsidP="00F81A5B">
      <w:pPr>
        <w:pStyle w:val="FootnoteTextForceStyle"/>
        <w:ind w:left="709" w:hanging="709"/>
        <w:rPr>
          <w:szCs w:val="24"/>
          <w:lang w:val="en-GB"/>
        </w:rPr>
      </w:pPr>
      <w:r w:rsidRPr="000F2877">
        <w:rPr>
          <w:szCs w:val="24"/>
          <w:vertAlign w:val="superscript"/>
          <w:lang w:val="en-GB"/>
        </w:rPr>
        <w:footnoteRef/>
      </w:r>
      <w:r w:rsidRPr="000F2877">
        <w:rPr>
          <w:szCs w:val="24"/>
          <w:lang w:val="en-GB"/>
        </w:rPr>
        <w:tab/>
        <w:t>Regulation (EC) No 1059/2003 of the European Parliament and of the Council of 26 May 2003 on the establishment of a common classification of territorial units for statistics (NUTS) (OJ L 154, 21.6.2003, p. 1).</w:t>
      </w:r>
    </w:p>
  </w:footnote>
  <w:footnote w:id="12">
    <w:p w14:paraId="23367A01" w14:textId="77777777" w:rsidR="00841434" w:rsidRPr="000F2877" w:rsidRDefault="00841434" w:rsidP="00F81A5B">
      <w:pPr>
        <w:pStyle w:val="FootnoteTextForceStyle"/>
        <w:ind w:left="709" w:hanging="709"/>
        <w:rPr>
          <w:szCs w:val="24"/>
          <w:lang w:val="en-GB"/>
        </w:rPr>
      </w:pPr>
      <w:r w:rsidRPr="000F2877">
        <w:rPr>
          <w:szCs w:val="24"/>
          <w:vertAlign w:val="superscript"/>
          <w:lang w:val="en-GB"/>
        </w:rPr>
        <w:footnoteRef/>
      </w:r>
      <w:r w:rsidRPr="000F2877">
        <w:rPr>
          <w:szCs w:val="24"/>
          <w:lang w:val="en-GB"/>
        </w:rPr>
        <w:tab/>
        <w:t>Commission Implementing Regulation (EU) 2018/1799 of 21 November 2018 on the establishment of a temporary direct statistical action for the dissemination of selected topics of the 2021 population and housing census geocoded to a 1 km2 grid (OJ L 296, 22.11.2018, p. 19).</w:t>
      </w:r>
    </w:p>
  </w:footnote>
  <w:footnote w:id="13">
    <w:p w14:paraId="7BF33FEB" w14:textId="77777777" w:rsidR="00841434" w:rsidRPr="000F2877" w:rsidRDefault="00841434" w:rsidP="00F81A5B">
      <w:pPr>
        <w:pStyle w:val="FootnoteTextForceStyle"/>
        <w:ind w:left="709" w:hanging="709"/>
        <w:rPr>
          <w:szCs w:val="24"/>
          <w:lang w:val="en-GB"/>
        </w:rPr>
      </w:pPr>
      <w:r w:rsidRPr="000F2877">
        <w:rPr>
          <w:szCs w:val="24"/>
          <w:vertAlign w:val="superscript"/>
          <w:lang w:val="en-GB"/>
        </w:rPr>
        <w:footnoteRef/>
      </w:r>
      <w:r w:rsidRPr="000F2877">
        <w:rPr>
          <w:szCs w:val="24"/>
          <w:lang w:val="en-GB"/>
        </w:rPr>
        <w:tab/>
        <w:t>Directive 2007/2/EC of the European Parliament and of the Council of 14 March 2007 establishing an Infrastructure for Spatial Information in the European Community (INSPIRE) (OJ L 108, 25.4.2007, p. 1).</w:t>
      </w:r>
    </w:p>
  </w:footnote>
  <w:footnote w:id="14">
    <w:p w14:paraId="3DE8061E" w14:textId="77777777" w:rsidR="00841434" w:rsidRPr="000F2877" w:rsidRDefault="00841434" w:rsidP="00F81A5B">
      <w:pPr>
        <w:pStyle w:val="FootnoteTextForceStyle"/>
        <w:ind w:left="709" w:hanging="709"/>
        <w:rPr>
          <w:szCs w:val="24"/>
          <w:lang w:val="en-GB"/>
        </w:rPr>
      </w:pPr>
      <w:r w:rsidRPr="000F2877">
        <w:rPr>
          <w:szCs w:val="24"/>
          <w:vertAlign w:val="superscript"/>
          <w:lang w:val="en-GB"/>
        </w:rPr>
        <w:footnoteRef/>
      </w:r>
      <w:r w:rsidRPr="000F2877">
        <w:rPr>
          <w:szCs w:val="24"/>
          <w:lang w:val="en-GB"/>
        </w:rPr>
        <w:tab/>
        <w:t>Directive 2010/31/EU of the European Parliament and of the Council of 19 May 2010 on the energy performance of buildings (OJ L 153, 18.6.2010, p. 13).</w:t>
      </w:r>
    </w:p>
  </w:footnote>
  <w:footnote w:id="15">
    <w:p w14:paraId="093F8E89" w14:textId="1106E970" w:rsidR="00841434" w:rsidRPr="000F2877" w:rsidRDefault="00841434" w:rsidP="00F81A5B">
      <w:pPr>
        <w:pStyle w:val="FootnoteTextForceStyle"/>
        <w:ind w:left="709" w:hanging="709"/>
        <w:rPr>
          <w:szCs w:val="24"/>
          <w:lang w:val="en-GB"/>
        </w:rPr>
      </w:pPr>
      <w:r w:rsidRPr="000F2877">
        <w:rPr>
          <w:rStyle w:val="FootnoteReference"/>
          <w:szCs w:val="24"/>
          <w:lang w:val="en-GB"/>
        </w:rPr>
        <w:footnoteRef/>
      </w:r>
      <w:r w:rsidRPr="000F2877">
        <w:rPr>
          <w:szCs w:val="24"/>
          <w:lang w:val="en-GB"/>
        </w:rPr>
        <w:tab/>
        <w:t>Directive (EU</w:t>
      </w:r>
      <w:r w:rsidRPr="001C7C63">
        <w:rPr>
          <w:szCs w:val="24"/>
          <w:lang w:val="en-GB"/>
        </w:rPr>
        <w:t>)</w:t>
      </w:r>
      <w:r w:rsidR="001C7C63" w:rsidRPr="001C7C63">
        <w:rPr>
          <w:szCs w:val="24"/>
          <w:lang w:val="en-GB"/>
        </w:rPr>
        <w:t xml:space="preserve"> </w:t>
      </w:r>
      <w:r w:rsidR="001C7C63" w:rsidRPr="001C75E9">
        <w:rPr>
          <w:szCs w:val="24"/>
          <w:lang w:val="en-GB"/>
        </w:rPr>
        <w:t>2024/1275</w:t>
      </w:r>
      <w:r w:rsidRPr="001C7C63">
        <w:rPr>
          <w:szCs w:val="24"/>
          <w:lang w:val="en-GB"/>
        </w:rPr>
        <w:t xml:space="preserve"> of</w:t>
      </w:r>
      <w:r w:rsidRPr="000F2877">
        <w:rPr>
          <w:szCs w:val="24"/>
          <w:lang w:val="en-GB"/>
        </w:rPr>
        <w:t xml:space="preserve"> the European Parliament and of the Council of </w:t>
      </w:r>
      <w:r w:rsidR="00EF6A92">
        <w:rPr>
          <w:szCs w:val="24"/>
          <w:lang w:val="en-GB"/>
        </w:rPr>
        <w:t xml:space="preserve">24 April 2024 </w:t>
      </w:r>
      <w:r w:rsidRPr="000F2877">
        <w:rPr>
          <w:szCs w:val="24"/>
          <w:lang w:val="en-GB"/>
        </w:rPr>
        <w:t xml:space="preserve">on the energy performance of buildings (recast) (OJ L, </w:t>
      </w:r>
      <w:r w:rsidR="00EF6A92" w:rsidRPr="00EF6A92">
        <w:rPr>
          <w:szCs w:val="24"/>
          <w:lang w:val="en-GB"/>
        </w:rPr>
        <w:t xml:space="preserve">2024/1275, 8.5.2024, ELI: </w:t>
      </w:r>
      <w:hyperlink r:id="rId1" w:history="1">
        <w:r w:rsidR="001C75E9" w:rsidRPr="00302B86">
          <w:rPr>
            <w:rStyle w:val="Hyperlink"/>
            <w:szCs w:val="24"/>
            <w:lang w:val="en-GB"/>
          </w:rPr>
          <w:t>http://data.europa.eu/eli/dir/2024/1275/oj</w:t>
        </w:r>
      </w:hyperlink>
      <w:r w:rsidRPr="000F2877">
        <w:rPr>
          <w:szCs w:val="24"/>
          <w:lang w:val="en-GB"/>
        </w:rPr>
        <w:t>).</w:t>
      </w:r>
    </w:p>
  </w:footnote>
  <w:footnote w:id="16">
    <w:p w14:paraId="03CCE4E7" w14:textId="77777777" w:rsidR="00841434" w:rsidRPr="000F2877" w:rsidRDefault="00841434" w:rsidP="00F81A5B">
      <w:pPr>
        <w:pStyle w:val="FootnoteTextForceStyle"/>
        <w:ind w:left="709" w:hanging="709"/>
        <w:rPr>
          <w:szCs w:val="24"/>
          <w:lang w:val="en-GB"/>
        </w:rPr>
      </w:pPr>
      <w:r w:rsidRPr="000F2877">
        <w:rPr>
          <w:szCs w:val="24"/>
          <w:vertAlign w:val="superscript"/>
          <w:lang w:val="en-GB"/>
        </w:rPr>
        <w:footnoteRef/>
      </w:r>
      <w:r w:rsidRPr="000F2877">
        <w:rPr>
          <w:szCs w:val="24"/>
          <w:lang w:val="en-GB"/>
        </w:rPr>
        <w:tab/>
        <w:t>Regulation (EU) No 910/2014 of the European Parliament and of the Council of 23 July 2014 on electronic identification and trust services for electronic transactions in the internal market and repealing Directive 1999/93/EC (OJ L 257, 28.8.2014, p. 73).</w:t>
      </w:r>
    </w:p>
  </w:footnote>
  <w:footnote w:id="17">
    <w:p w14:paraId="66761A61" w14:textId="77777777" w:rsidR="00841434" w:rsidRPr="000F2877" w:rsidRDefault="00841434" w:rsidP="00F81A5B">
      <w:pPr>
        <w:pStyle w:val="FootnoteTextForceStyle"/>
        <w:ind w:left="709" w:hanging="709"/>
        <w:rPr>
          <w:szCs w:val="24"/>
          <w:lang w:val="en-GB"/>
        </w:rPr>
      </w:pPr>
      <w:r w:rsidRPr="000F2877">
        <w:rPr>
          <w:szCs w:val="24"/>
          <w:vertAlign w:val="superscript"/>
          <w:lang w:val="en-GB"/>
        </w:rPr>
        <w:footnoteRef/>
      </w:r>
      <w:r w:rsidRPr="000F2877">
        <w:rPr>
          <w:szCs w:val="24"/>
          <w:lang w:val="en-GB"/>
        </w:rPr>
        <w:tab/>
        <w:t>Regulation (EU) 2018/1724 of the European Parliament and of the Council of 2 October 2018 establishing a single digital gateway to provide access to information, to procedures and to assistance and problem-solving services and amending Regulation (EU) No 1024/2012 (OJ L 295, 21.11.2018, p. 1).</w:t>
      </w:r>
    </w:p>
  </w:footnote>
  <w:footnote w:id="18">
    <w:p w14:paraId="5BDED85F" w14:textId="77777777" w:rsidR="00841434" w:rsidRPr="000F2877" w:rsidRDefault="00841434" w:rsidP="00F81A5B">
      <w:pPr>
        <w:pStyle w:val="FootnoteTextForceStyle"/>
        <w:ind w:left="709" w:hanging="709"/>
        <w:rPr>
          <w:szCs w:val="24"/>
          <w:lang w:val="en-GB"/>
        </w:rPr>
      </w:pPr>
      <w:r w:rsidRPr="000F2877">
        <w:rPr>
          <w:szCs w:val="24"/>
          <w:vertAlign w:val="superscript"/>
          <w:lang w:val="en-GB"/>
        </w:rPr>
        <w:footnoteRef/>
      </w:r>
      <w:r w:rsidRPr="000F2877">
        <w:rPr>
          <w:szCs w:val="24"/>
          <w:lang w:val="en-GB"/>
        </w:rPr>
        <w:tab/>
        <w:t>Regulation (EU) 2019/817 of the European Parliament and of the Council of 20 May 2019 on establishing a framework for interoperability between EU information systems in the field of borders and visa and amending Regulations (EC) No 767/2008, (EU) 2016/399, (EU) 2017/2226, (EU) 2018/1240, (EU) 2018/1726 and (EU) 2018/1861 of the European Parliament and of the Council and Council Decisions 2004/512/EC and 2008/633/JHA (OJ L 135, 22.5.2019, p. 27).</w:t>
      </w:r>
    </w:p>
  </w:footnote>
  <w:footnote w:id="19">
    <w:p w14:paraId="0F1FAC40" w14:textId="77777777" w:rsidR="00841434" w:rsidRPr="000F2877" w:rsidRDefault="00841434" w:rsidP="00F81A5B">
      <w:pPr>
        <w:pStyle w:val="FootnoteTextForceStyle"/>
        <w:ind w:left="709" w:hanging="709"/>
        <w:rPr>
          <w:szCs w:val="24"/>
          <w:lang w:val="en-GB"/>
        </w:rPr>
      </w:pPr>
      <w:r w:rsidRPr="000F2877">
        <w:rPr>
          <w:szCs w:val="24"/>
          <w:vertAlign w:val="superscript"/>
          <w:lang w:val="en-GB"/>
        </w:rPr>
        <w:footnoteRef/>
      </w:r>
      <w:r w:rsidRPr="000F2877">
        <w:rPr>
          <w:szCs w:val="24"/>
          <w:lang w:val="en-GB"/>
        </w:rPr>
        <w:tab/>
        <w:t>Regulation (EU) 2019/818 of the European Parliament and of the Council of 20 May 2019 on establishing a framework for interoperability between EU information systems in the field of police and judicial cooperation, asylum and migration and amending Regulations (EU) 2018/1726, (EU) 2018/1862 and (EU) 2019/816 (OJ L 135, 22.5.2019, p. 85).</w:t>
      </w:r>
    </w:p>
  </w:footnote>
  <w:footnote w:id="20">
    <w:p w14:paraId="4D1FD0C4" w14:textId="77777777" w:rsidR="00841434" w:rsidRPr="000F2877" w:rsidRDefault="00841434" w:rsidP="00F81A5B">
      <w:pPr>
        <w:pStyle w:val="FootnoteTextForceStyle"/>
        <w:ind w:left="709" w:hanging="709"/>
        <w:rPr>
          <w:szCs w:val="24"/>
          <w:lang w:val="en-GB"/>
        </w:rPr>
      </w:pPr>
      <w:r w:rsidRPr="000F2877">
        <w:rPr>
          <w:szCs w:val="24"/>
          <w:vertAlign w:val="superscript"/>
          <w:lang w:val="en-GB"/>
        </w:rPr>
        <w:footnoteRef/>
      </w:r>
      <w:r w:rsidRPr="000F2877">
        <w:rPr>
          <w:szCs w:val="24"/>
          <w:lang w:val="en-GB"/>
        </w:rPr>
        <w:tab/>
        <w:t>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 (OJ L 295, 21.11.2018, p. 39).</w:t>
      </w:r>
    </w:p>
  </w:footnote>
  <w:footnote w:id="21">
    <w:p w14:paraId="5898CDE9" w14:textId="77777777" w:rsidR="00841434" w:rsidRPr="000F2877" w:rsidRDefault="00841434" w:rsidP="00F81A5B">
      <w:pPr>
        <w:pStyle w:val="FootnoteTextForceStyle"/>
        <w:ind w:left="709" w:hanging="709"/>
        <w:rPr>
          <w:szCs w:val="24"/>
          <w:lang w:val="en-GB"/>
        </w:rPr>
      </w:pPr>
      <w:r w:rsidRPr="000F2877">
        <w:rPr>
          <w:rStyle w:val="FootnoteReference"/>
          <w:szCs w:val="24"/>
          <w:lang w:val="en-GB"/>
        </w:rPr>
        <w:footnoteRef/>
      </w:r>
      <w:r w:rsidRPr="000F2877">
        <w:rPr>
          <w:szCs w:val="24"/>
          <w:lang w:val="en-GB"/>
        </w:rPr>
        <w:tab/>
        <w:t>Regulation (EU) 2016/679 of the European Parliament and of the Council of 27 April 2016 on the protection of natural persons with regard to the processing of personal data and on the free movement of such data, and repealing Directive 95/46/EC (General Data Protection Regulation) (OJ L 119, 4.5.2016, p. 1).</w:t>
      </w:r>
    </w:p>
  </w:footnote>
  <w:footnote w:id="22">
    <w:p w14:paraId="79205442" w14:textId="77777777" w:rsidR="00841434" w:rsidRPr="000F2877" w:rsidRDefault="00841434" w:rsidP="00F81A5B">
      <w:pPr>
        <w:pStyle w:val="FootnoteTextForceStyle"/>
        <w:ind w:left="709" w:hanging="709"/>
        <w:rPr>
          <w:szCs w:val="24"/>
          <w:lang w:val="en-GB"/>
        </w:rPr>
      </w:pPr>
      <w:r w:rsidRPr="000F2877">
        <w:rPr>
          <w:szCs w:val="24"/>
          <w:vertAlign w:val="superscript"/>
          <w:lang w:val="en-GB"/>
        </w:rPr>
        <w:footnoteRef/>
      </w:r>
      <w:r w:rsidRPr="000F2877">
        <w:rPr>
          <w:szCs w:val="24"/>
          <w:lang w:val="en-GB"/>
        </w:rPr>
        <w:tab/>
        <w:t>Directive 2002/58/EC of the European Parliament and of the Council of 12 July 2002 concerning the processing of personal data and the protection of privacy in the electronic communications sector (Directive on privacy and electronic communications) (OJ L 201, 31.7.2002, p. 37).</w:t>
      </w:r>
    </w:p>
  </w:footnote>
  <w:footnote w:id="23">
    <w:p w14:paraId="684D6867" w14:textId="77777777" w:rsidR="00841434" w:rsidRPr="000F2877" w:rsidRDefault="00841434" w:rsidP="00F81A5B">
      <w:pPr>
        <w:pStyle w:val="FootnoteTextForceStyle"/>
        <w:ind w:left="709" w:hanging="709"/>
        <w:rPr>
          <w:szCs w:val="24"/>
          <w:lang w:val="en-GB"/>
        </w:rPr>
      </w:pPr>
      <w:r w:rsidRPr="000F2877">
        <w:rPr>
          <w:szCs w:val="24"/>
          <w:vertAlign w:val="superscript"/>
          <w:lang w:val="en-GB"/>
        </w:rPr>
        <w:footnoteRef/>
      </w:r>
      <w:r w:rsidRPr="000F2877">
        <w:rPr>
          <w:szCs w:val="24"/>
          <w:lang w:val="en-GB"/>
        </w:rPr>
        <w:tab/>
        <w:t>OJ L 123, 12.5.2016, p. 1.</w:t>
      </w:r>
    </w:p>
  </w:footnote>
  <w:footnote w:id="24">
    <w:p w14:paraId="7CAB1E24" w14:textId="77777777" w:rsidR="00841434" w:rsidRPr="000F2877" w:rsidRDefault="00841434" w:rsidP="00F81A5B">
      <w:pPr>
        <w:pStyle w:val="FootnoteTextForceStyle"/>
        <w:ind w:left="709" w:hanging="709"/>
        <w:rPr>
          <w:szCs w:val="24"/>
          <w:lang w:val="en-GB"/>
        </w:rPr>
      </w:pPr>
      <w:r w:rsidRPr="000F2877">
        <w:rPr>
          <w:szCs w:val="24"/>
          <w:vertAlign w:val="superscript"/>
          <w:lang w:val="en-GB"/>
        </w:rPr>
        <w:footnoteRef/>
      </w:r>
      <w:r w:rsidRPr="000F2877">
        <w:rPr>
          <w:szCs w:val="24"/>
          <w:lang w:val="en-GB"/>
        </w:rPr>
        <w:tab/>
        <w:t>Regulation (EU) 2021/690 of the European Parliament and of the Council of 28 April 2021 establishing a programme for the internal market, competitiveness of enterprises, including small and medium-sized enterprises, the area of plants, animals, food and feed, and European statistics (Single Market Programme) and repealing Regulations (EU) No 99/2013, (EU) No 1287/2013, (EU) No 254/2014 and (EU) No 652/2014 (OJ L 153, 3.5.2021, p. 1).</w:t>
      </w:r>
    </w:p>
  </w:footnote>
  <w:footnote w:id="25">
    <w:p w14:paraId="4BB04C67" w14:textId="77777777" w:rsidR="00841434" w:rsidRPr="000F2877" w:rsidRDefault="00841434" w:rsidP="00F81A5B">
      <w:pPr>
        <w:pStyle w:val="FootnoteTextForceStyle"/>
        <w:ind w:left="709" w:hanging="709"/>
        <w:rPr>
          <w:szCs w:val="24"/>
          <w:lang w:val="en-GB"/>
        </w:rPr>
      </w:pPr>
      <w:r w:rsidRPr="000F2877">
        <w:rPr>
          <w:rStyle w:val="FootnoteReference"/>
          <w:szCs w:val="24"/>
          <w:lang w:val="en-GB"/>
        </w:rPr>
        <w:footnoteRef/>
      </w:r>
      <w:r w:rsidRPr="000F2877">
        <w:rPr>
          <w:szCs w:val="24"/>
          <w:lang w:val="en-GB"/>
        </w:rPr>
        <w:tab/>
        <w:t>Regulation (EU) 2021/240 of the European Parliament and of the Council of 10 February 2021 establishing a Technical Support Instrument (OJ L 57, 18.2.2021, p. 1).</w:t>
      </w:r>
    </w:p>
  </w:footnote>
  <w:footnote w:id="26">
    <w:p w14:paraId="456FF90A" w14:textId="77777777" w:rsidR="00841434" w:rsidRPr="000F2877" w:rsidRDefault="00841434" w:rsidP="00F81A5B">
      <w:pPr>
        <w:pStyle w:val="FootnoteTextForceStyle"/>
        <w:ind w:left="709" w:hanging="709"/>
        <w:rPr>
          <w:szCs w:val="24"/>
          <w:lang w:val="en-GB"/>
        </w:rPr>
      </w:pPr>
      <w:r w:rsidRPr="000F2877">
        <w:rPr>
          <w:rStyle w:val="FootnoteReference"/>
          <w:szCs w:val="24"/>
          <w:lang w:val="en-GB"/>
        </w:rPr>
        <w:footnoteRef/>
      </w:r>
      <w:r w:rsidRPr="000F2877">
        <w:rPr>
          <w:szCs w:val="24"/>
          <w:lang w:val="en-GB"/>
        </w:rPr>
        <w:tab/>
        <w:t xml:space="preserve">Regulation (EU, </w:t>
      </w:r>
      <w:proofErr w:type="spellStart"/>
      <w:r w:rsidRPr="000F2877">
        <w:rPr>
          <w:szCs w:val="24"/>
          <w:lang w:val="en-GB"/>
        </w:rPr>
        <w:t>Euratom</w:t>
      </w:r>
      <w:proofErr w:type="spellEnd"/>
      <w:r w:rsidRPr="000F2877">
        <w:rPr>
          <w:szCs w:val="24"/>
          <w:lang w:val="en-GB"/>
        </w:rPr>
        <w:t xml:space="preserve">)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w:t>
      </w:r>
      <w:proofErr w:type="spellStart"/>
      <w:r w:rsidRPr="000F2877">
        <w:rPr>
          <w:szCs w:val="24"/>
          <w:lang w:val="en-GB"/>
        </w:rPr>
        <w:t>Euratom</w:t>
      </w:r>
      <w:proofErr w:type="spellEnd"/>
      <w:r w:rsidRPr="000F2877">
        <w:rPr>
          <w:szCs w:val="24"/>
          <w:lang w:val="en-GB"/>
        </w:rPr>
        <w:t>) No 966/2012 (</w:t>
      </w:r>
      <w:proofErr w:type="spellStart"/>
      <w:r w:rsidRPr="000F2877">
        <w:rPr>
          <w:szCs w:val="24"/>
          <w:lang w:val="en-GB"/>
        </w:rPr>
        <w:t>OJ</w:t>
      </w:r>
      <w:proofErr w:type="spellEnd"/>
      <w:r w:rsidRPr="000F2877">
        <w:rPr>
          <w:szCs w:val="24"/>
          <w:lang w:val="en-GB"/>
        </w:rPr>
        <w:t xml:space="preserve"> L 193, 30.7.2018, p. 1).</w:t>
      </w:r>
    </w:p>
  </w:footnote>
  <w:footnote w:id="27">
    <w:p w14:paraId="73B1C481" w14:textId="77777777" w:rsidR="00841434" w:rsidRPr="000F2877" w:rsidRDefault="00841434" w:rsidP="00F81A5B">
      <w:pPr>
        <w:pStyle w:val="FootnoteTextForceStyle"/>
        <w:ind w:left="709" w:hanging="709"/>
        <w:rPr>
          <w:szCs w:val="24"/>
          <w:lang w:val="en-GB"/>
        </w:rPr>
      </w:pPr>
      <w:r w:rsidRPr="000F2877">
        <w:rPr>
          <w:szCs w:val="24"/>
          <w:vertAlign w:val="superscript"/>
          <w:lang w:val="en-GB"/>
        </w:rPr>
        <w:footnoteRef/>
      </w:r>
      <w:r w:rsidRPr="000F2877">
        <w:rPr>
          <w:szCs w:val="24"/>
          <w:lang w:val="en-GB"/>
        </w:rPr>
        <w:tab/>
        <w:t xml:space="preserve">Regulation (EU, </w:t>
      </w:r>
      <w:proofErr w:type="spellStart"/>
      <w:r w:rsidRPr="000F2877">
        <w:rPr>
          <w:szCs w:val="24"/>
          <w:lang w:val="en-GB"/>
        </w:rPr>
        <w:t>Euratom</w:t>
      </w:r>
      <w:proofErr w:type="spellEnd"/>
      <w:r w:rsidRPr="000F2877">
        <w:rPr>
          <w:szCs w:val="24"/>
          <w:lang w:val="en-GB"/>
        </w:rPr>
        <w:t>) No 883/2013 of the European Parliament and of the Council of 11 September 2013 concerning investigations conducted by the European Anti-Fraud Office (OLAF) and repealing Regulation (EC) No 1073/1999 of the European Parliament and of the Council and Council Regulation (</w:t>
      </w:r>
      <w:proofErr w:type="spellStart"/>
      <w:r w:rsidRPr="000F2877">
        <w:rPr>
          <w:szCs w:val="24"/>
          <w:lang w:val="en-GB"/>
        </w:rPr>
        <w:t>Euratom</w:t>
      </w:r>
      <w:proofErr w:type="spellEnd"/>
      <w:r w:rsidRPr="000F2877">
        <w:rPr>
          <w:szCs w:val="24"/>
          <w:lang w:val="en-GB"/>
        </w:rPr>
        <w:t>) No 1074/1999 (</w:t>
      </w:r>
      <w:proofErr w:type="spellStart"/>
      <w:r w:rsidRPr="000F2877">
        <w:rPr>
          <w:szCs w:val="24"/>
          <w:lang w:val="en-GB"/>
        </w:rPr>
        <w:t>OJ</w:t>
      </w:r>
      <w:proofErr w:type="spellEnd"/>
      <w:r w:rsidRPr="000F2877">
        <w:rPr>
          <w:szCs w:val="24"/>
          <w:lang w:val="en-GB"/>
        </w:rPr>
        <w:t xml:space="preserve"> L 248, 18.9.2013, p. 1).</w:t>
      </w:r>
    </w:p>
  </w:footnote>
  <w:footnote w:id="28">
    <w:p w14:paraId="05CC7AD5" w14:textId="77777777" w:rsidR="00841434" w:rsidRPr="000F2877" w:rsidRDefault="00841434" w:rsidP="00F81A5B">
      <w:pPr>
        <w:pStyle w:val="FootnoteTextForceStyle"/>
        <w:ind w:left="709" w:hanging="709"/>
        <w:rPr>
          <w:szCs w:val="24"/>
          <w:lang w:val="en-GB"/>
        </w:rPr>
      </w:pPr>
      <w:r w:rsidRPr="000F2877">
        <w:rPr>
          <w:szCs w:val="24"/>
          <w:vertAlign w:val="superscript"/>
          <w:lang w:val="en-GB"/>
        </w:rPr>
        <w:footnoteRef/>
      </w:r>
      <w:r w:rsidRPr="000F2877">
        <w:rPr>
          <w:szCs w:val="24"/>
          <w:lang w:val="en-GB"/>
        </w:rPr>
        <w:tab/>
        <w:t xml:space="preserve">Council Regulation (EC, </w:t>
      </w:r>
      <w:proofErr w:type="spellStart"/>
      <w:proofErr w:type="gramStart"/>
      <w:r w:rsidRPr="000F2877">
        <w:rPr>
          <w:szCs w:val="24"/>
          <w:lang w:val="en-GB"/>
        </w:rPr>
        <w:t>Euratom</w:t>
      </w:r>
      <w:proofErr w:type="spellEnd"/>
      <w:proofErr w:type="gramEnd"/>
      <w:r w:rsidRPr="000F2877">
        <w:rPr>
          <w:szCs w:val="24"/>
          <w:lang w:val="en-GB"/>
        </w:rPr>
        <w:t>) No 2988/95 of 18 December 1995 on the protection of the European Communities financial interests (OJ L 312, 23.12.1995, p. 1).</w:t>
      </w:r>
    </w:p>
  </w:footnote>
  <w:footnote w:id="29">
    <w:p w14:paraId="1090FB7F" w14:textId="77777777" w:rsidR="00841434" w:rsidRPr="000F2877" w:rsidRDefault="00841434" w:rsidP="00F81A5B">
      <w:pPr>
        <w:pStyle w:val="FootnoteTextForceStyle"/>
        <w:ind w:left="709" w:hanging="709"/>
        <w:rPr>
          <w:szCs w:val="24"/>
          <w:lang w:val="en-GB"/>
        </w:rPr>
      </w:pPr>
      <w:r w:rsidRPr="000F2877">
        <w:rPr>
          <w:szCs w:val="24"/>
          <w:vertAlign w:val="superscript"/>
          <w:lang w:val="en-GB"/>
        </w:rPr>
        <w:footnoteRef/>
      </w:r>
      <w:r w:rsidRPr="000F2877">
        <w:rPr>
          <w:szCs w:val="24"/>
          <w:lang w:val="en-GB"/>
        </w:rPr>
        <w:tab/>
        <w:t>Council Regulation (</w:t>
      </w:r>
      <w:proofErr w:type="spellStart"/>
      <w:proofErr w:type="gramStart"/>
      <w:r w:rsidRPr="000F2877">
        <w:rPr>
          <w:szCs w:val="24"/>
          <w:lang w:val="en-GB"/>
        </w:rPr>
        <w:t>Euratom</w:t>
      </w:r>
      <w:proofErr w:type="spellEnd"/>
      <w:proofErr w:type="gramEnd"/>
      <w:r w:rsidRPr="000F2877">
        <w:rPr>
          <w:szCs w:val="24"/>
          <w:lang w:val="en-GB"/>
        </w:rPr>
        <w:t>, EC) No 2185/96 of 11 November 1996 concerning on-the-spot checks and inspections carried out by the Commission in order to protect the European Communities’ financial interests against fraud and other irregularities (OJ L 292, 15.11.1996, p. 2).</w:t>
      </w:r>
    </w:p>
  </w:footnote>
  <w:footnote w:id="30">
    <w:p w14:paraId="250D00DE" w14:textId="77777777" w:rsidR="00841434" w:rsidRPr="000F2877" w:rsidRDefault="00841434" w:rsidP="00F81A5B">
      <w:pPr>
        <w:pStyle w:val="FootnoteTextForceStyle"/>
        <w:ind w:left="709" w:hanging="709"/>
        <w:rPr>
          <w:szCs w:val="24"/>
          <w:lang w:val="en-GB"/>
        </w:rPr>
      </w:pPr>
      <w:r w:rsidRPr="000F2877">
        <w:rPr>
          <w:szCs w:val="24"/>
          <w:vertAlign w:val="superscript"/>
          <w:lang w:val="en-GB"/>
        </w:rPr>
        <w:footnoteRef/>
      </w:r>
      <w:r w:rsidRPr="000F2877">
        <w:rPr>
          <w:szCs w:val="24"/>
          <w:lang w:val="en-GB"/>
        </w:rPr>
        <w:tab/>
        <w:t>Council Regulation (EU) 2017/1939 of 12 October 2017 implementing enhanced cooperation on the establishment of the European Public Prosecutor’s Office (‘the EPPO’) (OJ L 283, 31.10.2017, p. 1).</w:t>
      </w:r>
    </w:p>
  </w:footnote>
  <w:footnote w:id="31">
    <w:p w14:paraId="7EE7144B" w14:textId="77777777" w:rsidR="00841434" w:rsidRPr="000F2877" w:rsidRDefault="00841434" w:rsidP="00F81A5B">
      <w:pPr>
        <w:pStyle w:val="FootnoteTextForceStyle"/>
        <w:ind w:left="709" w:hanging="709"/>
        <w:rPr>
          <w:szCs w:val="24"/>
          <w:lang w:val="en-GB"/>
        </w:rPr>
      </w:pPr>
      <w:r w:rsidRPr="000F2877">
        <w:rPr>
          <w:szCs w:val="24"/>
          <w:vertAlign w:val="superscript"/>
          <w:lang w:val="en-GB"/>
        </w:rPr>
        <w:footnoteRef/>
      </w:r>
      <w:r w:rsidRPr="000F2877">
        <w:rPr>
          <w:szCs w:val="24"/>
          <w:lang w:val="en-GB"/>
        </w:rPr>
        <w:tab/>
        <w:t>Directive (EU) 2017/1371 of the European Parliament and of the Council of 5 July 2017 on the fight against fraud to the Union’s financial interests by means of criminal law (OJ L 198, 28.7.2017, p. 29).</w:t>
      </w:r>
    </w:p>
  </w:footnote>
  <w:footnote w:id="32">
    <w:p w14:paraId="020284AD" w14:textId="77777777" w:rsidR="00841434" w:rsidRPr="000F2877" w:rsidRDefault="00841434" w:rsidP="00F81A5B">
      <w:pPr>
        <w:pStyle w:val="FootnoteTextForceStyle"/>
        <w:ind w:left="709" w:hanging="709"/>
        <w:rPr>
          <w:szCs w:val="24"/>
          <w:lang w:val="en-GB"/>
        </w:rPr>
      </w:pPr>
      <w:r w:rsidRPr="000F2877">
        <w:rPr>
          <w:szCs w:val="24"/>
          <w:vertAlign w:val="superscript"/>
          <w:lang w:val="en-GB"/>
        </w:rPr>
        <w:footnoteRef/>
      </w:r>
      <w:r w:rsidRPr="000F2877">
        <w:rPr>
          <w:szCs w:val="24"/>
          <w:lang w:val="en-GB"/>
        </w:rPr>
        <w:tab/>
        <w:t>Regulation (EU) No 182/2011 of the European Parliament and of the Council of 16 February 2011 laying down the rules and general principles concerning mechanisms for control by Member States of the Commission's exercise of implementing powers (OJ L 55, 28.2.2011, p. 13).</w:t>
      </w:r>
    </w:p>
  </w:footnote>
  <w:footnote w:id="33">
    <w:p w14:paraId="1D04A036" w14:textId="77777777" w:rsidR="00841434" w:rsidRPr="000F2877" w:rsidRDefault="00841434" w:rsidP="00F81A5B">
      <w:pPr>
        <w:pStyle w:val="FootnoteText"/>
        <w:ind w:left="709" w:hanging="709"/>
        <w:rPr>
          <w:sz w:val="24"/>
          <w:szCs w:val="24"/>
          <w:lang w:val="en-GB"/>
        </w:rPr>
      </w:pPr>
      <w:r w:rsidRPr="000F2877">
        <w:rPr>
          <w:rStyle w:val="FootnoteReference"/>
          <w:sz w:val="24"/>
          <w:szCs w:val="24"/>
          <w:lang w:val="en-GB"/>
        </w:rPr>
        <w:t>+</w:t>
      </w:r>
      <w:r w:rsidRPr="000F2877">
        <w:rPr>
          <w:sz w:val="24"/>
          <w:szCs w:val="24"/>
          <w:lang w:val="en-GB"/>
        </w:rPr>
        <w:tab/>
      </w:r>
      <w:bookmarkStart w:id="9" w:name="_Hlk159427958"/>
      <w:r w:rsidRPr="000F2877">
        <w:rPr>
          <w:sz w:val="24"/>
          <w:szCs w:val="24"/>
          <w:lang w:val="en-GB"/>
        </w:rPr>
        <w:t xml:space="preserve">OJ: Please insert in the text the number of Regulation contained in doc (2023/0008(COD)) </w:t>
      </w:r>
      <w:bookmarkEnd w:id="9"/>
      <w:r w:rsidRPr="000F2877">
        <w:rPr>
          <w:sz w:val="24"/>
          <w:szCs w:val="24"/>
          <w:lang w:val="en-GB"/>
        </w:rPr>
        <w:t>and insert the number, date, title and OJ reference of that Regulation in the footnote.</w:t>
      </w:r>
    </w:p>
  </w:footnote>
  <w:footnote w:id="34">
    <w:p w14:paraId="5582FE59" w14:textId="77777777" w:rsidR="00841434" w:rsidRPr="000F2877" w:rsidRDefault="00841434" w:rsidP="00F81A5B">
      <w:pPr>
        <w:pStyle w:val="FootnoteText"/>
        <w:ind w:left="709" w:hanging="709"/>
        <w:rPr>
          <w:sz w:val="24"/>
          <w:szCs w:val="24"/>
          <w:lang w:val="en-GB"/>
        </w:rPr>
      </w:pPr>
      <w:r w:rsidRPr="000F2877">
        <w:rPr>
          <w:rStyle w:val="FootnoteReference"/>
          <w:sz w:val="24"/>
          <w:szCs w:val="24"/>
          <w:lang w:val="en-GB"/>
        </w:rPr>
        <w:t>+</w:t>
      </w:r>
      <w:r w:rsidRPr="000F2877">
        <w:rPr>
          <w:sz w:val="24"/>
          <w:szCs w:val="24"/>
          <w:lang w:val="en-GB"/>
        </w:rPr>
        <w:tab/>
        <w:t>OJ: Please insert in the text the number of Regulation contained in doc (2023/0008(COD)) and insert the number, date, title and OJ reference of that Regulation in the footnote.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1791F5" w14:textId="77777777" w:rsidR="00841434" w:rsidRPr="009B63E8" w:rsidRDefault="00841434"/>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2886A9" w14:textId="77777777" w:rsidR="00841434" w:rsidRPr="009B63E8" w:rsidRDefault="00841434"/>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503A78" w14:textId="77777777" w:rsidR="00841434" w:rsidRPr="009B63E8" w:rsidRDefault="00841434"/>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0D1E6980"/>
    <w:multiLevelType w:val="hybridMultilevel"/>
    <w:tmpl w:val="D4C627CE"/>
    <w:lvl w:ilvl="0" w:tplc="A5C878B2">
      <w:start w:val="1"/>
      <w:numFmt w:val="decimal"/>
      <w:lvlText w:val="%1."/>
      <w:lvlJc w:val="left"/>
      <w:pPr>
        <w:ind w:left="930" w:hanging="57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2"/>
  </w:num>
  <w:num w:numId="4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activeWritingStyle w:appName="MSWord" w:lang="fi-FI" w:vendorID="64" w:dllVersion="131078" w:nlCheck="1" w:checkStyle="0"/>
  <w:activeWritingStyle w:appName="MSWord" w:lang="en-GB"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284/2023"/>
    <w:docVar w:name="dvlangue" w:val="EN"/>
    <w:docVar w:name="dvnumam" w:val="83"/>
    <w:docVar w:name="dvpe" w:val="746.665"/>
    <w:docVar w:name="dvrapporteur" w:val="Rapporteur: "/>
    <w:docVar w:name="dvstar" w:val="***I"/>
    <w:docVar w:name="dvtitre" w:val="European Parliament legislative resolution of xx April 2024 on the proposal for a regulation of the European Parliament and of the Council on European statistics on population and housing, amending Regulation (EC) No 862/2007 and repealing Regulations (EC) No 763/2008 and (EU) No 1260/2013(COM(2023)0031 – C9-0010/2023 – 2023/0008(COD))"/>
  </w:docVars>
  <w:rsids>
    <w:rsidRoot w:val="005C2488"/>
    <w:rsid w:val="00002272"/>
    <w:rsid w:val="00002DCE"/>
    <w:rsid w:val="00034672"/>
    <w:rsid w:val="00054513"/>
    <w:rsid w:val="00064002"/>
    <w:rsid w:val="000677B9"/>
    <w:rsid w:val="000831BA"/>
    <w:rsid w:val="000A42CC"/>
    <w:rsid w:val="000B46A1"/>
    <w:rsid w:val="000E7DD9"/>
    <w:rsid w:val="000F2877"/>
    <w:rsid w:val="0010095E"/>
    <w:rsid w:val="00125B37"/>
    <w:rsid w:val="00130BE9"/>
    <w:rsid w:val="0013337A"/>
    <w:rsid w:val="00135663"/>
    <w:rsid w:val="001857A4"/>
    <w:rsid w:val="00187494"/>
    <w:rsid w:val="00192FDB"/>
    <w:rsid w:val="001C75E9"/>
    <w:rsid w:val="001C7C63"/>
    <w:rsid w:val="001F1D35"/>
    <w:rsid w:val="001F32AE"/>
    <w:rsid w:val="001F78AB"/>
    <w:rsid w:val="0022272B"/>
    <w:rsid w:val="002767FF"/>
    <w:rsid w:val="002816D9"/>
    <w:rsid w:val="00293441"/>
    <w:rsid w:val="002B18FE"/>
    <w:rsid w:val="002B5493"/>
    <w:rsid w:val="002C707D"/>
    <w:rsid w:val="002F26E5"/>
    <w:rsid w:val="002F35CF"/>
    <w:rsid w:val="003307D0"/>
    <w:rsid w:val="00343214"/>
    <w:rsid w:val="00361C00"/>
    <w:rsid w:val="003745EA"/>
    <w:rsid w:val="00395FA1"/>
    <w:rsid w:val="003E15D4"/>
    <w:rsid w:val="00411CCE"/>
    <w:rsid w:val="0041666E"/>
    <w:rsid w:val="0041771C"/>
    <w:rsid w:val="00421060"/>
    <w:rsid w:val="00436C13"/>
    <w:rsid w:val="00456866"/>
    <w:rsid w:val="00471C19"/>
    <w:rsid w:val="004867E3"/>
    <w:rsid w:val="00494A28"/>
    <w:rsid w:val="004C0004"/>
    <w:rsid w:val="004C5D52"/>
    <w:rsid w:val="004F6A8B"/>
    <w:rsid w:val="0050519A"/>
    <w:rsid w:val="005072A1"/>
    <w:rsid w:val="00514517"/>
    <w:rsid w:val="00533519"/>
    <w:rsid w:val="005373B7"/>
    <w:rsid w:val="00545827"/>
    <w:rsid w:val="00551F12"/>
    <w:rsid w:val="00552481"/>
    <w:rsid w:val="00560270"/>
    <w:rsid w:val="00573942"/>
    <w:rsid w:val="005A6436"/>
    <w:rsid w:val="005B479D"/>
    <w:rsid w:val="005C2488"/>
    <w:rsid w:val="005C2568"/>
    <w:rsid w:val="006037C0"/>
    <w:rsid w:val="00624F5C"/>
    <w:rsid w:val="006631B6"/>
    <w:rsid w:val="00680577"/>
    <w:rsid w:val="00692F81"/>
    <w:rsid w:val="006F74FA"/>
    <w:rsid w:val="00717F52"/>
    <w:rsid w:val="00731ADD"/>
    <w:rsid w:val="00734777"/>
    <w:rsid w:val="00747932"/>
    <w:rsid w:val="00751A4A"/>
    <w:rsid w:val="00756632"/>
    <w:rsid w:val="00762C74"/>
    <w:rsid w:val="00786EC0"/>
    <w:rsid w:val="007D1690"/>
    <w:rsid w:val="007E22AD"/>
    <w:rsid w:val="008012A6"/>
    <w:rsid w:val="00817416"/>
    <w:rsid w:val="00835384"/>
    <w:rsid w:val="00841434"/>
    <w:rsid w:val="00842779"/>
    <w:rsid w:val="00850C9B"/>
    <w:rsid w:val="00865F67"/>
    <w:rsid w:val="0088083A"/>
    <w:rsid w:val="00881A7B"/>
    <w:rsid w:val="008840E5"/>
    <w:rsid w:val="00887B3E"/>
    <w:rsid w:val="008966FC"/>
    <w:rsid w:val="008C2AC6"/>
    <w:rsid w:val="0093092B"/>
    <w:rsid w:val="00930C23"/>
    <w:rsid w:val="0093193B"/>
    <w:rsid w:val="0094497D"/>
    <w:rsid w:val="009509D8"/>
    <w:rsid w:val="00950B64"/>
    <w:rsid w:val="00981893"/>
    <w:rsid w:val="00993BC9"/>
    <w:rsid w:val="009B63E8"/>
    <w:rsid w:val="009E6760"/>
    <w:rsid w:val="00A0283F"/>
    <w:rsid w:val="00A1687D"/>
    <w:rsid w:val="00A2009E"/>
    <w:rsid w:val="00A43E52"/>
    <w:rsid w:val="00A4678D"/>
    <w:rsid w:val="00A778C7"/>
    <w:rsid w:val="00AA598B"/>
    <w:rsid w:val="00AB441E"/>
    <w:rsid w:val="00AB6293"/>
    <w:rsid w:val="00AC18C2"/>
    <w:rsid w:val="00AE0928"/>
    <w:rsid w:val="00AF3B82"/>
    <w:rsid w:val="00B12E95"/>
    <w:rsid w:val="00B22876"/>
    <w:rsid w:val="00B558F0"/>
    <w:rsid w:val="00BD402E"/>
    <w:rsid w:val="00BD48FE"/>
    <w:rsid w:val="00BD7BD8"/>
    <w:rsid w:val="00BE6ADC"/>
    <w:rsid w:val="00C032DC"/>
    <w:rsid w:val="00C05BFE"/>
    <w:rsid w:val="00C07755"/>
    <w:rsid w:val="00C07AE0"/>
    <w:rsid w:val="00C23CD4"/>
    <w:rsid w:val="00C61C0C"/>
    <w:rsid w:val="00C8756F"/>
    <w:rsid w:val="00C941CB"/>
    <w:rsid w:val="00CC2357"/>
    <w:rsid w:val="00CF071A"/>
    <w:rsid w:val="00D058B8"/>
    <w:rsid w:val="00D53492"/>
    <w:rsid w:val="00D56C11"/>
    <w:rsid w:val="00D834A0"/>
    <w:rsid w:val="00D872DF"/>
    <w:rsid w:val="00D91E21"/>
    <w:rsid w:val="00DA7FCD"/>
    <w:rsid w:val="00E0724A"/>
    <w:rsid w:val="00E171E3"/>
    <w:rsid w:val="00E2155E"/>
    <w:rsid w:val="00E365E1"/>
    <w:rsid w:val="00E820A4"/>
    <w:rsid w:val="00EB006A"/>
    <w:rsid w:val="00EB4772"/>
    <w:rsid w:val="00ED169E"/>
    <w:rsid w:val="00ED4235"/>
    <w:rsid w:val="00EE7159"/>
    <w:rsid w:val="00EF6A92"/>
    <w:rsid w:val="00F01465"/>
    <w:rsid w:val="00F04346"/>
    <w:rsid w:val="00F04BD3"/>
    <w:rsid w:val="00F075DC"/>
    <w:rsid w:val="00F149E9"/>
    <w:rsid w:val="00F5134D"/>
    <w:rsid w:val="00F74202"/>
    <w:rsid w:val="00F81A5B"/>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611D74"/>
  <w15:chartTrackingRefBased/>
  <w15:docId w15:val="{FD1133B3-C2AE-4784-B03F-14F2A7106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footnote text"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link w:val="Heading3Char"/>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link w:val="Heading4Char"/>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link w:val="Heading5Char"/>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link w:val="Heading6Char"/>
    <w:semiHidden/>
    <w:qFormat/>
    <w:pPr>
      <w:spacing w:before="240" w:after="60"/>
      <w:outlineLvl w:val="5"/>
    </w:pPr>
    <w:rPr>
      <w:i/>
      <w:sz w:val="22"/>
    </w:rPr>
  </w:style>
  <w:style w:type="paragraph" w:styleId="Heading7">
    <w:name w:val="heading 7"/>
    <w:basedOn w:val="Normal"/>
    <w:next w:val="Normal"/>
    <w:link w:val="Heading7Char"/>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EE7159"/>
    <w:rPr>
      <w:b/>
      <w:kern w:val="28"/>
      <w:sz w:val="28"/>
      <w:lang w:val="fr-FR" w:eastAsia="fr-FR"/>
    </w:rPr>
  </w:style>
  <w:style w:type="character" w:customStyle="1" w:styleId="Heading2Char">
    <w:name w:val="Heading 2 Char"/>
    <w:basedOn w:val="DefaultParagraphFont"/>
    <w:link w:val="Heading2"/>
    <w:semiHidden/>
    <w:rsid w:val="00EE7159"/>
    <w:rPr>
      <w:sz w:val="24"/>
      <w:lang w:val="fr-FR" w:eastAsia="fr-FR"/>
    </w:rPr>
  </w:style>
  <w:style w:type="character" w:customStyle="1" w:styleId="Heading3Char">
    <w:name w:val="Heading 3 Char"/>
    <w:basedOn w:val="DefaultParagraphFont"/>
    <w:link w:val="Heading3"/>
    <w:semiHidden/>
    <w:rsid w:val="00EE7159"/>
    <w:rPr>
      <w:rFonts w:ascii="Arial" w:hAnsi="Arial"/>
      <w:sz w:val="24"/>
      <w:lang w:val="fr-FR" w:eastAsia="fr-FR"/>
    </w:rPr>
  </w:style>
  <w:style w:type="character" w:customStyle="1" w:styleId="Heading4Char">
    <w:name w:val="Heading 4 Char"/>
    <w:basedOn w:val="DefaultParagraphFont"/>
    <w:link w:val="Heading4"/>
    <w:semiHidden/>
    <w:rsid w:val="00EE7159"/>
    <w:rPr>
      <w:sz w:val="24"/>
      <w:lang w:val="en-US" w:eastAsia="fr-FR"/>
    </w:rPr>
  </w:style>
  <w:style w:type="character" w:customStyle="1" w:styleId="Heading5Char">
    <w:name w:val="Heading 5 Char"/>
    <w:basedOn w:val="DefaultParagraphFont"/>
    <w:link w:val="Heading5"/>
    <w:semiHidden/>
    <w:rsid w:val="00EE7159"/>
    <w:rPr>
      <w:sz w:val="24"/>
      <w:lang w:val="en-US" w:eastAsia="fr-FR"/>
    </w:rPr>
  </w:style>
  <w:style w:type="character" w:customStyle="1" w:styleId="Heading6Char">
    <w:name w:val="Heading 6 Char"/>
    <w:basedOn w:val="DefaultParagraphFont"/>
    <w:link w:val="Heading6"/>
    <w:semiHidden/>
    <w:rsid w:val="00EE7159"/>
    <w:rPr>
      <w:i/>
      <w:sz w:val="22"/>
    </w:rPr>
  </w:style>
  <w:style w:type="character" w:customStyle="1" w:styleId="Heading7Char">
    <w:name w:val="Heading 7 Char"/>
    <w:basedOn w:val="DefaultParagraphFont"/>
    <w:link w:val="Heading7"/>
    <w:semiHidden/>
    <w:rsid w:val="00EE7159"/>
    <w:rPr>
      <w:rFonts w:ascii="Arial" w:hAnsi="Arial"/>
      <w:sz w:val="24"/>
    </w:rPr>
  </w:style>
  <w:style w:type="character" w:customStyle="1" w:styleId="Heading8Char">
    <w:name w:val="Heading 8 Char"/>
    <w:basedOn w:val="DefaultParagraphFont"/>
    <w:link w:val="Heading8"/>
    <w:semiHidden/>
    <w:rsid w:val="00EE7159"/>
    <w:rPr>
      <w:rFonts w:ascii="Arial" w:hAnsi="Arial"/>
      <w:i/>
      <w:sz w:val="24"/>
    </w:rPr>
  </w:style>
  <w:style w:type="character" w:customStyle="1" w:styleId="Heading9Char">
    <w:name w:val="Heading 9 Char"/>
    <w:basedOn w:val="DefaultParagraphFont"/>
    <w:link w:val="Heading9"/>
    <w:semiHidden/>
    <w:rsid w:val="00EE7159"/>
    <w:rPr>
      <w:rFonts w:ascii="Arial" w:hAnsi="Arial"/>
      <w:b/>
      <w:i/>
      <w:sz w:val="18"/>
    </w:rPr>
  </w:style>
  <w:style w:type="paragraph" w:styleId="TOCHeading">
    <w:name w:val="TOC Heading"/>
    <w:basedOn w:val="Normal"/>
    <w:next w:val="Normal"/>
    <w:unhideWhenUsed/>
    <w:qFormat/>
    <w:rsid w:val="00EE7159"/>
    <w:pPr>
      <w:widowControl/>
      <w:spacing w:after="240"/>
    </w:pPr>
  </w:style>
  <w:style w:type="paragraph" w:customStyle="1" w:styleId="EPFooter2">
    <w:name w:val="EPFooter2"/>
    <w:basedOn w:val="Normal"/>
    <w:next w:val="Normal"/>
    <w:rsid w:val="00EE7159"/>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EE7159"/>
    <w:pPr>
      <w:keepNext/>
      <w:spacing w:after="240"/>
      <w:jc w:val="right"/>
    </w:pPr>
    <w:rPr>
      <w:rFonts w:ascii="Arial" w:hAnsi="Arial"/>
      <w:b/>
    </w:rPr>
  </w:style>
  <w:style w:type="paragraph" w:customStyle="1" w:styleId="Normal6a">
    <w:name w:val="Normal6a"/>
    <w:basedOn w:val="Normal"/>
    <w:rsid w:val="00EE7159"/>
    <w:pPr>
      <w:spacing w:after="120"/>
    </w:pPr>
  </w:style>
  <w:style w:type="paragraph" w:customStyle="1" w:styleId="PageHeading">
    <w:name w:val="PageHeading"/>
    <w:basedOn w:val="Normal"/>
    <w:rsid w:val="00EE7159"/>
    <w:pPr>
      <w:keepNext/>
      <w:spacing w:after="480"/>
      <w:jc w:val="center"/>
    </w:pPr>
    <w:rPr>
      <w:rFonts w:ascii="Arial" w:hAnsi="Arial" w:cs="Arial"/>
      <w:b/>
    </w:rPr>
  </w:style>
  <w:style w:type="paragraph" w:customStyle="1" w:styleId="NormalBold">
    <w:name w:val="NormalBold"/>
    <w:basedOn w:val="Normal"/>
    <w:link w:val="NormalBoldChar"/>
    <w:rsid w:val="00EE7159"/>
    <w:rPr>
      <w:b/>
    </w:rPr>
  </w:style>
  <w:style w:type="paragraph" w:customStyle="1" w:styleId="NormalBold12a">
    <w:name w:val="NormalBold12a"/>
    <w:basedOn w:val="Normal"/>
    <w:rsid w:val="00EE7159"/>
    <w:pPr>
      <w:spacing w:after="240"/>
    </w:pPr>
    <w:rPr>
      <w:b/>
    </w:rPr>
  </w:style>
  <w:style w:type="paragraph" w:customStyle="1" w:styleId="AmJustText">
    <w:name w:val="AmJustText"/>
    <w:basedOn w:val="Normal"/>
    <w:rsid w:val="00EE7159"/>
    <w:pPr>
      <w:spacing w:after="240"/>
    </w:pPr>
    <w:rPr>
      <w:i/>
    </w:rPr>
  </w:style>
  <w:style w:type="paragraph" w:customStyle="1" w:styleId="NormalHanging12a">
    <w:name w:val="NormalHanging12a"/>
    <w:basedOn w:val="Normal"/>
    <w:rsid w:val="00EE7159"/>
    <w:pPr>
      <w:spacing w:after="240"/>
      <w:ind w:left="567" w:hanging="567"/>
    </w:pPr>
  </w:style>
  <w:style w:type="paragraph" w:customStyle="1" w:styleId="CoverNormal24a">
    <w:name w:val="CoverNormal24a"/>
    <w:basedOn w:val="Normal"/>
    <w:rsid w:val="00EE7159"/>
    <w:pPr>
      <w:spacing w:after="480"/>
      <w:ind w:left="1417"/>
    </w:pPr>
  </w:style>
  <w:style w:type="paragraph" w:customStyle="1" w:styleId="CoverNormal">
    <w:name w:val="CoverNormal"/>
    <w:basedOn w:val="Normal"/>
    <w:rsid w:val="00EE7159"/>
    <w:pPr>
      <w:ind w:left="1418"/>
    </w:pPr>
  </w:style>
  <w:style w:type="paragraph" w:customStyle="1" w:styleId="AmCrossRef">
    <w:name w:val="AmCrossRef"/>
    <w:basedOn w:val="Normal"/>
    <w:rsid w:val="00EE7159"/>
    <w:pPr>
      <w:spacing w:before="240" w:after="240"/>
      <w:jc w:val="center"/>
    </w:pPr>
    <w:rPr>
      <w:i/>
    </w:rPr>
  </w:style>
  <w:style w:type="paragraph" w:customStyle="1" w:styleId="AmJustTitle">
    <w:name w:val="AmJustTitle"/>
    <w:basedOn w:val="Normal"/>
    <w:next w:val="AmJustText"/>
    <w:rsid w:val="00EE7159"/>
    <w:pPr>
      <w:keepNext/>
      <w:spacing w:before="240" w:after="240"/>
      <w:jc w:val="center"/>
    </w:pPr>
    <w:rPr>
      <w:i/>
    </w:rPr>
  </w:style>
  <w:style w:type="paragraph" w:customStyle="1" w:styleId="CoverReference">
    <w:name w:val="CoverReference"/>
    <w:basedOn w:val="Normal"/>
    <w:rsid w:val="00EE7159"/>
    <w:pPr>
      <w:spacing w:before="1080"/>
      <w:jc w:val="right"/>
    </w:pPr>
    <w:rPr>
      <w:rFonts w:ascii="Arial" w:hAnsi="Arial" w:cs="Arial"/>
      <w:b/>
    </w:rPr>
  </w:style>
  <w:style w:type="paragraph" w:customStyle="1" w:styleId="CoverDocType">
    <w:name w:val="CoverDocType"/>
    <w:basedOn w:val="Normal"/>
    <w:rsid w:val="00EE7159"/>
    <w:pPr>
      <w:ind w:left="1418"/>
    </w:pPr>
    <w:rPr>
      <w:rFonts w:ascii="Arial" w:hAnsi="Arial"/>
      <w:b/>
      <w:sz w:val="48"/>
    </w:rPr>
  </w:style>
  <w:style w:type="paragraph" w:customStyle="1" w:styleId="CoverDocType24a">
    <w:name w:val="CoverDocType24a"/>
    <w:basedOn w:val="Normal"/>
    <w:rsid w:val="00EE7159"/>
    <w:pPr>
      <w:spacing w:after="480"/>
      <w:ind w:left="1418"/>
    </w:pPr>
    <w:rPr>
      <w:rFonts w:ascii="Arial" w:hAnsi="Arial"/>
      <w:b/>
      <w:sz w:val="48"/>
    </w:rPr>
  </w:style>
  <w:style w:type="paragraph" w:customStyle="1" w:styleId="CoverDate">
    <w:name w:val="CoverDate"/>
    <w:basedOn w:val="Normal"/>
    <w:rsid w:val="00EE7159"/>
    <w:pPr>
      <w:spacing w:before="240" w:after="1200"/>
    </w:pPr>
  </w:style>
  <w:style w:type="paragraph" w:styleId="Header">
    <w:name w:val="header"/>
    <w:basedOn w:val="Normal"/>
    <w:link w:val="HeaderChar"/>
    <w:rsid w:val="00EE7159"/>
    <w:pPr>
      <w:tabs>
        <w:tab w:val="center" w:pos="4513"/>
        <w:tab w:val="right" w:pos="9026"/>
      </w:tabs>
    </w:pPr>
  </w:style>
  <w:style w:type="character" w:customStyle="1" w:styleId="HeaderChar">
    <w:name w:val="Header Char"/>
    <w:basedOn w:val="DefaultParagraphFont"/>
    <w:link w:val="Header"/>
    <w:rsid w:val="00EE7159"/>
    <w:rPr>
      <w:sz w:val="24"/>
    </w:rPr>
  </w:style>
  <w:style w:type="paragraph" w:customStyle="1" w:styleId="AmOrLang">
    <w:name w:val="AmOrLang"/>
    <w:basedOn w:val="Normal"/>
    <w:rsid w:val="00EE7159"/>
    <w:pPr>
      <w:spacing w:before="240" w:after="240"/>
      <w:jc w:val="right"/>
    </w:pPr>
  </w:style>
  <w:style w:type="paragraph" w:customStyle="1" w:styleId="AmColumnHeading">
    <w:name w:val="AmColumnHeading"/>
    <w:basedOn w:val="Normal"/>
    <w:rsid w:val="00EE7159"/>
    <w:pPr>
      <w:spacing w:after="240"/>
      <w:jc w:val="center"/>
    </w:pPr>
    <w:rPr>
      <w:i/>
    </w:rPr>
  </w:style>
  <w:style w:type="paragraph" w:customStyle="1" w:styleId="AmNumberTabs">
    <w:name w:val="AmNumberTabs"/>
    <w:basedOn w:val="Normal"/>
    <w:rsid w:val="00EE7159"/>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EE7159"/>
    <w:pPr>
      <w:spacing w:before="240"/>
    </w:pPr>
    <w:rPr>
      <w:b/>
    </w:rPr>
  </w:style>
  <w:style w:type="paragraph" w:customStyle="1" w:styleId="EPBody">
    <w:name w:val="EPBody"/>
    <w:basedOn w:val="Normal"/>
    <w:rsid w:val="00EE7159"/>
    <w:pPr>
      <w:jc w:val="center"/>
    </w:pPr>
    <w:rPr>
      <w:rFonts w:ascii="Arial" w:hAnsi="Arial" w:cs="Arial"/>
      <w:i/>
      <w:sz w:val="22"/>
      <w:szCs w:val="22"/>
    </w:rPr>
  </w:style>
  <w:style w:type="paragraph" w:customStyle="1" w:styleId="EPFooter">
    <w:name w:val="EPFooter"/>
    <w:basedOn w:val="Normal"/>
    <w:rsid w:val="00EE7159"/>
    <w:pPr>
      <w:tabs>
        <w:tab w:val="center" w:pos="4535"/>
        <w:tab w:val="right" w:pos="9071"/>
      </w:tabs>
      <w:spacing w:before="240" w:after="240"/>
    </w:pPr>
    <w:rPr>
      <w:color w:val="010000"/>
      <w:sz w:val="22"/>
    </w:rPr>
  </w:style>
  <w:style w:type="paragraph" w:customStyle="1" w:styleId="EPComma">
    <w:name w:val="EPComma"/>
    <w:basedOn w:val="Normal"/>
    <w:rsid w:val="00EE7159"/>
    <w:pPr>
      <w:spacing w:before="480" w:after="240"/>
    </w:pPr>
  </w:style>
  <w:style w:type="paragraph" w:customStyle="1" w:styleId="Lgendesigne">
    <w:name w:val="Légende signe"/>
    <w:basedOn w:val="Normal"/>
    <w:rsid w:val="00EE7159"/>
    <w:pPr>
      <w:tabs>
        <w:tab w:val="right" w:pos="454"/>
        <w:tab w:val="left" w:pos="737"/>
      </w:tabs>
      <w:ind w:left="737" w:hanging="737"/>
    </w:pPr>
    <w:rPr>
      <w:snapToGrid w:val="0"/>
      <w:sz w:val="18"/>
      <w:lang w:eastAsia="en-US"/>
    </w:rPr>
  </w:style>
  <w:style w:type="paragraph" w:customStyle="1" w:styleId="Lgendetitre">
    <w:name w:val="Légende titre"/>
    <w:basedOn w:val="Normal"/>
    <w:rsid w:val="00EE7159"/>
    <w:pPr>
      <w:spacing w:before="240" w:after="240"/>
    </w:pPr>
    <w:rPr>
      <w:b/>
      <w:i/>
      <w:snapToGrid w:val="0"/>
      <w:lang w:eastAsia="en-US"/>
    </w:rPr>
  </w:style>
  <w:style w:type="paragraph" w:customStyle="1" w:styleId="Lgendestandard">
    <w:name w:val="Légende standard"/>
    <w:basedOn w:val="Normal"/>
    <w:rsid w:val="00EE7159"/>
    <w:rPr>
      <w:sz w:val="18"/>
    </w:rPr>
  </w:style>
  <w:style w:type="character" w:customStyle="1" w:styleId="Normal6Char">
    <w:name w:val="Normal6 Char"/>
    <w:link w:val="Normal6"/>
    <w:locked/>
    <w:rsid w:val="00EE7159"/>
    <w:rPr>
      <w:sz w:val="24"/>
    </w:rPr>
  </w:style>
  <w:style w:type="paragraph" w:customStyle="1" w:styleId="Normal6">
    <w:name w:val="Normal6"/>
    <w:basedOn w:val="Normal"/>
    <w:link w:val="Normal6Char"/>
    <w:rsid w:val="00EE7159"/>
    <w:pPr>
      <w:spacing w:after="120"/>
    </w:pPr>
  </w:style>
  <w:style w:type="character" w:customStyle="1" w:styleId="NormalBoldChar">
    <w:name w:val="NormalBold Char"/>
    <w:link w:val="NormalBold"/>
    <w:locked/>
    <w:rsid w:val="00EE7159"/>
    <w:rPr>
      <w:b/>
      <w:sz w:val="24"/>
    </w:rPr>
  </w:style>
  <w:style w:type="paragraph" w:customStyle="1" w:styleId="Normal12Italic">
    <w:name w:val="Normal12Italic"/>
    <w:basedOn w:val="Normal"/>
    <w:rsid w:val="00EE7159"/>
    <w:pPr>
      <w:spacing w:after="240"/>
    </w:pPr>
    <w:rPr>
      <w:i/>
      <w:noProof/>
    </w:rPr>
  </w:style>
  <w:style w:type="paragraph" w:customStyle="1" w:styleId="JustificationTitle">
    <w:name w:val="JustificationTitle"/>
    <w:basedOn w:val="Normal"/>
    <w:next w:val="Normal"/>
    <w:rsid w:val="00EE7159"/>
    <w:pPr>
      <w:keepNext/>
      <w:spacing w:before="240" w:after="240"/>
      <w:jc w:val="center"/>
    </w:pPr>
    <w:rPr>
      <w:i/>
      <w:noProof/>
    </w:rPr>
  </w:style>
  <w:style w:type="paragraph" w:customStyle="1" w:styleId="ColumnHeading">
    <w:name w:val="ColumnHeading"/>
    <w:basedOn w:val="Normal"/>
    <w:rsid w:val="00EE7159"/>
    <w:pPr>
      <w:spacing w:after="240"/>
      <w:jc w:val="center"/>
    </w:pPr>
    <w:rPr>
      <w:i/>
    </w:rPr>
  </w:style>
  <w:style w:type="paragraph" w:customStyle="1" w:styleId="AMNumberTabs0">
    <w:name w:val="AMNumberTabs"/>
    <w:basedOn w:val="Normal"/>
    <w:rsid w:val="00EE7159"/>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Olang">
    <w:name w:val="Olang"/>
    <w:rsid w:val="00EE7159"/>
    <w:pPr>
      <w:jc w:val="right"/>
    </w:pPr>
  </w:style>
  <w:style w:type="paragraph" w:customStyle="1" w:styleId="Memos">
    <w:name w:val="Memos"/>
    <w:basedOn w:val="NoSpacing"/>
    <w:link w:val="MemosChar"/>
    <w:autoRedefine/>
    <w:qFormat/>
    <w:rsid w:val="00EE7159"/>
    <w:pPr>
      <w:widowControl/>
      <w:spacing w:after="120" w:line="340" w:lineRule="exact"/>
      <w:jc w:val="both"/>
    </w:pPr>
    <w:rPr>
      <w:rFonts w:eastAsiaTheme="minorHAnsi"/>
      <w:sz w:val="28"/>
      <w:szCs w:val="32"/>
      <w:u w:val="single"/>
      <w:lang w:eastAsia="en-US"/>
    </w:rPr>
  </w:style>
  <w:style w:type="character" w:customStyle="1" w:styleId="MemosChar">
    <w:name w:val="Memos Char"/>
    <w:basedOn w:val="DefaultParagraphFont"/>
    <w:link w:val="Memos"/>
    <w:rsid w:val="00EE7159"/>
    <w:rPr>
      <w:rFonts w:eastAsiaTheme="minorHAnsi"/>
      <w:sz w:val="28"/>
      <w:szCs w:val="32"/>
      <w:u w:val="single"/>
      <w:lang w:eastAsia="en-US"/>
    </w:rPr>
  </w:style>
  <w:style w:type="paragraph" w:styleId="BalloonText">
    <w:name w:val="Balloon Text"/>
    <w:basedOn w:val="Normal"/>
    <w:link w:val="BalloonTextChar"/>
    <w:unhideWhenUsed/>
    <w:rsid w:val="00EE7159"/>
    <w:rPr>
      <w:rFonts w:ascii="Segoe UI" w:hAnsi="Segoe UI" w:cs="Segoe UI"/>
      <w:sz w:val="18"/>
      <w:szCs w:val="18"/>
    </w:rPr>
  </w:style>
  <w:style w:type="character" w:customStyle="1" w:styleId="BalloonTextChar">
    <w:name w:val="Balloon Text Char"/>
    <w:basedOn w:val="DefaultParagraphFont"/>
    <w:link w:val="BalloonText"/>
    <w:rsid w:val="00EE7159"/>
    <w:rPr>
      <w:rFonts w:ascii="Segoe UI" w:hAnsi="Segoe UI" w:cs="Segoe UI"/>
      <w:sz w:val="18"/>
      <w:szCs w:val="18"/>
    </w:rPr>
  </w:style>
  <w:style w:type="character" w:styleId="CommentReference">
    <w:name w:val="annotation reference"/>
    <w:basedOn w:val="DefaultParagraphFont"/>
    <w:rsid w:val="00EE7159"/>
    <w:rPr>
      <w:sz w:val="16"/>
      <w:szCs w:val="16"/>
    </w:rPr>
  </w:style>
  <w:style w:type="paragraph" w:styleId="CommentText">
    <w:name w:val="annotation text"/>
    <w:basedOn w:val="Normal"/>
    <w:link w:val="CommentTextChar"/>
    <w:rsid w:val="00EE7159"/>
    <w:rPr>
      <w:sz w:val="20"/>
    </w:rPr>
  </w:style>
  <w:style w:type="character" w:customStyle="1" w:styleId="CommentTextChar">
    <w:name w:val="Comment Text Char"/>
    <w:basedOn w:val="DefaultParagraphFont"/>
    <w:link w:val="CommentText"/>
    <w:rsid w:val="00EE7159"/>
  </w:style>
  <w:style w:type="paragraph" w:styleId="CommentSubject">
    <w:name w:val="annotation subject"/>
    <w:basedOn w:val="CommentText"/>
    <w:next w:val="CommentText"/>
    <w:link w:val="CommentSubjectChar"/>
    <w:unhideWhenUsed/>
    <w:rsid w:val="00EE7159"/>
    <w:rPr>
      <w:b/>
      <w:bCs/>
    </w:rPr>
  </w:style>
  <w:style w:type="character" w:customStyle="1" w:styleId="CommentSubjectChar">
    <w:name w:val="Comment Subject Char"/>
    <w:basedOn w:val="CommentTextChar"/>
    <w:link w:val="CommentSubject"/>
    <w:rsid w:val="00EE7159"/>
    <w:rPr>
      <w:b/>
      <w:bCs/>
    </w:rPr>
  </w:style>
  <w:style w:type="paragraph" w:customStyle="1" w:styleId="Normal12a">
    <w:name w:val="Normal12a"/>
    <w:basedOn w:val="Normal"/>
    <w:rsid w:val="00EE7159"/>
    <w:pPr>
      <w:spacing w:after="240"/>
    </w:pPr>
  </w:style>
  <w:style w:type="paragraph" w:customStyle="1" w:styleId="PageHeadingNotTOC">
    <w:name w:val="PageHeadingNotTOC"/>
    <w:basedOn w:val="Normal"/>
    <w:rsid w:val="00EE7159"/>
    <w:pPr>
      <w:keepNext/>
      <w:spacing w:after="480"/>
      <w:jc w:val="center"/>
    </w:pPr>
    <w:rPr>
      <w:rFonts w:ascii="Arial" w:hAnsi="Arial" w:cs="Arial"/>
      <w:b/>
    </w:rPr>
  </w:style>
  <w:style w:type="paragraph" w:customStyle="1" w:styleId="AmHeadingPA">
    <w:name w:val="AmHeadingPA"/>
    <w:basedOn w:val="Normal"/>
    <w:next w:val="Normal"/>
    <w:rsid w:val="00EE7159"/>
    <w:pPr>
      <w:spacing w:before="480" w:after="240"/>
      <w:jc w:val="center"/>
    </w:pPr>
    <w:rPr>
      <w:rFonts w:ascii="Arial" w:hAnsi="Arial"/>
      <w:b/>
      <w:caps/>
      <w:snapToGrid w:val="0"/>
      <w:szCs w:val="24"/>
      <w:lang w:eastAsia="en-US"/>
    </w:rPr>
  </w:style>
  <w:style w:type="paragraph" w:customStyle="1" w:styleId="Normal24a">
    <w:name w:val="Normal24a"/>
    <w:basedOn w:val="Normal"/>
    <w:link w:val="Normal24aChar"/>
    <w:rsid w:val="00EE7159"/>
    <w:pPr>
      <w:spacing w:after="480"/>
    </w:pPr>
  </w:style>
  <w:style w:type="character" w:customStyle="1" w:styleId="Normal24aChar">
    <w:name w:val="Normal24a Char"/>
    <w:basedOn w:val="DefaultParagraphFont"/>
    <w:link w:val="Normal24a"/>
    <w:rsid w:val="00EE7159"/>
    <w:rPr>
      <w:sz w:val="24"/>
    </w:rPr>
  </w:style>
  <w:style w:type="paragraph" w:customStyle="1" w:styleId="RollCallSymbols14pt">
    <w:name w:val="RollCallSymbols14pt"/>
    <w:basedOn w:val="Normal"/>
    <w:rsid w:val="00EE7159"/>
    <w:pPr>
      <w:spacing w:before="120" w:after="120"/>
      <w:jc w:val="center"/>
    </w:pPr>
    <w:rPr>
      <w:rFonts w:ascii="Arial" w:hAnsi="Arial"/>
      <w:b/>
      <w:bCs/>
      <w:snapToGrid w:val="0"/>
      <w:sz w:val="28"/>
      <w:lang w:eastAsia="en-US"/>
    </w:rPr>
  </w:style>
  <w:style w:type="paragraph" w:customStyle="1" w:styleId="RollCallTabs">
    <w:name w:val="RollCallTabs"/>
    <w:basedOn w:val="Normal"/>
    <w:qFormat/>
    <w:rsid w:val="00EE7159"/>
    <w:pPr>
      <w:tabs>
        <w:tab w:val="center" w:pos="284"/>
        <w:tab w:val="left" w:pos="426"/>
      </w:tabs>
    </w:pPr>
    <w:rPr>
      <w:snapToGrid w:val="0"/>
      <w:lang w:eastAsia="en-US"/>
    </w:rPr>
  </w:style>
  <w:style w:type="paragraph" w:customStyle="1" w:styleId="RollCallVotes">
    <w:name w:val="RollCallVotes"/>
    <w:basedOn w:val="Normal"/>
    <w:rsid w:val="00EE7159"/>
    <w:pPr>
      <w:spacing w:before="120" w:after="120"/>
      <w:jc w:val="center"/>
    </w:pPr>
    <w:rPr>
      <w:b/>
      <w:bCs/>
      <w:snapToGrid w:val="0"/>
      <w:sz w:val="16"/>
      <w:lang w:eastAsia="en-US"/>
    </w:rPr>
  </w:style>
  <w:style w:type="paragraph" w:customStyle="1" w:styleId="RollCallTable">
    <w:name w:val="RollCallTable"/>
    <w:basedOn w:val="Normal"/>
    <w:rsid w:val="00EE7159"/>
    <w:pPr>
      <w:spacing w:before="120" w:after="120"/>
    </w:pPr>
    <w:rPr>
      <w:snapToGrid w:val="0"/>
      <w:sz w:val="16"/>
      <w:lang w:eastAsia="en-US"/>
    </w:rPr>
  </w:style>
  <w:style w:type="paragraph" w:styleId="NoSpacing">
    <w:name w:val="No Spacing"/>
    <w:uiPriority w:val="1"/>
    <w:qFormat/>
    <w:rsid w:val="00EE7159"/>
    <w:pPr>
      <w:widowControl w:val="0"/>
    </w:pPr>
    <w:rPr>
      <w:sz w:val="24"/>
    </w:rPr>
  </w:style>
  <w:style w:type="paragraph" w:styleId="Footer">
    <w:name w:val="footer"/>
    <w:basedOn w:val="Normal"/>
    <w:link w:val="FooterChar"/>
    <w:rsid w:val="00EE7159"/>
    <w:pPr>
      <w:tabs>
        <w:tab w:val="center" w:pos="4513"/>
        <w:tab w:val="right" w:pos="9026"/>
      </w:tabs>
    </w:pPr>
  </w:style>
  <w:style w:type="character" w:customStyle="1" w:styleId="FooterChar">
    <w:name w:val="Footer Char"/>
    <w:basedOn w:val="DefaultParagraphFont"/>
    <w:link w:val="Footer"/>
    <w:rsid w:val="00EE7159"/>
    <w:rPr>
      <w:sz w:val="24"/>
    </w:rPr>
  </w:style>
  <w:style w:type="paragraph" w:customStyle="1" w:styleId="FootnoteTextForceStyle">
    <w:name w:val="Footnote Text ForceStyle"/>
    <w:rsid w:val="00F81A5B"/>
    <w:pPr>
      <w:keepLines/>
      <w:widowControl w:val="0"/>
      <w:ind w:left="850" w:hanging="850"/>
    </w:pPr>
    <w:rPr>
      <w:sz w:val="24"/>
      <w:lang w:val="en-US" w:eastAsia="en-US"/>
    </w:rPr>
  </w:style>
  <w:style w:type="character" w:styleId="Hyperlink">
    <w:name w:val="Hyperlink"/>
    <w:basedOn w:val="DefaultParagraphFont"/>
    <w:uiPriority w:val="99"/>
    <w:rsid w:val="00D53492"/>
    <w:rPr>
      <w:color w:val="0000FF"/>
      <w:u w:val="single"/>
    </w:rPr>
  </w:style>
  <w:style w:type="character" w:styleId="FollowedHyperlink">
    <w:name w:val="FollowedHyperlink"/>
    <w:basedOn w:val="DefaultParagraphFont"/>
    <w:rsid w:val="00D53492"/>
    <w:rPr>
      <w:color w:val="954F72" w:themeColor="followedHyperlink"/>
      <w:u w:val="single"/>
    </w:rPr>
  </w:style>
  <w:style w:type="paragraph" w:styleId="NormalWeb">
    <w:name w:val="Normal (Web)"/>
    <w:basedOn w:val="Normal"/>
    <w:uiPriority w:val="99"/>
    <w:unhideWhenUsed/>
    <w:rsid w:val="00054513"/>
    <w:pPr>
      <w:widowControl/>
      <w:spacing w:before="100" w:beforeAutospacing="1" w:after="100" w:afterAutospacing="1"/>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9363815">
      <w:bodyDiv w:val="1"/>
      <w:marLeft w:val="0"/>
      <w:marRight w:val="0"/>
      <w:marTop w:val="0"/>
      <w:marBottom w:val="0"/>
      <w:divBdr>
        <w:top w:val="none" w:sz="0" w:space="0" w:color="auto"/>
        <w:left w:val="none" w:sz="0" w:space="0" w:color="auto"/>
        <w:bottom w:val="none" w:sz="0" w:space="0" w:color="auto"/>
        <w:right w:val="none" w:sz="0" w:space="0" w:color="auto"/>
      </w:divBdr>
    </w:div>
    <w:div w:id="1670404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data.europa.eu/eli/dir/2024/1275/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48EF7B-67EA-416A-B935-4BADEBC050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41</Pages>
  <Words>11217</Words>
  <Characters>63268</Characters>
  <Application>Microsoft Office Word</Application>
  <DocSecurity>0</DocSecurity>
  <Lines>527</Lines>
  <Paragraphs>148</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74337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LUKSITE Marija</cp:lastModifiedBy>
  <cp:revision>2</cp:revision>
  <cp:lastPrinted>2004-11-19T15:42:00Z</cp:lastPrinted>
  <dcterms:created xsi:type="dcterms:W3CDTF">2024-10-17T10:10:00Z</dcterms:created>
  <dcterms:modified xsi:type="dcterms:W3CDTF">2024-10-17T10:10:00Z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A9-0284/2023</vt:lpwstr>
  </property>
  <property fmtid="{D5CDD505-2E9C-101B-9397-08002B2CF9AE}" pid="4" name="&lt;Type&gt;">
    <vt:lpwstr>RR</vt:lpwstr>
  </property>
</Properties>
</file>