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53B1" w:rsidTr="0010095E">
        <w:trPr>
          <w:trHeight w:hRule="exact" w:val="1418"/>
        </w:trPr>
        <w:tc>
          <w:tcPr>
            <w:tcW w:w="6804" w:type="dxa"/>
            <w:shd w:val="clear" w:color="auto" w:fill="auto"/>
            <w:vAlign w:val="center"/>
          </w:tcPr>
          <w:p w:rsidR="00751A4A" w:rsidRPr="004653B1" w:rsidRDefault="0020242F" w:rsidP="0010095E">
            <w:pPr>
              <w:pStyle w:val="EPName"/>
            </w:pPr>
            <w:r w:rsidRPr="004653B1">
              <w:t>Europos Parlamentas</w:t>
            </w:r>
          </w:p>
          <w:p w:rsidR="00751A4A" w:rsidRPr="004653B1" w:rsidRDefault="00817416" w:rsidP="00756632">
            <w:pPr>
              <w:pStyle w:val="EPTerm"/>
              <w:rPr>
                <w:rStyle w:val="HideTWBExt"/>
                <w:noProof w:val="0"/>
                <w:vanish w:val="0"/>
                <w:color w:val="auto"/>
              </w:rPr>
            </w:pPr>
            <w:r w:rsidRPr="004653B1">
              <w:t>2019-2024</w:t>
            </w:r>
          </w:p>
        </w:tc>
        <w:tc>
          <w:tcPr>
            <w:tcW w:w="2268" w:type="dxa"/>
            <w:shd w:val="clear" w:color="auto" w:fill="auto"/>
          </w:tcPr>
          <w:p w:rsidR="00751A4A" w:rsidRPr="004653B1" w:rsidRDefault="00187494" w:rsidP="0010095E">
            <w:pPr>
              <w:pStyle w:val="EPLogo"/>
            </w:pPr>
            <w:r w:rsidRPr="004653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53B1" w:rsidRDefault="00D058B8" w:rsidP="004C5D52">
      <w:pPr>
        <w:pStyle w:val="LineTop"/>
      </w:pPr>
    </w:p>
    <w:p w:rsidR="00680577" w:rsidRPr="004653B1" w:rsidRDefault="0020242F" w:rsidP="00680577">
      <w:pPr>
        <w:pStyle w:val="EPBodyTA1"/>
      </w:pPr>
      <w:r w:rsidRPr="004653B1">
        <w:t>PRIIMTI TEKSTAI</w:t>
      </w:r>
    </w:p>
    <w:p w:rsidR="00D058B8" w:rsidRPr="004653B1" w:rsidRDefault="00D058B8" w:rsidP="00D058B8">
      <w:pPr>
        <w:pStyle w:val="LineBottom"/>
      </w:pPr>
    </w:p>
    <w:p w:rsidR="0020242F" w:rsidRPr="004653B1" w:rsidRDefault="0020242F" w:rsidP="0020242F">
      <w:pPr>
        <w:pStyle w:val="ATHeading1"/>
      </w:pPr>
      <w:bookmarkStart w:id="0" w:name="TANumber"/>
      <w:r w:rsidRPr="004653B1">
        <w:t>P9_TA(2024)0</w:t>
      </w:r>
      <w:r w:rsidR="00982C0C">
        <w:t>361</w:t>
      </w:r>
      <w:bookmarkEnd w:id="0"/>
    </w:p>
    <w:p w:rsidR="0020242F" w:rsidRPr="004653B1" w:rsidRDefault="0020242F" w:rsidP="0020242F">
      <w:pPr>
        <w:pStyle w:val="ATHeading2"/>
      </w:pPr>
      <w:bookmarkStart w:id="1" w:name="title"/>
      <w:r w:rsidRPr="004653B1">
        <w:t>Gyventojų ir būstų statistika</w:t>
      </w:r>
      <w:bookmarkEnd w:id="1"/>
    </w:p>
    <w:p w:rsidR="0020242F" w:rsidRPr="004653B1" w:rsidRDefault="0020242F" w:rsidP="0020242F">
      <w:pPr>
        <w:rPr>
          <w:i/>
          <w:vanish/>
        </w:rPr>
      </w:pPr>
      <w:r w:rsidRPr="004653B1">
        <w:rPr>
          <w:i/>
        </w:rPr>
        <w:fldChar w:fldCharType="begin"/>
      </w:r>
      <w:r w:rsidRPr="004653B1">
        <w:rPr>
          <w:i/>
        </w:rPr>
        <w:instrText xml:space="preserve"> TC"(</w:instrText>
      </w:r>
      <w:bookmarkStart w:id="2" w:name="DocNumber"/>
      <w:r w:rsidRPr="004653B1">
        <w:rPr>
          <w:i/>
        </w:rPr>
        <w:instrText>A9-0284/2023</w:instrText>
      </w:r>
      <w:bookmarkEnd w:id="2"/>
      <w:r w:rsidRPr="004653B1">
        <w:rPr>
          <w:i/>
        </w:rPr>
        <w:instrText xml:space="preserve"> - Pranešėja: Irena Joveva)"\l3 \n&gt; \* MERGEFORMAT </w:instrText>
      </w:r>
      <w:r w:rsidRPr="004653B1">
        <w:rPr>
          <w:i/>
        </w:rPr>
        <w:fldChar w:fldCharType="end"/>
      </w:r>
    </w:p>
    <w:p w:rsidR="0020242F" w:rsidRPr="004653B1" w:rsidRDefault="0020242F" w:rsidP="0020242F">
      <w:pPr>
        <w:rPr>
          <w:vanish/>
        </w:rPr>
      </w:pPr>
      <w:bookmarkStart w:id="3" w:name="Commission"/>
      <w:r w:rsidRPr="004653B1">
        <w:rPr>
          <w:vanish/>
        </w:rPr>
        <w:t>Užimtumo ir socialinių reikalų komitetas</w:t>
      </w:r>
      <w:bookmarkEnd w:id="3"/>
    </w:p>
    <w:p w:rsidR="0020242F" w:rsidRPr="004653B1" w:rsidRDefault="0020242F" w:rsidP="0020242F">
      <w:pPr>
        <w:rPr>
          <w:vanish/>
        </w:rPr>
      </w:pPr>
      <w:bookmarkStart w:id="4" w:name="PE"/>
      <w:r w:rsidRPr="004653B1">
        <w:rPr>
          <w:vanish/>
        </w:rPr>
        <w:t>PE746.665</w:t>
      </w:r>
      <w:bookmarkEnd w:id="4"/>
    </w:p>
    <w:p w:rsidR="0020242F" w:rsidRPr="004653B1" w:rsidRDefault="0020242F" w:rsidP="0020242F">
      <w:pPr>
        <w:pStyle w:val="ATHeading3"/>
      </w:pPr>
      <w:bookmarkStart w:id="5" w:name="Sujet"/>
      <w:r w:rsidRPr="004653B1">
        <w:t xml:space="preserve">2024 m. </w:t>
      </w:r>
      <w:r w:rsidR="001B37DB" w:rsidRPr="004653B1">
        <w:t>balandžio</w:t>
      </w:r>
      <w:r w:rsidRPr="004653B1">
        <w:t xml:space="preserve"> </w:t>
      </w:r>
      <w:r w:rsidR="001B37DB">
        <w:t>24</w:t>
      </w:r>
      <w:r w:rsidRPr="004653B1">
        <w:t xml:space="preserve"> d. Europos Parlamento teisėkūros rezoliucija dėl pasiūlymo dėl Europos Parlamento ir Tarybos reglamento dėl Europos gyventojų ir būstų statistikos, kuriuo iš dalies keičiamas Reglamentas (EB) Nr. 862/2007 ir panaikinami reglamentai (EB) Nr. 763/2008 ir (ES) Nr. 1260/2013</w:t>
      </w:r>
      <w:bookmarkEnd w:id="5"/>
      <w:r w:rsidRPr="004653B1">
        <w:t xml:space="preserve"> </w:t>
      </w:r>
      <w:bookmarkStart w:id="6" w:name="References"/>
      <w:r w:rsidRPr="004653B1">
        <w:t>(COM(2023)0031 – C9-0010/2023 – 2023/0008(COD))</w:t>
      </w:r>
      <w:bookmarkEnd w:id="6"/>
    </w:p>
    <w:p w:rsidR="00B82D24" w:rsidRPr="004653B1" w:rsidRDefault="00B82D24" w:rsidP="00B82D24">
      <w:pPr>
        <w:pStyle w:val="NormalBold"/>
      </w:pPr>
      <w:bookmarkStart w:id="7" w:name="TextBodyBegin"/>
      <w:bookmarkEnd w:id="7"/>
      <w:r w:rsidRPr="004653B1">
        <w:t>(Įprasta teisėkūros procedūra: pirmasis svarstymas)</w:t>
      </w:r>
    </w:p>
    <w:p w:rsidR="00B82D24" w:rsidRPr="004653B1" w:rsidRDefault="00B82D24" w:rsidP="00B82D24">
      <w:pPr>
        <w:pStyle w:val="EPComma"/>
      </w:pPr>
      <w:r w:rsidRPr="004653B1">
        <w:rPr>
          <w:i/>
        </w:rPr>
        <w:t>Europos Parlamentas</w:t>
      </w:r>
      <w:r w:rsidRPr="004653B1">
        <w:t>,</w:t>
      </w:r>
    </w:p>
    <w:p w:rsidR="00B82D24" w:rsidRPr="004653B1" w:rsidRDefault="00B82D24" w:rsidP="00B82D24">
      <w:pPr>
        <w:pStyle w:val="NormalHanging12a"/>
      </w:pPr>
      <w:r w:rsidRPr="004653B1">
        <w:t>–</w:t>
      </w:r>
      <w:r w:rsidRPr="004653B1">
        <w:tab/>
        <w:t>atsižvelgdamas į Komisijos pasiūlymą Europos Parlamentui ir Tarybai (COM(2023)0031),</w:t>
      </w:r>
    </w:p>
    <w:p w:rsidR="00B82D24" w:rsidRPr="004653B1" w:rsidRDefault="00B82D24" w:rsidP="00B82D24">
      <w:pPr>
        <w:pStyle w:val="NormalHanging12a"/>
      </w:pPr>
      <w:r w:rsidRPr="004653B1">
        <w:t>–</w:t>
      </w:r>
      <w:r w:rsidRPr="004653B1">
        <w:tab/>
        <w:t>atsižvelgdamas į Sutarties dėl Europos Sąjungos veikimo 294 straipsnio 2 dalį ir 338 straipsnio 1 dalį, pagal kurias Komisija pateikė pasiūlymą Parlamentui (C9</w:t>
      </w:r>
      <w:r w:rsidRPr="004653B1">
        <w:noBreakHyphen/>
        <w:t>0010/2023),</w:t>
      </w:r>
    </w:p>
    <w:p w:rsidR="00B82D24" w:rsidRDefault="00B82D24" w:rsidP="00B82D24">
      <w:pPr>
        <w:pStyle w:val="NormalHanging12a"/>
      </w:pPr>
      <w:r w:rsidRPr="004653B1">
        <w:t>–</w:t>
      </w:r>
      <w:r w:rsidRPr="004653B1">
        <w:tab/>
        <w:t>atsižvelgdamas į Sutarties dėl Europos Sąjungos veikimo 294 straipsnio 3 dalį,</w:t>
      </w:r>
    </w:p>
    <w:p w:rsidR="001B37DB" w:rsidRPr="004653B1" w:rsidRDefault="006E25C9" w:rsidP="00B82D24">
      <w:pPr>
        <w:pStyle w:val="NormalHanging12a"/>
      </w:pPr>
      <w:r w:rsidRPr="00681D18">
        <w:t>–</w:t>
      </w:r>
      <w:r w:rsidRPr="00681D18">
        <w:tab/>
        <w:t>atsižvelgdamas į 2023 m. balandžio 2</w:t>
      </w:r>
      <w:r>
        <w:t>7</w:t>
      </w:r>
      <w:r w:rsidRPr="00681D18">
        <w:t> d. Europos ekonomikos ir socialinių reikalų komiteto nuomonę</w:t>
      </w:r>
      <w:r w:rsidRPr="00681D18">
        <w:rPr>
          <w:rStyle w:val="FootnoteReference"/>
        </w:rPr>
        <w:footnoteReference w:id="1"/>
      </w:r>
      <w:r w:rsidRPr="00681D18">
        <w:t>,</w:t>
      </w:r>
    </w:p>
    <w:p w:rsidR="00B82D24" w:rsidRPr="004653B1" w:rsidRDefault="00B82D24" w:rsidP="00B82D24">
      <w:pPr>
        <w:pStyle w:val="NormalHanging12a"/>
      </w:pPr>
      <w:r w:rsidRPr="004653B1">
        <w:t>–</w:t>
      </w:r>
      <w:r w:rsidRPr="004653B1">
        <w:tab/>
        <w:t>atsižvelgdamas į Darbo tvarkos taisyklių 59 straipsnį,</w:t>
      </w:r>
    </w:p>
    <w:p w:rsidR="00B82D24" w:rsidRPr="004653B1" w:rsidRDefault="00B82D24" w:rsidP="00B82D24">
      <w:pPr>
        <w:pStyle w:val="NormalHanging12a"/>
      </w:pPr>
      <w:r w:rsidRPr="004653B1">
        <w:t>–</w:t>
      </w:r>
      <w:r w:rsidRPr="004653B1">
        <w:tab/>
        <w:t>atsižvelgdamas į Piliečių laisvių, teisingumo ir vidaus reikalų komiteto ir Regioninės plėtros komiteto nuomones,</w:t>
      </w:r>
    </w:p>
    <w:p w:rsidR="00B82D24" w:rsidRPr="004653B1" w:rsidRDefault="00B82D24" w:rsidP="00B82D24">
      <w:pPr>
        <w:pStyle w:val="NormalHanging12a"/>
      </w:pPr>
      <w:r w:rsidRPr="004653B1">
        <w:t>–</w:t>
      </w:r>
      <w:r w:rsidRPr="004653B1">
        <w:tab/>
        <w:t>atsižvelgdamas į Užimtumo ir socialinių reikalų komiteto pranešimą (A9</w:t>
      </w:r>
      <w:r w:rsidRPr="004653B1">
        <w:noBreakHyphen/>
        <w:t>0284/2023),</w:t>
      </w:r>
    </w:p>
    <w:p w:rsidR="00B82D24" w:rsidRPr="004653B1" w:rsidRDefault="00B82D24" w:rsidP="00B82D24">
      <w:pPr>
        <w:pStyle w:val="NormalHanging12a"/>
      </w:pPr>
      <w:r w:rsidRPr="004653B1">
        <w:t>1.</w:t>
      </w:r>
      <w:r w:rsidRPr="004653B1">
        <w:tab/>
        <w:t>priima per pirmąjį svarstymą toliau pateiktą poziciją;</w:t>
      </w:r>
    </w:p>
    <w:p w:rsidR="00B82D24" w:rsidRPr="004653B1" w:rsidRDefault="00B82D24" w:rsidP="00B82D24">
      <w:pPr>
        <w:pStyle w:val="NormalHanging12a"/>
      </w:pPr>
      <w:r w:rsidRPr="004653B1">
        <w:t>2.</w:t>
      </w:r>
      <w:r w:rsidRPr="004653B1">
        <w:tab/>
        <w:t>ragina Komisiją dar kartą perduoti klausimą svarstyti Parlamentui, jei ji savo pasiūlymą pakeičia nauju tekstu, jį keičia iš esmės arba ketina jį keisti iš esmės;</w:t>
      </w:r>
    </w:p>
    <w:p w:rsidR="00B82D24" w:rsidRDefault="00B82D24" w:rsidP="00B82D24">
      <w:pPr>
        <w:pStyle w:val="NormalHanging12a"/>
      </w:pPr>
      <w:r w:rsidRPr="004653B1">
        <w:lastRenderedPageBreak/>
        <w:t>3.</w:t>
      </w:r>
      <w:r w:rsidRPr="004653B1">
        <w:tab/>
        <w:t>paveda Pirmininkei perduoti Parlamento poziciją Tarybai, Komisijai ir nacionaliniams parlamentams.</w:t>
      </w:r>
    </w:p>
    <w:p w:rsidR="00952E17" w:rsidRDefault="00952E17" w:rsidP="00D43C60">
      <w:pPr>
        <w:sectPr w:rsidR="00952E17" w:rsidSect="004653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95170" w:rsidRPr="00E22DDE" w:rsidRDefault="00395170" w:rsidP="00395170">
      <w:pPr>
        <w:widowControl/>
        <w:ind w:left="567" w:hanging="567"/>
        <w:rPr>
          <w:b/>
          <w:bCs/>
        </w:rPr>
      </w:pPr>
      <w:r w:rsidRPr="00E22DDE">
        <w:rPr>
          <w:b/>
          <w:bCs/>
        </w:rPr>
        <w:lastRenderedPageBreak/>
        <w:t>P9_TC1-COD(2023)0</w:t>
      </w:r>
      <w:r w:rsidR="002662EE">
        <w:rPr>
          <w:b/>
          <w:bCs/>
        </w:rPr>
        <w:t>008</w:t>
      </w:r>
    </w:p>
    <w:p w:rsidR="00EB0CE4" w:rsidRPr="00395170" w:rsidRDefault="00395170" w:rsidP="00395170">
      <w:pPr>
        <w:widowControl/>
        <w:spacing w:before="360"/>
        <w:rPr>
          <w:b/>
          <w:szCs w:val="24"/>
        </w:rPr>
      </w:pPr>
      <w:r w:rsidRPr="00395170">
        <w:rPr>
          <w:b/>
          <w:snapToGrid w:val="0"/>
        </w:rPr>
        <w:t xml:space="preserve">Europos </w:t>
      </w:r>
      <w:r w:rsidRPr="00395170">
        <w:rPr>
          <w:b/>
          <w:bCs/>
        </w:rPr>
        <w:t>Parlamento</w:t>
      </w:r>
      <w:r w:rsidRPr="00395170">
        <w:rPr>
          <w:b/>
          <w:snapToGrid w:val="0"/>
        </w:rPr>
        <w:t xml:space="preserve"> pozicija, priimta 2024 m. balandžio 24 d. per pirmąjį svarstymą, siekiant priimti Europos Parlamento ir Tarybos </w:t>
      </w:r>
      <w:r w:rsidR="002662EE">
        <w:rPr>
          <w:b/>
          <w:snapToGrid w:val="0"/>
        </w:rPr>
        <w:t>reglament</w:t>
      </w:r>
      <w:r w:rsidRPr="00395170">
        <w:rPr>
          <w:b/>
          <w:snapToGrid w:val="0"/>
        </w:rPr>
        <w:t xml:space="preserve">ą (ES) 2024/... </w:t>
      </w:r>
      <w:r w:rsidR="00EB0CE4" w:rsidRPr="00395170">
        <w:rPr>
          <w:b/>
        </w:rPr>
        <w:t>dėl Europos gyventojų ir būstų statistikos, kuriuo iš dalies keičiamas Reglamentas (EB) Nr. 862/2007 ir panaikinami reglamentai (EB) Nr. 763/2008 ir (ES) Nr. 1260/2013</w:t>
      </w:r>
      <w:r w:rsidR="002662EE" w:rsidRPr="00E22DDE">
        <w:rPr>
          <w:rStyle w:val="FootnoteReference"/>
        </w:rPr>
        <w:footnoteReference w:customMarkFollows="1" w:id="2"/>
        <w:t>*</w:t>
      </w:r>
    </w:p>
    <w:p w:rsidR="006B2C30" w:rsidRPr="006B2C30" w:rsidRDefault="006B2C30" w:rsidP="006B2C30">
      <w:pPr>
        <w:widowControl/>
        <w:spacing w:before="360" w:after="240" w:line="360" w:lineRule="auto"/>
        <w:jc w:val="center"/>
        <w:rPr>
          <w:szCs w:val="24"/>
        </w:rPr>
      </w:pPr>
      <w:r w:rsidRPr="006B2C30">
        <w:t>(Tekstas svarbus EEE)</w:t>
      </w:r>
    </w:p>
    <w:p w:rsidR="006B2C30" w:rsidRPr="006B2C30" w:rsidRDefault="006B2C30" w:rsidP="006B2C30">
      <w:pPr>
        <w:keepNext/>
        <w:spacing w:before="600" w:after="120" w:line="360" w:lineRule="auto"/>
        <w:rPr>
          <w:szCs w:val="24"/>
        </w:rPr>
      </w:pPr>
      <w:r w:rsidRPr="006B2C30">
        <w:t>EUROPOS PARLAMENTAS IR EUROPOS SĄJUNGOS TARYBA,</w:t>
      </w:r>
    </w:p>
    <w:p w:rsidR="006B2C30" w:rsidRPr="006B2C30" w:rsidRDefault="006B2C30" w:rsidP="006B2C30">
      <w:pPr>
        <w:spacing w:before="120" w:after="120" w:line="360" w:lineRule="auto"/>
      </w:pPr>
      <w:r w:rsidRPr="006B2C30">
        <w:t>atsižvelgdami į Sutartį dėl Europos Sąjungos veikimo, ypač į jos 338 straipsnio 1 dalį,</w:t>
      </w:r>
    </w:p>
    <w:p w:rsidR="006B2C30" w:rsidRPr="006B2C30" w:rsidRDefault="006B2C30" w:rsidP="006B2C30">
      <w:pPr>
        <w:spacing w:before="120" w:after="120" w:line="360" w:lineRule="auto"/>
      </w:pPr>
      <w:r w:rsidRPr="006B2C30">
        <w:t>atsižvelgdami į Europos Komisijos pasiūlymą,</w:t>
      </w:r>
    </w:p>
    <w:p w:rsidR="006B2C30" w:rsidRPr="006B2C30" w:rsidRDefault="006B2C30" w:rsidP="006B2C30">
      <w:pPr>
        <w:spacing w:before="120" w:after="120" w:line="360" w:lineRule="auto"/>
      </w:pPr>
      <w:r w:rsidRPr="006B2C30">
        <w:t>teisėkūros procedūra priimamo akto projektą perdavus nacionaliniams parlamentams,</w:t>
      </w:r>
    </w:p>
    <w:p w:rsidR="006B2C30" w:rsidRPr="006B2C30" w:rsidRDefault="006B2C30" w:rsidP="006B2C30">
      <w:pPr>
        <w:spacing w:before="120" w:after="120" w:line="360" w:lineRule="auto"/>
      </w:pPr>
      <w:r w:rsidRPr="006B2C30">
        <w:t>atsižvelgdami į Europos ekonomikos ir socialinių reikalų komiteto nuomonę</w:t>
      </w:r>
      <w:r w:rsidRPr="006B2C30">
        <w:rPr>
          <w:vertAlign w:val="superscript"/>
          <w:lang w:eastAsia="en-US"/>
        </w:rPr>
        <w:footnoteReference w:id="3"/>
      </w:r>
      <w:r w:rsidRPr="006B2C30">
        <w:t>,</w:t>
      </w:r>
    </w:p>
    <w:p w:rsidR="006B2C30" w:rsidRPr="006B2C30" w:rsidRDefault="006B2C30" w:rsidP="006B2C30">
      <w:pPr>
        <w:spacing w:before="120" w:after="120" w:line="360" w:lineRule="auto"/>
      </w:pPr>
      <w:r w:rsidRPr="006B2C30">
        <w:t>atsižvelgdami į Regionų komiteto nuomonę</w:t>
      </w:r>
      <w:r w:rsidRPr="006B2C30">
        <w:rPr>
          <w:vertAlign w:val="superscript"/>
          <w:lang w:eastAsia="en-US"/>
        </w:rPr>
        <w:footnoteReference w:id="4"/>
      </w:r>
      <w:r w:rsidRPr="006B2C30">
        <w:t>,</w:t>
      </w:r>
    </w:p>
    <w:p w:rsidR="006B2C30" w:rsidRPr="006B2C30" w:rsidRDefault="006B2C30" w:rsidP="006B2C30">
      <w:pPr>
        <w:spacing w:before="120" w:after="120" w:line="360" w:lineRule="auto"/>
      </w:pPr>
      <w:r w:rsidRPr="006B2C30">
        <w:t>laikydamiesi įprastos teisėkūros procedūros,</w:t>
      </w:r>
    </w:p>
    <w:p w:rsidR="006B2C30" w:rsidRPr="006B2C30" w:rsidRDefault="006B2C30" w:rsidP="006B2C30">
      <w:pPr>
        <w:spacing w:before="120" w:after="120" w:line="360" w:lineRule="auto"/>
      </w:pPr>
      <w:r w:rsidRPr="006B2C30">
        <w:t>kadangi:</w:t>
      </w:r>
    </w:p>
    <w:p w:rsidR="006B2C30" w:rsidRPr="006B2C30" w:rsidRDefault="006B2C30" w:rsidP="006B2C30">
      <w:pPr>
        <w:spacing w:before="120" w:after="120" w:line="360" w:lineRule="auto"/>
        <w:ind w:left="850" w:hanging="850"/>
        <w:rPr>
          <w:szCs w:val="24"/>
        </w:rPr>
      </w:pPr>
      <w:r w:rsidRPr="006B2C30">
        <w:t>(1)</w:t>
      </w:r>
      <w:r w:rsidRPr="006B2C30">
        <w:tab/>
        <w:t xml:space="preserve">Europos gyventojų ir būstų statistika </w:t>
      </w:r>
      <w:r w:rsidRPr="006B2C30">
        <w:rPr>
          <w:b/>
          <w:bCs/>
          <w:i/>
          <w:iCs/>
        </w:rPr>
        <w:t>atlieka svarbų vaidmenį politikos formavimo ir sprendimų priėmimo procesuose ir todėl</w:t>
      </w:r>
      <w:r w:rsidRPr="006B2C30">
        <w:t xml:space="preserve"> yra reikalinga formuojant, įgyvendinant ir vertinant Sąjungos politiką, visų pirma susijusią su demografiniais pokyčiais, žaliąja ir skaitmenine transformacijomis, energijos vartojimo efektyvumo skatinimo </w:t>
      </w:r>
      <w:r w:rsidRPr="006B2C30">
        <w:rPr>
          <w:b/>
          <w:bCs/>
          <w:i/>
          <w:iCs/>
        </w:rPr>
        <w:t>sistema</w:t>
      </w:r>
      <w:r w:rsidRPr="006B2C30">
        <w:t>, ekonomine, socialine ir teritorine sanglauda</w:t>
      </w:r>
      <w:r w:rsidRPr="006B2C30">
        <w:rPr>
          <w:b/>
          <w:bCs/>
          <w:i/>
          <w:iCs/>
        </w:rPr>
        <w:t>, Europos socialinių teisių ramsčio principų įgyvendinimu</w:t>
      </w:r>
      <w:r w:rsidRPr="006B2C30">
        <w:t xml:space="preserve"> ir Jungtinių Tautų (JT) darbotvarkės iki 2030 m. darnaus vystymosi tikslų įgyvendinimu</w:t>
      </w:r>
      <w:r w:rsidRPr="006B2C30">
        <w:rPr>
          <w:b/>
          <w:bCs/>
          <w:i/>
          <w:iCs/>
        </w:rPr>
        <w:t>, jei jie patenka į šio reglamento taikymo sritį</w:t>
      </w:r>
      <w:r w:rsidRPr="006B2C30">
        <w:t>;</w:t>
      </w:r>
    </w:p>
    <w:p w:rsidR="006B2C30" w:rsidRPr="006B2C30" w:rsidRDefault="006B2C30" w:rsidP="006B2C30">
      <w:pPr>
        <w:spacing w:before="120" w:after="120" w:line="360" w:lineRule="auto"/>
        <w:ind w:left="850" w:hanging="850"/>
        <w:rPr>
          <w:szCs w:val="24"/>
        </w:rPr>
      </w:pPr>
      <w:r w:rsidRPr="006B2C30">
        <w:t>(2)</w:t>
      </w:r>
      <w:r w:rsidRPr="006B2C30">
        <w:tab/>
        <w:t xml:space="preserve">gyventojų statistika yra svarbus įvairių politikos rodiklių vardiklis ir naudojama kaip atskaitos taškas visoje Europos statistikoje, visų pirma sudarant imčių sąrašus reprezentatyviems asmenų ir namų ūkių tyrimams atlikti pagal Europos Parlamento </w:t>
      </w:r>
      <w:r w:rsidRPr="006B2C30">
        <w:lastRenderedPageBreak/>
        <w:t>ir Tarybos reglamentą (ES) 2019/1700</w:t>
      </w:r>
      <w:r w:rsidRPr="006B2C30">
        <w:rPr>
          <w:szCs w:val="24"/>
          <w:vertAlign w:val="superscript"/>
          <w:lang w:eastAsia="en-US"/>
        </w:rPr>
        <w:footnoteReference w:id="5"/>
      </w:r>
      <w:r w:rsidRPr="006B2C30">
        <w:t>;</w:t>
      </w:r>
    </w:p>
    <w:p w:rsidR="006B2C30" w:rsidRPr="006B2C30" w:rsidRDefault="006B2C30" w:rsidP="006B2C30">
      <w:pPr>
        <w:spacing w:before="120" w:after="120" w:line="360" w:lineRule="auto"/>
        <w:ind w:left="850" w:hanging="850"/>
        <w:rPr>
          <w:szCs w:val="24"/>
        </w:rPr>
      </w:pPr>
      <w:r w:rsidRPr="006B2C30">
        <w:t>(3)</w:t>
      </w:r>
      <w:r w:rsidRPr="006B2C30">
        <w:tab/>
        <w:t>Ekonomikos ir finansų reikalų taryba reguliariai įgalioja Ekonomikos politikos komitetą vertinti ilgalaikį viešųjų finansų tvarumą ir kokybę, remiantis Eurostato parengtomis gyventojų skaičiaus prognozėmis. Gyventojų skaičiaus prognozės taip pat naudojamos politikos analizei įgyvendinant Europos semestrą. Komisija (Eurostatas) turėtų turėti visus reikiamus statistinius duomenis gyventojų skaičiaus prognozėms rengti ir skelbti pagal Sąjungos informacijos poreikius;</w:t>
      </w:r>
    </w:p>
    <w:p w:rsidR="006B2C30" w:rsidRPr="006B2C30" w:rsidRDefault="006B2C30" w:rsidP="006B2C30">
      <w:pPr>
        <w:spacing w:before="120" w:after="120" w:line="360" w:lineRule="auto"/>
        <w:ind w:left="850" w:hanging="850"/>
        <w:rPr>
          <w:szCs w:val="24"/>
        </w:rPr>
      </w:pPr>
      <w:r w:rsidRPr="006B2C30">
        <w:t>(4)</w:t>
      </w:r>
      <w:r w:rsidRPr="006B2C30">
        <w:tab/>
        <w:t>pagal Sutarties dėl Europos Sąjungos veikimo (SESV) 175 straipsnio 2 dalį Komisija kas trejus metus Europos Parlamentui, Tarybai, Ekonomikos ir socialinių reikalų komitetui ir Regionų komitetui teikia pažangos, padarytos siekiant ekonominės, socialinės ir teritorinės sanglaudos, ataskaitą. Šioms ataskaitoms parengti ir demografiniams pokyčiams ir galimoms būsimoms demografinėms problemoms Sąjungos teritorijoje reguliariai stebėti būtini regionų ir vietos lygmens duomenys, įskaitant duomenis apie įvairių tipų teritorijas, pvz., pasienio regionus, miestus ir jų funkcines miestų zonas, didmiesčių regionus, kaimo regionus, kalnų ir salų regionus;</w:t>
      </w:r>
    </w:p>
    <w:p w:rsidR="006B2C30" w:rsidRPr="006B2C30" w:rsidRDefault="006B2C30" w:rsidP="006B2C30">
      <w:pPr>
        <w:spacing w:before="120" w:after="120" w:line="360" w:lineRule="auto"/>
        <w:ind w:left="850" w:hanging="850"/>
        <w:rPr>
          <w:szCs w:val="24"/>
        </w:rPr>
      </w:pPr>
      <w:r w:rsidRPr="006B2C30">
        <w:t>(5)</w:t>
      </w:r>
      <w:r w:rsidRPr="006B2C30">
        <w:tab/>
        <w:t xml:space="preserve">pagal Europos Sąjungos sutarties (toliau – ES sutartis) 16 straipsnio 4 dalį kvalifikuota Tarybos narių balsų dauguma nustatoma, </w:t>
      </w:r>
      <w:r w:rsidRPr="006B2C30">
        <w:rPr>
          <w:i/>
          <w:iCs/>
        </w:rPr>
        <w:t>inter alia</w:t>
      </w:r>
      <w:r w:rsidRPr="006B2C30">
        <w:t>, remiantis valstybių narių gyventojų skaičiumi. Tuo tikslu pagal Europos Parlamento ir Tarybos reglamento (ES) Nr. 1260/2013</w:t>
      </w:r>
      <w:r w:rsidRPr="006B2C30">
        <w:rPr>
          <w:szCs w:val="24"/>
          <w:vertAlign w:val="superscript"/>
          <w:lang w:eastAsia="en-US"/>
        </w:rPr>
        <w:footnoteReference w:id="6"/>
      </w:r>
      <w:r w:rsidRPr="006B2C30">
        <w:t xml:space="preserve"> 4 straipsnio 1 dalį valstybės narės privalo teikti Komisijai (Eurostatui) nacionalinio lygmens bendro gyventojų skaičiaus duomenis;</w:t>
      </w:r>
    </w:p>
    <w:p w:rsidR="006B2C30" w:rsidRPr="006B2C30" w:rsidRDefault="006B2C30" w:rsidP="006B2C30">
      <w:pPr>
        <w:spacing w:before="120" w:after="120" w:line="360" w:lineRule="auto"/>
        <w:ind w:left="850" w:hanging="850"/>
        <w:rPr>
          <w:szCs w:val="24"/>
        </w:rPr>
      </w:pPr>
      <w:r w:rsidRPr="006B2C30">
        <w:t>(6)</w:t>
      </w:r>
      <w:r w:rsidRPr="006B2C30">
        <w:tab/>
        <w:t xml:space="preserve">2017 m. Europos statistikos sistemos komitetas (ESSK) patvirtino Budapešto memorandumą, kuriame nurodytas poreikis turėti metinę statistiką apie gyventojų skaičių ir tam tikras socialines, ekonomines ir demografines gyventojų charakteristikas ir geresnę migracijos statistiką. Tam, kad visose jos veiklos srityse būtų laikomasi piliečių lygybės ir nediskriminavimo principų ir Europos Sąjungos pagrindinių teisių chartijoje 23 ir SESV 10 ir 19 straipsniuose įtvirtintų piliečių </w:t>
      </w:r>
      <w:r w:rsidRPr="006B2C30">
        <w:lastRenderedPageBreak/>
        <w:t>teisių</w:t>
      </w:r>
      <w:r w:rsidRPr="006B2C30">
        <w:rPr>
          <w:b/>
          <w:bCs/>
          <w:i/>
          <w:iCs/>
        </w:rPr>
        <w:t>, taip pat stebima pažanga, padaryta įgyvendinant Europos socialinių teisių ramsčio principus</w:t>
      </w:r>
      <w:r w:rsidRPr="006B2C30">
        <w:t>, Sąjungai reikia patikimų ir palyginamų statistinių duomenų. Reglamentu (ES) 2019/1700 nustatyta duomenų rinkimo iš imčių sistema, pagal kurią galima rinkti duomenis apie lygybę ir nediskriminavimą, kiek tai įmanoma iš imčių, ir analizuoti kai kuriuos lygybės ir diskriminacijos aspektus, parengiant socialinius ir ekonominius rodiklius ir informaciją apie diskriminacijos patirtį. Be to, Pagrindinių teisių agentūra (FRA) ir Europos lyčių lygybės institutas (EIGE) atlieka tikslinius ir specialius tyrimus ir dėl jų gali būti gaunama dar daugiau Sąjungos lygmens statistinių duomenų apie lygybę.</w:t>
      </w:r>
      <w:r w:rsidRPr="006B2C30">
        <w:rPr>
          <w:b/>
          <w:i/>
        </w:rPr>
        <w:t xml:space="preserve"> </w:t>
      </w:r>
      <w:r w:rsidRPr="006B2C30">
        <w:rPr>
          <w:b/>
          <w:bCs/>
          <w:i/>
          <w:iCs/>
        </w:rPr>
        <w:t>Be to, Europos gyvenimo ir darbo sąlygų gerinimo fondas (EUROFOUND) teikia duomenis ir informaciją, surinktus atliekant gyvenimo ir darbo sąlygų tyrimus.</w:t>
      </w:r>
      <w:r w:rsidRPr="006B2C30">
        <w:t xml:space="preserve"> Reikėtų toliau stiprinti valstybių narių, Komisijos (Eurostato) ir tų agentūrų bendradarbiavimą ir veiklos koordinavimą, kad būtų patenkinti didėjantys naudotojų poreikiai gauti patikimų ir išsamių duomenų apie lygybę ir įvairovę Sąjungoje;</w:t>
      </w:r>
    </w:p>
    <w:p w:rsidR="006B2C30" w:rsidRPr="006B2C30" w:rsidRDefault="006B2C30" w:rsidP="006B2C30">
      <w:pPr>
        <w:spacing w:before="120" w:after="120" w:line="360" w:lineRule="auto"/>
        <w:ind w:left="850" w:hanging="850"/>
        <w:rPr>
          <w:szCs w:val="24"/>
        </w:rPr>
      </w:pPr>
      <w:r w:rsidRPr="006B2C30">
        <w:rPr>
          <w:b/>
          <w:i/>
        </w:rPr>
        <w:t>(6a)</w:t>
      </w:r>
      <w:r w:rsidRPr="006B2C30">
        <w:tab/>
      </w:r>
      <w:r w:rsidRPr="006B2C30">
        <w:rPr>
          <w:b/>
          <w:i/>
        </w:rPr>
        <w:t>Budapešto memorandume taip pat raginama tobulinti statistinius duomenis apie migraciją ir parengti bei įgyvendinti bendras populiacijos ir su migracija susijusias apibrėžtis, atsižvelgiant į poreikį nustatyti statistiškai patikimas, aktualias ir taikytinas sąvokas ir apibrėžtis atsižvelgiant į naujas migracijos rūšis. Ankstesni ir tebesitęsiantys įvykiai, pavyzdžiui, Jungtinės Karalystės išstojimas iš Sąjungos, Rusijos agresijos karo prieš Ukrainą padariniai ir kitos humanitarinės krizės, rodo, kad svarbu laiku pateikti išsamią migracijos ir tarptautinės apsaugos statistiką, kuri yra labai svarbi siekiant parengti migracijos srautų į Sąjungą, jos viduje ir iš jos apžvalgą;</w:t>
      </w:r>
    </w:p>
    <w:p w:rsidR="006B2C30" w:rsidRPr="006B2C30" w:rsidRDefault="006B2C30" w:rsidP="006B2C30">
      <w:pPr>
        <w:spacing w:before="120" w:after="120" w:line="360" w:lineRule="auto"/>
        <w:ind w:left="850" w:hanging="850"/>
        <w:rPr>
          <w:szCs w:val="24"/>
        </w:rPr>
      </w:pPr>
      <w:r w:rsidRPr="006B2C30">
        <w:t>(7)</w:t>
      </w:r>
      <w:r w:rsidRPr="006B2C30">
        <w:tab/>
        <w:t>tam, kad būtų pasiekti Europos žaliojo kurso tikslai, veiksmingai politikai plėtoti ir vertinti reikia išsamesnės statistikos, susijusios su būstų energijos vartojimu ir efektyvumu, išsamių geografinių gyventojų pasiskirstymo duomenų ir nuodugnesnių gyventojų santykio su būstu tyrimų. 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atsižvelgiant į būtiną dažnumą, savalaikiškumą ir išsamumą;</w:t>
      </w:r>
    </w:p>
    <w:p w:rsidR="006B2C30" w:rsidRPr="006B2C30" w:rsidRDefault="006B2C30" w:rsidP="006B2C30">
      <w:pPr>
        <w:spacing w:before="120" w:after="120" w:line="360" w:lineRule="auto"/>
        <w:ind w:left="850" w:hanging="850"/>
        <w:rPr>
          <w:szCs w:val="24"/>
        </w:rPr>
      </w:pPr>
      <w:r w:rsidRPr="006B2C30">
        <w:rPr>
          <w:b/>
          <w:i/>
        </w:rPr>
        <w:t>(7a)</w:t>
      </w:r>
      <w:r w:rsidRPr="006B2C30">
        <w:tab/>
      </w:r>
      <w:r w:rsidRPr="006B2C30">
        <w:rPr>
          <w:b/>
          <w:i/>
        </w:rPr>
        <w:t xml:space="preserve">siekiant stebėti pažangą, padarytą įgyvendinant Europos socialinių teisių ramsčio </w:t>
      </w:r>
      <w:r w:rsidRPr="006B2C30">
        <w:rPr>
          <w:b/>
          <w:i/>
        </w:rPr>
        <w:lastRenderedPageBreak/>
        <w:t>principus, susijusio veiksmų plano pagrindinius tikslus ir Europos vaiko garantijų sistemą nacionaliniu mastu, taip pat įvertinti klimato kaitos ir apskritai politikos poveikį pasiskirstymui, Sąjungai reikalingas tinkamas privalomo tokių duomenų rinkimo ESS mechanizmas, užtikrinant reikiamą tokio rinkimo dažnumą, savalaikiškumą ir išsamumą;</w:t>
      </w:r>
    </w:p>
    <w:p w:rsidR="006B2C30" w:rsidRPr="006B2C30" w:rsidRDefault="006B2C30" w:rsidP="006B2C30">
      <w:pPr>
        <w:spacing w:before="120" w:after="120" w:line="360" w:lineRule="auto"/>
        <w:ind w:left="850" w:hanging="850"/>
        <w:rPr>
          <w:szCs w:val="24"/>
        </w:rPr>
      </w:pPr>
      <w:r w:rsidRPr="006B2C30">
        <w:t>(8)</w:t>
      </w:r>
      <w:r w:rsidRPr="006B2C30">
        <w:tab/>
        <w:t>JT Ekonomikos ir socialinių reikalų taryba, remdamasi JT Statistikos komisijos pasiūlymu, kas dešimt metų priima rezoliucijas dėl pasaulio gyventojų ir būstų surašymo ir ragina JT valstybes nares atlikti gyventojų ir būstų surašymus laikantis tarptautinių ir regioninių rekomendacijų bei užtikrinant gyventojų ir būstų surašymo rezultatų vientisumą, patikimumą, tikslumą ir vertę. Europos gyventojų ir būstų statistikoje turėtų būti atsižvelgta į šias rekomendacijas;</w:t>
      </w:r>
    </w:p>
    <w:p w:rsidR="006B2C30" w:rsidRPr="006B2C30" w:rsidRDefault="006B2C30" w:rsidP="006B2C30">
      <w:pPr>
        <w:spacing w:before="120" w:after="120" w:line="360" w:lineRule="auto"/>
        <w:ind w:left="850" w:hanging="850"/>
        <w:rPr>
          <w:szCs w:val="24"/>
        </w:rPr>
      </w:pPr>
      <w:r w:rsidRPr="006B2C30">
        <w:t>(9)</w:t>
      </w:r>
      <w:r w:rsidRPr="006B2C30">
        <w:tab/>
      </w:r>
      <w:r w:rsidRPr="006B2C30">
        <w:rPr>
          <w:b/>
          <w:i/>
        </w:rPr>
        <w:t xml:space="preserve">pagrindinis Komisijos tikslas – supaprastinti ataskaitų teikimo pareigas ir sumažinti administracinę naštą. 2023 m. kovo 16 d. Komisijos komunikatu „Ilgalaikis ES konkurencingumas. Perspektyvos po 2030 m.“ siekiama 25 proc. racionalizuoti ir supaprastinti ataskaitų teikimo reikalavimus įmonėms ir administracijoms, nepakenkiant susijusiems politikos tikslams. </w:t>
      </w:r>
      <w:r w:rsidRPr="006B2C30">
        <w:t>Europos Parlamento ir Tarybos reglamentu (EB) Nr. 223/2009</w:t>
      </w:r>
      <w:r w:rsidRPr="006B2C30">
        <w:rPr>
          <w:szCs w:val="24"/>
          <w:vertAlign w:val="superscript"/>
          <w:lang w:eastAsia="en-US"/>
        </w:rPr>
        <w:footnoteReference w:id="7"/>
      </w:r>
      <w:r w:rsidRPr="006B2C30">
        <w:t xml:space="preserve"> nustatyta Europos statistikos plėtojimo, rengimo ir sklaidos teisinė sistema, grindžiama bendrais statistikos principais. Tuo reglamentu nustatyti kokybės kriterijai ir nurodyta būtinybė mažinti respondentams tenkančią naštą ir prisidėti prie bendresnio tikslo – mažinti administracinę naštą. Naujojoje Europos gyventojų ir būstų statistikos teisinėje sistemoje turėtų būti įgyvendinami tame reglamente nustatyti kokybės kriterijai </w:t>
      </w:r>
      <w:r w:rsidRPr="006B2C30">
        <w:rPr>
          <w:b/>
          <w:bCs/>
          <w:i/>
          <w:iCs/>
        </w:rPr>
        <w:t>ir</w:t>
      </w:r>
      <w:r w:rsidRPr="006B2C30">
        <w:rPr>
          <w:i/>
          <w:iCs/>
        </w:rPr>
        <w:t xml:space="preserve"> </w:t>
      </w:r>
      <w:r w:rsidRPr="006B2C30">
        <w:rPr>
          <w:b/>
          <w:bCs/>
          <w:i/>
          <w:iCs/>
        </w:rPr>
        <w:t>jais turėtų būti remiamasi</w:t>
      </w:r>
      <w:r w:rsidRPr="006B2C30">
        <w:t xml:space="preserve">, taip pat </w:t>
      </w:r>
      <w:r w:rsidRPr="006B2C30">
        <w:rPr>
          <w:b/>
          <w:bCs/>
          <w:i/>
          <w:iCs/>
        </w:rPr>
        <w:t>turėtų būti mažinama administracinė našta</w:t>
      </w:r>
      <w:r w:rsidRPr="006B2C30">
        <w:t xml:space="preserve"> veiksmingai ir efektyviai pakartotinai naudojant turimus duomenų, įskaitant administracinius duomenis, šaltinius;</w:t>
      </w:r>
    </w:p>
    <w:p w:rsidR="006B2C30" w:rsidRPr="006B2C30" w:rsidRDefault="006B2C30" w:rsidP="006B2C30">
      <w:pPr>
        <w:spacing w:before="120" w:after="120" w:line="360" w:lineRule="auto"/>
        <w:ind w:left="850" w:hanging="850"/>
        <w:rPr>
          <w:szCs w:val="24"/>
        </w:rPr>
      </w:pPr>
      <w:r w:rsidRPr="006B2C30">
        <w:t>(10)</w:t>
      </w:r>
      <w:r w:rsidRPr="006B2C30">
        <w:tab/>
        <w:t>įvertinus esamą Sąjungos gyventojų ir būstų surašymų, tarptautinių migracijos srautų, migrantų skaičiaus, pilietybės įgijimo ir demografinę statistiką</w:t>
      </w:r>
      <w:r w:rsidRPr="006B2C30">
        <w:rPr>
          <w:szCs w:val="24"/>
          <w:vertAlign w:val="superscript"/>
          <w:lang w:eastAsia="en-US"/>
        </w:rPr>
        <w:footnoteReference w:id="8"/>
      </w:r>
      <w:r w:rsidRPr="006B2C30">
        <w:t xml:space="preserve"> paaiškėjo, </w:t>
      </w:r>
      <w:r w:rsidRPr="006B2C30">
        <w:lastRenderedPageBreak/>
        <w:t>kad dėl galiojančios teisinės sistemos, kurią sudaro Europos Parlamento ir Tarybos reglamentai (EB) Nr. 862/2007</w:t>
      </w:r>
      <w:r w:rsidRPr="006B2C30">
        <w:rPr>
          <w:szCs w:val="24"/>
          <w:vertAlign w:val="superscript"/>
          <w:lang w:eastAsia="en-US"/>
        </w:rPr>
        <w:footnoteReference w:id="9"/>
      </w:r>
      <w:r w:rsidRPr="006B2C30">
        <w:t>, (EB) Nr. 763/2008</w:t>
      </w:r>
      <w:r w:rsidRPr="006B2C30">
        <w:rPr>
          <w:szCs w:val="24"/>
          <w:vertAlign w:val="superscript"/>
          <w:lang w:eastAsia="en-US"/>
        </w:rPr>
        <w:footnoteReference w:id="10"/>
      </w:r>
      <w:r w:rsidRPr="006B2C30">
        <w:t xml:space="preserve"> ir (ES) Nr. 1260/2013, statistika iš esmės pagerėjo, palyginti su padėtimi 2005 m., kai šios teisinės sistemos nebuvo. Tačiau šioje sistemoje gali trūkti nuoseklumo ir palyginamumo, todėl šią problemą reikėtų spręsti;</w:t>
      </w:r>
    </w:p>
    <w:p w:rsidR="006B2C30" w:rsidRPr="006B2C30" w:rsidRDefault="006B2C30" w:rsidP="006B2C30">
      <w:pPr>
        <w:spacing w:before="120" w:after="120" w:line="360" w:lineRule="auto"/>
        <w:ind w:left="850" w:hanging="850"/>
        <w:rPr>
          <w:szCs w:val="24"/>
        </w:rPr>
      </w:pPr>
      <w:r w:rsidRPr="006B2C30">
        <w:t>(11)</w:t>
      </w:r>
      <w:r w:rsidRPr="006B2C30">
        <w:tab/>
        <w:t xml:space="preserve">dėl </w:t>
      </w:r>
      <w:r w:rsidRPr="006B2C30">
        <w:rPr>
          <w:b/>
          <w:bCs/>
          <w:i/>
          <w:iCs/>
        </w:rPr>
        <w:t>klimato kaitos, skaitmeninės transformacijos,</w:t>
      </w:r>
      <w:r w:rsidRPr="006B2C30">
        <w:t xml:space="preserve"> kintančios demografinės padėties ir pastarojo meto migracijos tendencijų atsirado poreikis turėti savalaikiškesnės, dažnesnės ir išsamesnės statistikos apie Europos gyventojus, </w:t>
      </w:r>
      <w:r w:rsidRPr="006B2C30">
        <w:rPr>
          <w:b/>
          <w:bCs/>
          <w:i/>
          <w:iCs/>
        </w:rPr>
        <w:t>socialinius ir ekonominius pokyčius,</w:t>
      </w:r>
      <w:r w:rsidRPr="006B2C30">
        <w:t xml:space="preserve"> asmens civilinės būklės pasikeitimus ir būstą, įskaitant išsamią temų ar grupių, kurios per pastarąjį dešimtmetį tapo politiškai ir visuomenei aktualios, informaciją. Galiojanti teisinė sistema taip pat nėra pakankamai lanksti, kad būtų galima prisitaikyti prie kintančių politikos poreikių ir sudaryti sąlygas nacionaliniu ir Sąjungos lygmenimis naudotis naujais šaltiniais. Be to, dėl galiojančios teisinės sistemos struktūros, t. y. trijų skirtingų reglamentų, priimtų skirtingu metu, statistikai būdingas tam tikras nenuoseklumas. Galiausiai, kadangi Reglamentas (ES) Nr. 1260/2013 nebebus taikomas nuo 2028 m. rugpjūčio 31 d., pagal tą reglamentą renkamai demografinei statistikai reikalingas naujas teisinis pagrindas. Todėl galiojančią teisinę sistemą būtina pakeisti nauja, nuoseklesne ir lankstesne sistema, kuria turėtų būti iš dalies pakeistos atitinkamos Reglamento (EB) Nr. 862/2007 dalys ir panaikinti reglamentai (EB) Nr. 763/2008 ir (ES) Nr. 1260/2013;</w:t>
      </w:r>
    </w:p>
    <w:p w:rsidR="006B2C30" w:rsidRPr="006B2C30" w:rsidRDefault="006B2C30" w:rsidP="006B2C30">
      <w:pPr>
        <w:spacing w:before="120" w:after="120" w:line="360" w:lineRule="auto"/>
        <w:ind w:left="850" w:hanging="850"/>
        <w:rPr>
          <w:szCs w:val="24"/>
        </w:rPr>
      </w:pPr>
      <w:r w:rsidRPr="006B2C30">
        <w:t>(12)</w:t>
      </w:r>
      <w:r w:rsidRPr="006B2C30">
        <w:tab/>
        <w:t xml:space="preserve">Reglamento (EB) Nr. 862/2007 3 straipsnis taikomas nuolatinių gyventojų pilietybės ir gimimo vietos (migrantų skaičiaus), gyvenamosios vietos šalies pokyčių (tarptautinės migracijos srautų) ir nuolatinių gyventojų pilietybės įgijimo statistikai, o kita tame reglamente numatyta statistika yra susijusi su administracinėmis ir teisminėmis procedūromis pagal imigracijos teisės aktus ir tarptautinės apsaugos nuostatas. Todėl to reglamento 3 straipsnyje nurodyta statistika glaudžiai susijusi ir turėtų derėti su nuolatinių gyventojų skaičiaus ir demografinių pokyčių statistiniais </w:t>
      </w:r>
      <w:r w:rsidRPr="006B2C30">
        <w:lastRenderedPageBreak/>
        <w:t>duomenimis, numatytais reglamentuose (EB) Nr. 763/2008 ir (ES) Nr. 1260/2013. Todėl siekiant užtikrinti, kad tie statistiniai duomenys būtų iš esmės nuoseklūs, jie turėtų būti integruoti į vieną teisinį pagrindą, o Reglamento (EB) Nr. 862/2007 3 straipsnis turėtų būti išbrauktas;</w:t>
      </w:r>
    </w:p>
    <w:p w:rsidR="006B2C30" w:rsidRPr="006B2C30" w:rsidRDefault="006B2C30" w:rsidP="006B2C30">
      <w:pPr>
        <w:spacing w:before="120" w:after="120" w:line="360" w:lineRule="auto"/>
        <w:ind w:left="850" w:hanging="850"/>
        <w:rPr>
          <w:szCs w:val="24"/>
        </w:rPr>
      </w:pPr>
      <w:r w:rsidRPr="006B2C30">
        <w:t>(13)</w:t>
      </w:r>
      <w:r w:rsidRPr="006B2C30">
        <w:tab/>
        <w:t xml:space="preserve">dėl sparčiai kintančio kai kurių gyventojų ir būstų charakteristikų pobūdžio, visų pirma atsižvelgiant į demografinius, </w:t>
      </w:r>
      <w:r w:rsidRPr="006B2C30">
        <w:rPr>
          <w:b/>
          <w:bCs/>
          <w:i/>
          <w:iCs/>
        </w:rPr>
        <w:t>socialinius ir ekonominius</w:t>
      </w:r>
      <w:r w:rsidRPr="006B2C30">
        <w:t xml:space="preserve"> bei migracijos reiškinius, ir dėl atitinkamo poreikio skubiai nustatyti ir pritaikyti politiką, statistiniai duomenys turi būti prieinami laiku, netrukus po ataskaitinio laikotarpio. Todėl statistikos periodiškumas ir savalaikiškumas turėtų būti žymiai pagerinti</w:t>
      </w:r>
      <w:r w:rsidRPr="006B2C30">
        <w:rPr>
          <w:b/>
          <w:bCs/>
          <w:i/>
          <w:iCs/>
        </w:rPr>
        <w:t>, kai įmanoma naudojant administracinius duomenis ir administracinius įrašus</w:t>
      </w:r>
      <w:r w:rsidRPr="006B2C30">
        <w:t>.</w:t>
      </w:r>
      <w:r w:rsidRPr="006B2C30">
        <w:rPr>
          <w:b/>
          <w:i/>
        </w:rPr>
        <w:t xml:space="preserve"> </w:t>
      </w:r>
      <w:r w:rsidRPr="006B2C30">
        <w:rPr>
          <w:b/>
          <w:bCs/>
          <w:i/>
          <w:iCs/>
        </w:rPr>
        <w:t>Šiuo tikslu valstybės narės turėtų suteikti pakankamai išteklių savo nacionalinėms statistikos institucijoms</w:t>
      </w:r>
      <w:r w:rsidRPr="006B2C30">
        <w:t>;</w:t>
      </w:r>
    </w:p>
    <w:p w:rsidR="006B2C30" w:rsidRPr="006B2C30" w:rsidRDefault="006B2C30" w:rsidP="006B2C30">
      <w:pPr>
        <w:spacing w:before="120" w:after="120" w:line="360" w:lineRule="auto"/>
        <w:ind w:left="850" w:hanging="850"/>
        <w:rPr>
          <w:szCs w:val="24"/>
        </w:rPr>
      </w:pPr>
      <w:r w:rsidRPr="006B2C30">
        <w:t>(14)</w:t>
      </w:r>
      <w:r w:rsidRPr="006B2C30">
        <w:tab/>
        <w:t>Europos Parlamento ir Tarybos reglamentu (EB) Nr. 1059/2003</w:t>
      </w:r>
      <w:r w:rsidRPr="006B2C30">
        <w:rPr>
          <w:szCs w:val="24"/>
          <w:vertAlign w:val="superscript"/>
          <w:lang w:eastAsia="en-US"/>
        </w:rPr>
        <w:footnoteReference w:id="11"/>
      </w:r>
      <w:r w:rsidRPr="006B2C30">
        <w:t xml:space="preserve"> nustatyta lentelėmis pagrįsta metodika, pagal kurią apibrėžiamos teritorinės tipologijos, grindžiamos gyventojų pasiskirstymu 1 km</w:t>
      </w:r>
      <w:r w:rsidRPr="006B2C30">
        <w:rPr>
          <w:vertAlign w:val="superscript"/>
        </w:rPr>
        <w:t>2</w:t>
      </w:r>
      <w:r w:rsidRPr="006B2C30">
        <w:t xml:space="preserve"> gardelių tinklelyje. Komisijos įgyvendinimo reglamente (ES) 2018/1799</w:t>
      </w:r>
      <w:r w:rsidRPr="006B2C30">
        <w:rPr>
          <w:szCs w:val="24"/>
          <w:vertAlign w:val="superscript"/>
          <w:lang w:eastAsia="en-US"/>
        </w:rPr>
        <w:footnoteReference w:id="12"/>
      </w:r>
      <w:r w:rsidRPr="006B2C30">
        <w:t xml:space="preserve"> – laikinoje tiesioginėje statistinės veiklos priemonėje, priimtoje papildant 2021 m. gyventojų ir būstų surašymus, – numatyti pagrindiniai surašymų rezultatai pagal visą Europą apimantį 1 km</w:t>
      </w:r>
      <w:r w:rsidRPr="006B2C30">
        <w:rPr>
          <w:vertAlign w:val="superscript"/>
        </w:rPr>
        <w:t>2</w:t>
      </w:r>
      <w:r w:rsidRPr="006B2C30">
        <w:t xml:space="preserve"> gardelių tinklelį. Tolesnė geografiškai susietų tinkleliais pagrįstų gyventojų statistinių duomenų sklaida ir jų išplėtimas įtraukiant būsto statistiką turėtų būti užtikrinti teisine sistema;</w:t>
      </w:r>
    </w:p>
    <w:p w:rsidR="006B2C30" w:rsidRPr="006B2C30" w:rsidRDefault="006B2C30" w:rsidP="006B2C30">
      <w:pPr>
        <w:spacing w:before="120" w:after="120" w:line="360" w:lineRule="auto"/>
        <w:ind w:left="850" w:hanging="850"/>
        <w:rPr>
          <w:szCs w:val="24"/>
        </w:rPr>
      </w:pPr>
      <w:r w:rsidRPr="006B2C30">
        <w:t>(15)</w:t>
      </w:r>
      <w:r w:rsidRPr="006B2C30">
        <w:tab/>
        <w:t>teritoriniai vienetai ir statistiniai tinkleliai turėtų būti apibrėžti pagal Reglamentą (EB) Nr. 1059/2003;</w:t>
      </w:r>
    </w:p>
    <w:p w:rsidR="006B2C30" w:rsidRPr="006B2C30" w:rsidRDefault="006B2C30" w:rsidP="006B2C30">
      <w:pPr>
        <w:spacing w:before="120" w:after="120" w:line="360" w:lineRule="auto"/>
        <w:ind w:left="850" w:hanging="850"/>
        <w:rPr>
          <w:szCs w:val="24"/>
        </w:rPr>
      </w:pPr>
      <w:r w:rsidRPr="006B2C30">
        <w:t>(16)</w:t>
      </w:r>
      <w:r w:rsidRPr="006B2C30">
        <w:tab/>
        <w:t>vietovės geografiniai duomenys turėtų būti koduojami pagal statistinių vienetų teminį tinklelį laikantis Europos Parlamento ir Tarybos direktyvos 2007/2/EB</w:t>
      </w:r>
      <w:r w:rsidRPr="006B2C30">
        <w:rPr>
          <w:szCs w:val="24"/>
          <w:vertAlign w:val="superscript"/>
          <w:lang w:eastAsia="en-US"/>
        </w:rPr>
        <w:footnoteReference w:id="13"/>
      </w:r>
      <w:r w:rsidRPr="006B2C30">
        <w:t xml:space="preserve"> III priedo;</w:t>
      </w:r>
    </w:p>
    <w:p w:rsidR="006B2C30" w:rsidRPr="006B2C30" w:rsidRDefault="006B2C30" w:rsidP="006B2C30">
      <w:pPr>
        <w:spacing w:before="120" w:after="120" w:line="360" w:lineRule="auto"/>
        <w:ind w:left="850" w:hanging="850"/>
        <w:rPr>
          <w:szCs w:val="24"/>
        </w:rPr>
      </w:pPr>
      <w:r w:rsidRPr="006B2C30">
        <w:t>(17)</w:t>
      </w:r>
      <w:r w:rsidRPr="006B2C30">
        <w:tab/>
        <w:t xml:space="preserve">galiojančią Europos gyventojų ir būstų statistikos teisinę sistemą reikia atnaujinti </w:t>
      </w:r>
      <w:r w:rsidRPr="006B2C30">
        <w:lastRenderedPageBreak/>
        <w:t xml:space="preserve">siekiant užtikrinti, kad dabartiniai atskiri statistikos procesai būtų tinkamai integruoti į bendrą sistemą, kuri leistų ESS veiksmingai reaguoti į naujus Sąjungos informacijos poreikius ir skatinti statistikos inovacijas. Statistinės veiklos rezultatai turi būti tobulinami, kad išliktų aktualūs atsižvelgiant į demografinius, migracijos, socialinius ir ekonominius pokyčius </w:t>
      </w:r>
      <w:r w:rsidRPr="006B2C30">
        <w:rPr>
          <w:b/>
          <w:bCs/>
          <w:i/>
          <w:iCs/>
        </w:rPr>
        <w:t>ir iššūkius</w:t>
      </w:r>
      <w:r w:rsidRPr="006B2C30">
        <w:t xml:space="preserve"> visuomenėje </w:t>
      </w:r>
      <w:r w:rsidRPr="006B2C30">
        <w:rPr>
          <w:b/>
          <w:bCs/>
          <w:i/>
          <w:iCs/>
        </w:rPr>
        <w:t>ir padėtų formuoti politiką ir priimti sprendimus</w:t>
      </w:r>
      <w:r w:rsidRPr="006B2C30">
        <w:t>;</w:t>
      </w:r>
    </w:p>
    <w:p w:rsidR="006B2C30" w:rsidRPr="006B2C30" w:rsidRDefault="006B2C30" w:rsidP="006B2C30">
      <w:pPr>
        <w:spacing w:before="120" w:after="120" w:line="360" w:lineRule="auto"/>
        <w:ind w:left="850" w:hanging="850"/>
        <w:rPr>
          <w:szCs w:val="24"/>
        </w:rPr>
      </w:pPr>
      <w:r w:rsidRPr="006B2C30">
        <w:t>(18)</w:t>
      </w:r>
      <w:r w:rsidRPr="006B2C30">
        <w:tab/>
        <w:t>administraciniais šaltiniais grindžiamą patobulintą reguliarią (metinę ir dažnesnę) gyventojų ir būstų statistiką reikėtų papildyti informacija, gaunama kas dešimt metų pagal JT principus ir rekomendacijas atliekant suderintus Sąjungos gyventojų ir būstų surašymus. Ne mažiau svarbu tai, kad gyventojų ir būstų surašymai suteikia unikalią galimybę padidinti tiek oficialios statistikos rengimo veiklos, tiek rezultatų matomumą;</w:t>
      </w:r>
    </w:p>
    <w:p w:rsidR="006B2C30" w:rsidRPr="006B2C30" w:rsidRDefault="006B2C30" w:rsidP="006B2C30">
      <w:pPr>
        <w:spacing w:before="120" w:after="120" w:line="360" w:lineRule="auto"/>
        <w:ind w:left="850" w:hanging="850"/>
        <w:rPr>
          <w:szCs w:val="24"/>
        </w:rPr>
      </w:pPr>
      <w:r w:rsidRPr="006B2C30">
        <w:t>(19)</w:t>
      </w:r>
      <w:r w:rsidRPr="006B2C30">
        <w:tab/>
        <w:t>Sąjungoje vykdomi surašymai turėtų tapti ekonomiškai efektyvesni ir tam turėtų būti visapusiškai pasinaudojama gausiais administraciniais duomenimis, prieinamais visose valstybėse narėse, arba derinami įvairūs šaltiniai, įskaitant susijusius su daiktų internetu ir skaitmeninių paslaugų teikimu</w:t>
      </w:r>
      <w:r w:rsidRPr="006B2C30">
        <w:rPr>
          <w:b/>
          <w:bCs/>
          <w:i/>
          <w:iCs/>
        </w:rPr>
        <w:t>, remiantis valstybių narių nacionalinių statistikos institucijų ir duomenų iš privačių duomenų bazių teikėjų sudarytais protokolais</w:t>
      </w:r>
      <w:r w:rsidRPr="006B2C30">
        <w:t xml:space="preserve">. </w:t>
      </w:r>
      <w:r w:rsidRPr="006B2C30">
        <w:rPr>
          <w:b/>
          <w:bCs/>
          <w:i/>
          <w:iCs/>
        </w:rPr>
        <w:t>Juos vykdant turėtų būti gerbiamas asmens duomenų privatumas nustatant būtinas asmens duomenų rinkimo apsaugos priemones, kad būtų išvengta bet kokio galimo netinkamo naudojimo ir užtikrintos pagrindinės teisės.</w:t>
      </w:r>
      <w:r w:rsidRPr="006B2C30">
        <w:rPr>
          <w:b/>
          <w:i/>
        </w:rPr>
        <w:t xml:space="preserve"> </w:t>
      </w:r>
      <w:r w:rsidRPr="006B2C30">
        <w:t>Surašymai taip pat turėtų būti naudojami tam, kad būtų galima pakartotinai įtvirtinti demografinius atskaitos taškus, ir apimti administracinių duomenų šaltinių aprėpties tyrimus;</w:t>
      </w:r>
    </w:p>
    <w:p w:rsidR="006B2C30" w:rsidRPr="006B2C30" w:rsidRDefault="006B2C30" w:rsidP="006B2C30">
      <w:pPr>
        <w:spacing w:before="120" w:after="120" w:line="360" w:lineRule="auto"/>
        <w:ind w:left="850" w:hanging="850"/>
        <w:rPr>
          <w:szCs w:val="24"/>
        </w:rPr>
      </w:pPr>
      <w:r w:rsidRPr="006B2C30">
        <w:t>(20)</w:t>
      </w:r>
      <w:r w:rsidRPr="006B2C30">
        <w:tab/>
        <w:t xml:space="preserve">valstybės narės ir Komisija (Eurostatas) turėtų turėti tvarią prieigą prie kuo įvairesnių duomenų šaltinių, kad galėtų ekonomiškai efektyviai rengti aukštos kokybės Europos gyventojų ir būstų statistiką. Šiuo atžvilgiu labai svarbu, kad nacionalinės statistikos institucijos gautų savalaikę prieigą ir galėtų greitai naudotis nacionalinio, regioninio ir vietos lygmens viešojo administravimo institucijoms priklausančiais administraciniais duomenimis pagal Reglamento (EB) Nr. 223/2009 17a straipsnį. Pavyzdžiui, pastatų energijos vartojimo efektyvumo statistika gali būti grindžiama administraciniais duomenimis, susijusiais su pastatų energijos sertifikatų išdavimu </w:t>
      </w:r>
      <w:r w:rsidRPr="006B2C30">
        <w:lastRenderedPageBreak/>
        <w:t>pagal Europos Parlamento ir Tarybos direktyvą 2010/31/ES</w:t>
      </w:r>
      <w:r w:rsidRPr="006B2C30">
        <w:rPr>
          <w:szCs w:val="24"/>
          <w:vertAlign w:val="superscript"/>
          <w:lang w:eastAsia="en-US"/>
        </w:rPr>
        <w:footnoteReference w:id="14"/>
      </w:r>
      <w:r w:rsidRPr="006B2C30">
        <w:t xml:space="preserve">. </w:t>
      </w:r>
      <w:r w:rsidRPr="006B2C30">
        <w:rPr>
          <w:b/>
          <w:i/>
        </w:rPr>
        <w:t>Nacionalinės statistikos institucijos turėtų galėti reguliariai ir laiku visapusiškai pakartotinai naudoti administracinius duomenis iš sąveikių pastatų energinio naudingumo duomenų bazių, kurios nacionaliniu lygmeniu prieinamos pagal Europos Parlamento ir Tarybos direktyvą</w:t>
      </w:r>
      <w:r w:rsidR="009F04B9">
        <w:rPr>
          <w:b/>
          <w:i/>
        </w:rPr>
        <w:t xml:space="preserve"> (ES)</w:t>
      </w:r>
      <w:r w:rsidRPr="006B2C30">
        <w:rPr>
          <w:b/>
          <w:i/>
        </w:rPr>
        <w:t> </w:t>
      </w:r>
      <w:r w:rsidR="00111681">
        <w:rPr>
          <w:b/>
          <w:i/>
        </w:rPr>
        <w:t>2024</w:t>
      </w:r>
      <w:r w:rsidR="00111681" w:rsidRPr="006B2C30">
        <w:rPr>
          <w:b/>
          <w:i/>
        </w:rPr>
        <w:t>/</w:t>
      </w:r>
      <w:r w:rsidR="00111681">
        <w:rPr>
          <w:b/>
          <w:i/>
        </w:rPr>
        <w:t>1275</w:t>
      </w:r>
      <w:r w:rsidRPr="006B2C30">
        <w:rPr>
          <w:b/>
          <w:i/>
          <w:szCs w:val="24"/>
          <w:vertAlign w:val="superscript"/>
          <w:lang w:eastAsia="en-US"/>
        </w:rPr>
        <w:footnoteReference w:id="15"/>
      </w:r>
      <w:r w:rsidR="00111681">
        <w:rPr>
          <w:b/>
          <w:i/>
        </w:rPr>
        <w:t>.</w:t>
      </w:r>
      <w:r w:rsidRPr="006B2C30">
        <w:rPr>
          <w:b/>
          <w:i/>
        </w:rPr>
        <w:t xml:space="preserve"> </w:t>
      </w:r>
      <w:r w:rsidRPr="006B2C30">
        <w:t>Nacionalinės statistikos institucijos taip pat turi dalyvauti priimant sprendimus, susijusius su atitinkamų administracinių duomenų šaltinių kūrimu ir pertvarkymu, siekiant užtikrinti, kad juos būtų galima papildomai naudoti oficialiai statistikai rengti;</w:t>
      </w:r>
    </w:p>
    <w:p w:rsidR="006B2C30" w:rsidRPr="006B2C30" w:rsidRDefault="006B2C30" w:rsidP="006B2C30">
      <w:pPr>
        <w:spacing w:before="120" w:after="120" w:line="360" w:lineRule="auto"/>
        <w:ind w:left="850" w:hanging="850"/>
        <w:rPr>
          <w:szCs w:val="24"/>
        </w:rPr>
      </w:pPr>
      <w:r w:rsidRPr="006B2C30">
        <w:t>(21)</w:t>
      </w:r>
      <w:r w:rsidRPr="006B2C30">
        <w:tab/>
        <w:t>pastaraisiais metais buvo sukurtos išsamios Sąjungos lygmens duomenų bazės ir sąveikumo sistemos, susijusios su gyvenamąja vieta, asmens civilinės būklės pasikeitimais, pilietybe, migracija ir tarpvalstybiniu gyventojų judėjimu, pvz., pagal Europos Parlamento ir Tarybos reglamentus (ES)</w:t>
      </w:r>
      <w:r w:rsidR="00260AD5">
        <w:t xml:space="preserve"> Nr.</w:t>
      </w:r>
      <w:r w:rsidR="00260AD5" w:rsidRPr="006B2C30">
        <w:t> </w:t>
      </w:r>
      <w:r w:rsidRPr="006B2C30">
        <w:t>910/2014</w:t>
      </w:r>
      <w:r w:rsidRPr="006B2C30">
        <w:rPr>
          <w:szCs w:val="24"/>
          <w:vertAlign w:val="superscript"/>
          <w:lang w:eastAsia="en-US"/>
        </w:rPr>
        <w:footnoteReference w:id="16"/>
      </w:r>
      <w:r w:rsidRPr="006B2C30">
        <w:t>, (ES) 2018/1724</w:t>
      </w:r>
      <w:r w:rsidRPr="006B2C30">
        <w:rPr>
          <w:szCs w:val="24"/>
          <w:vertAlign w:val="superscript"/>
          <w:lang w:eastAsia="en-US"/>
        </w:rPr>
        <w:footnoteReference w:id="17"/>
      </w:r>
      <w:r w:rsidRPr="006B2C30">
        <w:t>, (ES) 2019/817</w:t>
      </w:r>
      <w:r w:rsidRPr="006B2C30">
        <w:rPr>
          <w:szCs w:val="24"/>
          <w:vertAlign w:val="superscript"/>
          <w:lang w:eastAsia="en-US"/>
        </w:rPr>
        <w:footnoteReference w:id="18"/>
      </w:r>
      <w:r w:rsidRPr="006B2C30">
        <w:t xml:space="preserve"> ir (ES) 2019/818</w:t>
      </w:r>
      <w:r w:rsidRPr="006B2C30">
        <w:rPr>
          <w:szCs w:val="24"/>
          <w:vertAlign w:val="superscript"/>
          <w:lang w:eastAsia="en-US"/>
        </w:rPr>
        <w:footnoteReference w:id="19"/>
      </w:r>
      <w:r w:rsidRPr="006B2C30">
        <w:t>. Jos suteikia vertingos informacijos, kurią galima pakartotinai naudoti rengiant Europos gyventojų ir būstų statistiką ir užtikrinant jos kokybę;</w:t>
      </w:r>
    </w:p>
    <w:p w:rsidR="006B2C30" w:rsidRPr="006B2C30" w:rsidRDefault="006B2C30" w:rsidP="006B2C30">
      <w:pPr>
        <w:spacing w:before="120" w:after="120" w:line="360" w:lineRule="auto"/>
        <w:ind w:left="850" w:hanging="850"/>
        <w:rPr>
          <w:szCs w:val="24"/>
        </w:rPr>
      </w:pPr>
      <w:r w:rsidRPr="006B2C30">
        <w:t>(22)</w:t>
      </w:r>
      <w:r w:rsidRPr="006B2C30">
        <w:tab/>
        <w:t xml:space="preserve">šiuo atžvilgiu labai svarbu sudaryti sąlygas Komisijai (Eurostatui) pakartotinai naudoti tuos duomenis tik statistikos tikslais, griežtai taikant duomenų apsaugos ir </w:t>
      </w:r>
      <w:r w:rsidRPr="006B2C30">
        <w:lastRenderedPageBreak/>
        <w:t>duomenų privatumo taisykles pagal Europos Parlamento ir Tarybos reglamentą (ES) 2018/1725</w:t>
      </w:r>
      <w:r w:rsidRPr="006B2C30">
        <w:rPr>
          <w:szCs w:val="24"/>
          <w:vertAlign w:val="superscript"/>
          <w:lang w:eastAsia="en-US"/>
        </w:rPr>
        <w:footnoteReference w:id="20"/>
      </w:r>
      <w:r w:rsidRPr="006B2C30">
        <w:t>. Tai visų pirma turėtų būti taikoma statistiniams duomenims, saugomiems centrinėje ataskaitų ir statistinių duomenų saugykloje (CASS), laikantis CASS tikslo, nustatyto Reglamento (ES) 2019/817 39 straipsnio 1 dalyje ir Reglamento (ES) 2019/818 39 straipsnio 1 dalyje, ir reglamentų, kuriais sukurtos tos sistemos, kurių statistiniai duomenys saugomi CASS. Visų pirma, atsižvelgiant į tai, kad CASS turi teikti tarpsisteminius statistinius duomenis ir analitines ataskaitas politikos, veiklos ir duomenų kokybės tikslais, Komisija (Eurostatas) turėtų kuo didesniu mastu bendradarbiauti su Europos Sąjungos didelės apimties IT sistemų laisvės, saugumo ir teisingumo erdvėje operacijų valdymo agentūra (eu-LISA), kad būtų teikiama reikiama Europos statistika;</w:t>
      </w:r>
    </w:p>
    <w:p w:rsidR="006B2C30" w:rsidRPr="006B2C30" w:rsidRDefault="006B2C30" w:rsidP="006B2C30">
      <w:pPr>
        <w:spacing w:before="120" w:after="120" w:line="360" w:lineRule="auto"/>
        <w:ind w:left="850" w:hanging="850"/>
        <w:rPr>
          <w:szCs w:val="24"/>
        </w:rPr>
      </w:pPr>
      <w:r w:rsidRPr="006B2C30">
        <w:t>(23)</w:t>
      </w:r>
      <w:r w:rsidRPr="006B2C30">
        <w:tab/>
        <w:t>privačiai laikomi duomenys</w:t>
      </w:r>
      <w:r w:rsidRPr="006B2C30">
        <w:rPr>
          <w:b/>
          <w:bCs/>
          <w:i/>
          <w:iCs/>
        </w:rPr>
        <w:t> – tai didelis kiekis privačių subjektų turimų duomenų, gautų jiems vykdant savo veiklą, kuriuos statistikos institucijos ir Komisija (Eurostatas) galėtų naudoti oficialiai statistikai rengti.</w:t>
      </w:r>
      <w:r w:rsidRPr="006B2C30">
        <w:rPr>
          <w:b/>
          <w:i/>
        </w:rPr>
        <w:t xml:space="preserve"> </w:t>
      </w:r>
      <w:r w:rsidRPr="006B2C30">
        <w:rPr>
          <w:b/>
          <w:bCs/>
          <w:i/>
          <w:iCs/>
        </w:rPr>
        <w:t>Tokie</w:t>
      </w:r>
      <w:r w:rsidRPr="006B2C30">
        <w:t xml:space="preserve"> duomenys gali pagerinti Europos gyventojų ir būstų statistikos aprėptį, savalaikiškumą ir galimybes naudoti juos reaguojant į krizes arba sudaryti sąlygas statistikos inovacijoms. Šie duomenys gali papildyti esamą demografinę ir migracijos statistiką, paskatinti statistikos inovacijas ir net padėti rengti ankstyvuosius įverčius</w:t>
      </w:r>
      <w:r w:rsidRPr="006B2C30">
        <w:rPr>
          <w:b/>
          <w:bCs/>
          <w:i/>
          <w:iCs/>
        </w:rPr>
        <w:t>, kartu užtikrinant duomenų turėtojų teises ir laisves</w:t>
      </w:r>
      <w:r w:rsidRPr="006B2C30">
        <w:t>. Nacionalinės statistikos institucijos, kitos kompetentingos nacionalinės institucijos ir Komisija (Eurostatas) turėtų turėti prieigą prie tokių duomenų ir jais naudotis</w:t>
      </w:r>
      <w:r w:rsidRPr="006B2C30">
        <w:rPr>
          <w:b/>
          <w:bCs/>
          <w:i/>
          <w:iCs/>
        </w:rPr>
        <w:t>, taip pat bendradarbiauti su privačiais duomenų turėtojais pagal Reglamentą (EB) Nr. 223/2009</w:t>
      </w:r>
      <w:r w:rsidRPr="006B2C30">
        <w:t>;</w:t>
      </w:r>
    </w:p>
    <w:p w:rsidR="006B2C30" w:rsidRPr="006B2C30" w:rsidRDefault="006B2C30" w:rsidP="006B2C30">
      <w:pPr>
        <w:spacing w:before="120" w:after="120" w:line="360" w:lineRule="auto"/>
        <w:ind w:left="850" w:hanging="850"/>
        <w:rPr>
          <w:szCs w:val="24"/>
        </w:rPr>
      </w:pPr>
      <w:r w:rsidRPr="006B2C30">
        <w:t>(24)</w:t>
      </w:r>
      <w:r w:rsidRPr="006B2C30">
        <w:tab/>
        <w:t xml:space="preserve">siekiant užtikrinti Europos gyventojų ir būstų statistikos palyginamumą Sąjungos lygmeniu, labai svarbu, kad bendros gyventojų apibrėžtys būtų taikomos ir įgyvendinamos suderintai. Siekiant nuosekliai, patikimai ir ekonomiškai efektyviai įgyvendinti vieną suderintą gyventojų skaičiaus bazę, kartu užtikrinant, kad rezultatai būtų savalaikiai, </w:t>
      </w:r>
      <w:r w:rsidRPr="006B2C30">
        <w:rPr>
          <w:b/>
          <w:bCs/>
          <w:i/>
          <w:iCs/>
        </w:rPr>
        <w:t>prireikus</w:t>
      </w:r>
      <w:r w:rsidRPr="006B2C30">
        <w:t xml:space="preserve"> turėtų būti įmanoma taikyti </w:t>
      </w:r>
      <w:r w:rsidRPr="006B2C30">
        <w:rPr>
          <w:b/>
          <w:bCs/>
          <w:i/>
          <w:iCs/>
        </w:rPr>
        <w:t>moksliškai pagrįstus modeliavimo metodus ir statistinius metodus</w:t>
      </w:r>
      <w:r w:rsidRPr="006B2C30">
        <w:t>, pvz., buvimo požymius.</w:t>
      </w:r>
    </w:p>
    <w:p w:rsidR="006B2C30" w:rsidRPr="006B2C30" w:rsidRDefault="006B2C30" w:rsidP="006B2C30">
      <w:pPr>
        <w:spacing w:before="120" w:after="120" w:line="360" w:lineRule="auto"/>
        <w:ind w:left="850" w:hanging="850"/>
        <w:rPr>
          <w:szCs w:val="24"/>
        </w:rPr>
      </w:pPr>
      <w:r w:rsidRPr="006B2C30">
        <w:lastRenderedPageBreak/>
        <w:t>(25)</w:t>
      </w:r>
      <w:r w:rsidRPr="006B2C30">
        <w:tab/>
        <w:t>valstybės narės turėtų teikti duomenis ir metaduomenis elektroniniu būdu, laikydamosi tinkamo Komisijos (Eurostato) pateikto techninio formato. Tarptautiniai standartai, pvz., Statistinių duomenų ir metaduomenų mainų iniciatyva, ir Sąjungoje parengti statistiniai ar techniniai standartai, pvz., metaduomenų ir tvirtinimo standartai arba Europos sąveikios sistemos principai, turėtų būti naudojami tiek, kiek jie svarbūs Europos gyventojų ir būstų statistikai. ESSK patvirtino metaduomenų ir kokybės ataskaitų ESS standartus pagal Reglamento (EB) Nr. 223/2009 12 straipsnį. Šiais standartais turi būti padedama darniau užtikrinti kokybę ir teikti ataskaitas pagal šį reglamentą, todėl jie turėtų būti įtraukti;</w:t>
      </w:r>
    </w:p>
    <w:p w:rsidR="006B2C30" w:rsidRPr="006B2C30" w:rsidRDefault="006B2C30" w:rsidP="006B2C30">
      <w:pPr>
        <w:spacing w:before="120" w:after="120" w:line="360" w:lineRule="auto"/>
        <w:ind w:left="850" w:hanging="850"/>
        <w:rPr>
          <w:szCs w:val="24"/>
        </w:rPr>
      </w:pPr>
      <w:r w:rsidRPr="006B2C30">
        <w:t>(26)</w:t>
      </w:r>
      <w:r w:rsidRPr="006B2C30">
        <w:tab/>
        <w:t>Europos gyventojų ir būstų statistika turėtų atitikti Reglamente (EB) Nr. 223/2009 nustatytus kokybės kriterijus, susijusius su reikalingumu, tikslumu, savalaikiškumu ir punktualumu, prieinamumu ir aiškumu, palyginamumu ir nuoseklumu. Tos statistikos kokybė turėtų būti gerinama kintant Sąjungos poreikiams</w:t>
      </w:r>
      <w:r w:rsidRPr="006B2C30">
        <w:rPr>
          <w:b/>
          <w:bCs/>
          <w:i/>
          <w:iCs/>
        </w:rPr>
        <w:t>, taip pat reikėtų sukurti mechanizmus, kurie padėtų spręsti galimus klausimus, susijusius su atvejais, kai duomenų kokybė negarantuojama</w:t>
      </w:r>
      <w:r w:rsidRPr="006B2C30">
        <w:t xml:space="preserve">. Aktualūs Komisijos (Eurostato) atlikto kokybės vertinimo rezultatai turėtų būti viešai prieinami statistikos naudotojams, </w:t>
      </w:r>
      <w:r w:rsidRPr="006B2C30">
        <w:rPr>
          <w:b/>
          <w:bCs/>
          <w:i/>
          <w:iCs/>
        </w:rPr>
        <w:t>užtikrinant nemokamą ir nesudėtingą prieigą prie tos statistikos</w:t>
      </w:r>
      <w:r w:rsidRPr="006B2C30">
        <w:t xml:space="preserve"> per Komisijos (Eurostato) duomenų bazes jos interneto svetainėje ir leidiniuose;</w:t>
      </w:r>
    </w:p>
    <w:p w:rsidR="006B2C30" w:rsidRPr="006B2C30" w:rsidRDefault="006B2C30" w:rsidP="006B2C30">
      <w:pPr>
        <w:spacing w:before="120" w:after="120" w:line="360" w:lineRule="auto"/>
        <w:ind w:left="850" w:hanging="850"/>
        <w:rPr>
          <w:szCs w:val="24"/>
        </w:rPr>
      </w:pPr>
      <w:r w:rsidRPr="006B2C30">
        <w:rPr>
          <w:b/>
          <w:i/>
        </w:rPr>
        <w:t>(26a)</w:t>
      </w:r>
      <w:r w:rsidRPr="006B2C30">
        <w:tab/>
      </w:r>
      <w:r w:rsidRPr="006B2C30">
        <w:rPr>
          <w:b/>
          <w:i/>
        </w:rPr>
        <w:t xml:space="preserve">Europos statistiniai duomenys apie gyventojus ir būstą turėtų padėti spręsti nuolatinio duomenų apie pažeidžiamas grupes, t. y. sunkiai pasiekiamas gyventojų grupes, trūkumo problemą, pvz., duomenų apie įstaigose (pvz., karinėse įstaigose, pataisos namuose ir bausmių atlikimo įstaigose, mokyklų ir universitetų bendrabučiuose, religinėse institucijose, ligoninėse, globos centruose, asmenų su negalia įstaigose ir vaikų namuose) gyvenančius asmenis, vyresnius nei 75 metų asmenis, asmenis su negalia, benamius, migrantų kilmės asmenis ir asmenis be pilietybės. Siekdamos pašalinti šį duomenų atotrūkį ir užkirsti kelią dėl to atsirandančiai socialinei ir ekonominei nelygybei, valstybės narės turėtų parengti strategijas ir tikslinius sprendimus, susijusius su duomenų apie sunkiai pasiekiamų gyventojų grupes rinkimu, visų pirma atsižvelgiant į sunkiai pasiekiamų gyventojų vietos nustatymą, susisiekimą su jais, jų įtikinimą ir apklausą; </w:t>
      </w:r>
    </w:p>
    <w:p w:rsidR="006B2C30" w:rsidRPr="006B2C30" w:rsidRDefault="006B2C30" w:rsidP="006B2C30">
      <w:pPr>
        <w:spacing w:before="120" w:after="120" w:line="360" w:lineRule="auto"/>
        <w:ind w:left="850" w:hanging="850"/>
        <w:rPr>
          <w:szCs w:val="24"/>
        </w:rPr>
      </w:pPr>
      <w:r w:rsidRPr="006B2C30">
        <w:rPr>
          <w:b/>
          <w:i/>
        </w:rPr>
        <w:t>(26</w:t>
      </w:r>
      <w:r w:rsidR="00260AD5">
        <w:rPr>
          <w:b/>
          <w:i/>
        </w:rPr>
        <w:t>b</w:t>
      </w:r>
      <w:r w:rsidRPr="006B2C30">
        <w:rPr>
          <w:b/>
          <w:i/>
        </w:rPr>
        <w:t>)</w:t>
      </w:r>
      <w:r w:rsidRPr="006B2C30">
        <w:tab/>
      </w:r>
      <w:r w:rsidRPr="006B2C30">
        <w:rPr>
          <w:b/>
          <w:i/>
        </w:rPr>
        <w:t xml:space="preserve">kad politikos priemonės būtų tinkamos, savalaikės ir veiksmingos, reikia patikimų ir palyginamų duomenų, suskirstytų pagal lytį, amžių ir, kai tinkama, pilietybę, </w:t>
      </w:r>
      <w:r w:rsidRPr="006B2C30">
        <w:rPr>
          <w:b/>
          <w:i/>
        </w:rPr>
        <w:lastRenderedPageBreak/>
        <w:t>socialinę ir ekonominę padėtį, geografinę vietovę ir kitas charakteristikas, laikantis statistinių principų, nustatytų SESV 338 straipsnio 1 dalyje bei Europos statistikos praktikos kodekse ir ESS kokybės užtikrinimo sistemoje. Tie duomenys yra svarbūs siekiant suprasti su gyventojais ir būstu susijusias tendencijas, kovoti su sąveikine diskriminacija ir įgyvendinti bei įvertinti Sąjungos politiką, politinius tikslus ir veiksmus, pvz., Europos socialinių teisių ramsčio principus, Europos vaiko garantijų sistemą, Europos priežiūros strategiją, Europos neįgaliųjų teisių strategiją ir Europos kovos su benamyste platformą, nes jiems visiems labai reikalingi duomenys apie būstą ir šeimas. Statistinių duomenų suskirstymas pagal negalią turėtų būti skatinamas naudojant esamus ir naujus administracinių duomenų šaltinius, kurie turėtų būti naudojami siekiant ištirti negalios užfiksavimą. Tokie duomenys turi būti renkami ir naudojami visapusiškai gerbiant Sąjungos ir nacionalinius privatumo ir pagrindinių teisių standartus, visų pirma kai tai susiję su nepilnamečių duomenimis. Suskirstymas pagal lytį turėtų atspindėti valstybių narių turimus duomenis. Kai kuriose valstybėse narėse šiuo metu asmenys gali teisėtai registruotis kaip esantys trečiosios, dažnai neutralios, lyties. Šiuo reglamentu nedaromas poveikis atitinkamoms nacionalinėms taisyklėms, kuriomis įgyvendinama tokia registracija;</w:t>
      </w:r>
    </w:p>
    <w:p w:rsidR="006B2C30" w:rsidRPr="006B2C30" w:rsidRDefault="006B2C30" w:rsidP="006B2C30">
      <w:pPr>
        <w:spacing w:before="120" w:after="120" w:line="360" w:lineRule="auto"/>
        <w:ind w:left="850" w:hanging="850"/>
        <w:rPr>
          <w:szCs w:val="24"/>
        </w:rPr>
      </w:pPr>
      <w:r w:rsidRPr="006B2C30">
        <w:t>(27)</w:t>
      </w:r>
      <w:r w:rsidRPr="006B2C30">
        <w:tab/>
        <w:t>Reglamente (EB) Nr. 223/2009 pateikiamos taisyklės dėl duomenų iš valstybių narių Komisijai (Eurostatui) teikimo ir jų naudojimo, įskaitant konfidencialių duomenų perdavimą ir apsaugą. Priemonėmis, kurių imamasi pagal šį reglamentą, turėtų būtų užtikrinama, kad konfidencialūs duomenys būtų teikiami ir naudojami išimtinai statistikos tikslams pagal to reglamento 21 ir 22 straipsnius;</w:t>
      </w:r>
    </w:p>
    <w:p w:rsidR="006B2C30" w:rsidRPr="006B2C30" w:rsidRDefault="006B2C30" w:rsidP="006B2C30">
      <w:pPr>
        <w:spacing w:before="120" w:after="120" w:line="360" w:lineRule="auto"/>
        <w:ind w:left="850" w:hanging="850"/>
        <w:rPr>
          <w:szCs w:val="24"/>
        </w:rPr>
      </w:pPr>
      <w:r w:rsidRPr="006B2C30">
        <w:t>(28)</w:t>
      </w:r>
      <w:r w:rsidRPr="006B2C30">
        <w:tab/>
        <w:t>Komisija (Eurostatas) turi laikytis valstybių narių pagal Reglamentą (EB) Nr. 223/2009 pateiktų statistinių duomenų konfidencialumo reikalavimų. Kiek tai susiję su pagal šį reglamentą surinktais gyventojų statistiniais duomenimis, turėtų būti nustatytas suderintas metodas, kuriuo būtų siekiama užtikrinti aukštą Europos suvestinių rodiklių kokybę ir išvengti konfidencialių duomenų atskleidimo statistinės veiklos rezultatuose, kuo labiau vengiant duomenų blokavimo;</w:t>
      </w:r>
    </w:p>
    <w:p w:rsidR="006B2C30" w:rsidRPr="006B2C30" w:rsidRDefault="006B2C30" w:rsidP="006B2C30">
      <w:pPr>
        <w:spacing w:before="120" w:after="120" w:line="360" w:lineRule="auto"/>
        <w:ind w:left="850" w:hanging="850"/>
        <w:rPr>
          <w:szCs w:val="24"/>
        </w:rPr>
      </w:pPr>
      <w:r w:rsidRPr="006B2C30">
        <w:t>(29)</w:t>
      </w:r>
      <w:r w:rsidRPr="006B2C30">
        <w:tab/>
        <w:t xml:space="preserve">nacionaliniu lygmeniu prieinami duomenų šaltiniai ne visada gali tiksliai apibūdinti reiškinius, susijusius su laisvu asmenų judėjimu Sąjungoje, asmenų galimybėmis naudotis tarpvalstybinėmis paslaugomis, susijusiomis su demografiniais asmens civilinės būklės pasikeitimais, ir naudojimusi asmenų teisėmis visoje Sąjungoje </w:t>
      </w:r>
      <w:r w:rsidRPr="006B2C30">
        <w:lastRenderedPageBreak/>
        <w:t xml:space="preserve">įsigyti ir turėti būstą, kuris naudojamas kaip pirminis, atostogų ir antrinis būstas. Taip pat yra </w:t>
      </w:r>
      <w:r w:rsidRPr="006B2C30">
        <w:rPr>
          <w:b/>
          <w:bCs/>
          <w:i/>
          <w:iCs/>
        </w:rPr>
        <w:t>neatitikimų</w:t>
      </w:r>
      <w:r w:rsidRPr="006B2C30">
        <w:t xml:space="preserve">, susijusių su dvišaliais migracijos srautais, ir sunkumų nustatant tam tikrų grupių gyventojų, pvz., migrantų, benamių ar asmenų be pilietybės skaičių. Todėl reikėtų stiprinti dalijimąsi duomenimis gyventojų ir migracijos statistikos rinkimo ir kokybės užtikrinimo tikslais ir laikyti jį dar vienu duomenų šaltiniu. Toks intensyvesnis dalijimasis duomenimis gali apimti daug įvairių svarbių duomenų – nuo duomenų, pagal kuriuos akivaizdžiai neįmanoma tiesiogiai ar netiesiogiai nustatyti statistinių vienetų, iki duomenų, kuriems gali būti taikomi statistinių duomenų konfidencialumo reikalavimai. Valstybės narės, atsižvelgdamos į savo ir kitų valstybių narių interesus, turėtų dalyvauti dalijimosi duomenimis veikloje, įskaitant bandomuosius projektus, kuriais vertinami novatoriški saugūs sprendimai. Komisija (Eurostatas) taip pat turėtų sukurti saugią infrastruktūrą tokiam dalijimuisi duomenimis palengvinti, kartu užtikrindama visas būtinas </w:t>
      </w:r>
      <w:r w:rsidRPr="006B2C30">
        <w:rPr>
          <w:b/>
          <w:bCs/>
          <w:i/>
          <w:iCs/>
        </w:rPr>
        <w:t>duomenų</w:t>
      </w:r>
      <w:r w:rsidRPr="006B2C30">
        <w:t xml:space="preserve"> apsaugos priemones;</w:t>
      </w:r>
    </w:p>
    <w:p w:rsidR="006B2C30" w:rsidRPr="006B2C30" w:rsidRDefault="006B2C30" w:rsidP="006B2C30">
      <w:pPr>
        <w:spacing w:before="120" w:after="120" w:line="360" w:lineRule="auto"/>
        <w:ind w:left="850" w:hanging="850"/>
        <w:rPr>
          <w:szCs w:val="24"/>
        </w:rPr>
      </w:pPr>
      <w:r w:rsidRPr="006B2C30">
        <w:t>▌</w:t>
      </w:r>
    </w:p>
    <w:p w:rsidR="006B2C30" w:rsidRPr="006B2C30" w:rsidRDefault="006B2C30" w:rsidP="006B2C30">
      <w:pPr>
        <w:spacing w:before="120" w:after="120" w:line="360" w:lineRule="auto"/>
        <w:ind w:left="850" w:hanging="850"/>
        <w:rPr>
          <w:szCs w:val="24"/>
        </w:rPr>
      </w:pPr>
      <w:r w:rsidRPr="006B2C30">
        <w:t>(31)</w:t>
      </w:r>
      <w:r w:rsidRPr="006B2C30">
        <w:tab/>
        <w:t>konfidencialiais duomenimis turėtų būti dalijamasi tik pateikus prašymą, kuriuo pagrindžiamas poreikis dalytis tais duomenimis pagal Reglamento (EB) Nr. 223/2009 V skyrių;</w:t>
      </w:r>
    </w:p>
    <w:p w:rsidR="006B2C30" w:rsidRPr="006B2C30" w:rsidRDefault="006B2C30" w:rsidP="006B2C30">
      <w:pPr>
        <w:spacing w:before="120" w:after="120" w:line="360" w:lineRule="auto"/>
        <w:ind w:left="850" w:hanging="850"/>
        <w:rPr>
          <w:szCs w:val="24"/>
        </w:rPr>
      </w:pPr>
      <w:r w:rsidRPr="006B2C30">
        <w:t>(32)</w:t>
      </w:r>
      <w:r w:rsidRPr="006B2C30">
        <w:tab/>
        <w:t xml:space="preserve">ilgesniuoju laikotarpiu bendradarbiavimo pastangoms ESS siekiant sumažinti tarpvalstybines statistikos kokybės problemas, pvz., dvigubą Sąjungos gyventojų, kurie naudojasi judėjimo laisve, apskaitą, turėtų </w:t>
      </w:r>
      <w:r w:rsidRPr="006B2C30">
        <w:rPr>
          <w:b/>
          <w:bCs/>
          <w:i/>
          <w:iCs/>
        </w:rPr>
        <w:t>padėti, pavyzdžiui,</w:t>
      </w:r>
      <w:r w:rsidRPr="006B2C30">
        <w:t xml:space="preserve"> bendri skaitmeniniai identifikatoriai, Sąjungos lygmeniu nustatyti Reglamentu (ES) Nr. 910/2014;</w:t>
      </w:r>
    </w:p>
    <w:p w:rsidR="006B2C30" w:rsidRPr="006B2C30" w:rsidRDefault="006B2C30" w:rsidP="006B2C30">
      <w:pPr>
        <w:spacing w:before="120" w:after="120" w:line="360" w:lineRule="auto"/>
        <w:ind w:left="850" w:hanging="850"/>
        <w:rPr>
          <w:szCs w:val="24"/>
        </w:rPr>
      </w:pPr>
      <w:r w:rsidRPr="006B2C30">
        <w:t>(33)</w:t>
      </w:r>
      <w:r w:rsidRPr="006B2C30">
        <w:tab/>
        <w:t>šis reglamentas nedaro poveikio reglamentams (ES) 2016/679</w:t>
      </w:r>
      <w:r w:rsidRPr="006B2C30">
        <w:rPr>
          <w:szCs w:val="24"/>
          <w:vertAlign w:val="superscript"/>
          <w:lang w:eastAsia="en-US"/>
        </w:rPr>
        <w:footnoteReference w:id="21"/>
      </w:r>
      <w:r w:rsidRPr="006B2C30">
        <w:t xml:space="preserve"> ir (ES) 2018/1725 ir Europos Parlamento ir Tarybos direktyvai 2002/58/EB</w:t>
      </w:r>
      <w:r w:rsidRPr="006B2C30">
        <w:rPr>
          <w:szCs w:val="24"/>
          <w:vertAlign w:val="superscript"/>
          <w:lang w:eastAsia="en-US"/>
        </w:rPr>
        <w:footnoteReference w:id="22"/>
      </w:r>
      <w:r w:rsidRPr="006B2C30">
        <w:t>. Pastarieji reglamentai, atsižvelgiant į atitinkamą jų taikymo sritį, turi būti taikomi asmens duomenų tvarkymui pagal šį reglamentą</w:t>
      </w:r>
      <w:r w:rsidRPr="006B2C30">
        <w:rPr>
          <w:b/>
          <w:bCs/>
          <w:i/>
          <w:iCs/>
        </w:rPr>
        <w:t xml:space="preserve">, taip pat atsižvelgiant į tai, kad asmens duomenys, </w:t>
      </w:r>
      <w:r w:rsidRPr="006B2C30">
        <w:rPr>
          <w:b/>
          <w:bCs/>
          <w:i/>
          <w:iCs/>
        </w:rPr>
        <w:lastRenderedPageBreak/>
        <w:t>tvarkomi statistikos tikslais viešojo intereso labui, yra konfidencialūs statistiniai duomenys, kuriems taikomas statistinių duomenų konfidencialumo principas</w:t>
      </w:r>
      <w:r w:rsidRPr="006B2C30">
        <w:t>.</w:t>
      </w:r>
      <w:r w:rsidRPr="006B2C30">
        <w:rPr>
          <w:b/>
          <w:i/>
        </w:rPr>
        <w:t xml:space="preserve"> Todėl tokie duomenys turėtų būti naudojami tik statistikos tikslais ir niekada neturėtų būti naudojami priemonėms ar sprendimams, susijusiems su konkrečiu fiziniu asmeniu, priimti. Pageidautina, kad tvarkant asmens duomenis, jais dalijantis ir juos archyvuojant statistikos tikslais pagal šį reglamentą būtų naudojami anoniminiai arba pseudoniminiai duomenys, kad būtų užtikrintos apsaugos priemonės, priimtos pagal Reglamento (ES) 2016/679 89 straipsnį ir Reglamento (ES) 2018/1725 13 straipsnį. Kai asmens duomenys tvarkomi pagal Reglamentą (ES) 2016/679 arba Reglamentą (ES) 2018/1725, turėtų būti visapusiškai taikomi teisėtumo, sąžiningumo, skaidrumo ir tikslumo, tikslų apribojimo, duomenų kiekio mažinimo, saugojimo apribojimo ir vientisumo bei konfidencialumo principai. </w:t>
      </w:r>
      <w:r w:rsidRPr="006B2C30">
        <w:rPr>
          <w:b/>
          <w:bCs/>
          <w:i/>
          <w:iCs/>
        </w:rPr>
        <w:t>Taip pat turėtų būti taikomi Reglamento (EB) Nr. 223/2009 2 straipsnyje nustatyti ir Europos statistikos praktikos kodekse išsamiau išplėtoti statistikos principai;</w:t>
      </w:r>
    </w:p>
    <w:p w:rsidR="006B2C30" w:rsidRPr="006B2C30" w:rsidRDefault="006B2C30" w:rsidP="006B2C30">
      <w:pPr>
        <w:spacing w:before="120" w:after="120" w:line="360" w:lineRule="auto"/>
        <w:ind w:left="850" w:hanging="850"/>
        <w:rPr>
          <w:szCs w:val="24"/>
        </w:rPr>
      </w:pPr>
      <w:r w:rsidRPr="006B2C30">
        <w:t>(34)</w:t>
      </w:r>
      <w:r w:rsidRPr="006B2C30">
        <w:tab/>
        <w:t>Europos gyventojų ir būstų statistika turėtų keistis, kad būtų atsižvelgta į naujus duomenų poreikius, atsirandančius dėl kintančių politikos prioritetų, taip pat į Sąjungos demografinės, migracijos, socialinės ar ekonominės padėties pokyčius. Komisija (Eurostatas) turėtų atlikti bandomuosius tyrimus ir galimybių studijas, kuriais būtų įvertintas atitinkamų pritaikymų įgyvendinamumas, ir turėtų atsižvelgti į tokius aspektus kaip išlaidos ir administracinė našta valstybėms narėms bei atitinkamų duomenų šaltinių prieinamumas.</w:t>
      </w:r>
      <w:r w:rsidRPr="006B2C30">
        <w:rPr>
          <w:b/>
          <w:i/>
        </w:rPr>
        <w:t xml:space="preserve"> Rengdama šiuos tyrimus, Komisija turėtų užtikrinti, kad tyrimai būtų reprezentatyvūs Sąjungos lygmeniu ir atspindėtų nacionalinius skirtumus. Komisija, bendradarbiaudama su valstybėmis narėmis, turėtų įvertinti tyrimų rezultatus;</w:t>
      </w:r>
    </w:p>
    <w:p w:rsidR="006B2C30" w:rsidRPr="006B2C30" w:rsidRDefault="006B2C30" w:rsidP="006B2C30">
      <w:pPr>
        <w:spacing w:before="120" w:after="120" w:line="360" w:lineRule="auto"/>
        <w:ind w:left="850" w:hanging="850"/>
      </w:pPr>
      <w:r w:rsidRPr="006B2C30">
        <w:t>(35)</w:t>
      </w:r>
      <w:r w:rsidRPr="006B2C30">
        <w:tab/>
        <w:t>siekiant atsižvelgti į demografines, ekonomines ir socialines tendencijas, technologinę plėtrą</w:t>
      </w:r>
      <w:r w:rsidRPr="006B2C30">
        <w:rPr>
          <w:b/>
          <w:bCs/>
          <w:i/>
          <w:iCs/>
        </w:rPr>
        <w:t xml:space="preserve"> ir poreikį laiku parengti tikslingą politiką</w:t>
      </w:r>
      <w:r w:rsidRPr="006B2C30">
        <w:t xml:space="preserve">, pagal SESV 290 straipsnį Komisijai turėtų būti sutekti įgaliojimai priimti deleguotuosius aktus, kuriais būtų iš dalies keičiamas Europos gyventojų ir būstų statistikos potemių sąrašas, aprašymas, periodiškumas ir ataskaitinis laikas; atnaujinamas šio reglamento priede nurodytas periodiškumas ir ataskaitinis laikas ir nurodoma informacija, kurią valstybės narės turi teikti </w:t>
      </w:r>
      <w:r w:rsidRPr="006B2C30">
        <w:rPr>
          <w:i/>
          <w:iCs/>
        </w:rPr>
        <w:t>ad hoc</w:t>
      </w:r>
      <w:r w:rsidRPr="006B2C30">
        <w:t xml:space="preserve">. Ypač svarbu, kad atlikdama parengiamąjį darbą Komisija tinkamai konsultuotųsi, taip pat ir su ekspertais, ir kad tos konsultacijos </w:t>
      </w:r>
      <w:r w:rsidRPr="006B2C30">
        <w:lastRenderedPageBreak/>
        <w:t>būtų vykdomos vadovaujantis 2016 m. balandžio 13 d. Tarpinstituciniame susitarime dėl geresnės teisėkūros</w:t>
      </w:r>
      <w:r w:rsidRPr="006B2C30">
        <w:rPr>
          <w:szCs w:val="24"/>
          <w:vertAlign w:val="superscript"/>
          <w:lang w:eastAsia="en-US"/>
        </w:rPr>
        <w:footnoteReference w:id="23"/>
      </w:r>
      <w:r w:rsidRPr="006B2C30">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6B2C30" w:rsidRPr="006B2C30" w:rsidRDefault="006B2C30" w:rsidP="006B2C30">
      <w:pPr>
        <w:spacing w:before="120" w:after="120" w:line="360" w:lineRule="auto"/>
        <w:ind w:left="850" w:hanging="850"/>
        <w:rPr>
          <w:szCs w:val="24"/>
        </w:rPr>
      </w:pPr>
      <w:r w:rsidRPr="006B2C30">
        <w:rPr>
          <w:b/>
          <w:i/>
        </w:rPr>
        <w:t>(35a)</w:t>
      </w:r>
      <w:r w:rsidRPr="006B2C30">
        <w:tab/>
      </w:r>
      <w:r w:rsidRPr="006B2C30">
        <w:rPr>
          <w:b/>
          <w:i/>
        </w:rPr>
        <w:t>Europos statistinių duomenų, kaip esminės duomenimis pagrįsto sprendimų priėmimo dalies, svarba atsispindi Europos Parlamento ir Tarybos reglamentu (ES) 2021/690</w:t>
      </w:r>
      <w:r w:rsidRPr="006B2C30">
        <w:rPr>
          <w:b/>
          <w:i/>
          <w:szCs w:val="24"/>
          <w:vertAlign w:val="superscript"/>
          <w:lang w:eastAsia="en-US"/>
        </w:rPr>
        <w:footnoteReference w:id="24"/>
      </w:r>
      <w:r w:rsidRPr="006B2C30">
        <w:rPr>
          <w:b/>
          <w:i/>
        </w:rPr>
        <w:t xml:space="preserve"> nustatytoje Europos statistikos tobulinimo, rengimo ir sklaidos programavimo ir finansavimo sistemoje (Bendrosios rinkos programa). Valstybės narės turėtų turėti galimybę prašyti finansinės paramos pagal Bendrosios rinkos programą ir Europos Parlamento ir Tarybos reglamentu (ES) 2021/240</w:t>
      </w:r>
      <w:r w:rsidRPr="006B2C30">
        <w:rPr>
          <w:b/>
          <w:i/>
          <w:szCs w:val="24"/>
          <w:vertAlign w:val="superscript"/>
          <w:lang w:eastAsia="en-US"/>
        </w:rPr>
        <w:footnoteReference w:id="25"/>
      </w:r>
      <w:r w:rsidRPr="006B2C30">
        <w:rPr>
          <w:b/>
          <w:i/>
        </w:rPr>
        <w:t xml:space="preserve"> nustatytą techninės paramos priemonę, atsižvelgdamos į tų priemonių tikslus ir taisykles, kad pritaikytų savo nacionalines statistikos sistemas, pagerintų statistikos metodiką ir duomenų kokybę ir planuotų bei įgyvendintų ad hoc duomenų rinkimą pagal šį reglamentą;</w:t>
      </w:r>
    </w:p>
    <w:p w:rsidR="006B2C30" w:rsidRPr="006B2C30" w:rsidRDefault="006B2C30" w:rsidP="006B2C30">
      <w:pPr>
        <w:spacing w:before="120" w:after="120" w:line="360" w:lineRule="auto"/>
        <w:ind w:left="850" w:hanging="850"/>
        <w:rPr>
          <w:szCs w:val="24"/>
        </w:rPr>
      </w:pPr>
      <w:r w:rsidRPr="006B2C30">
        <w:t>(36)</w:t>
      </w:r>
      <w:r w:rsidRPr="006B2C30">
        <w:tab/>
        <w:t>pagal Europos Parlamento ir Tarybos reglamentus (ES, Euratomas) 2018/1046</w:t>
      </w:r>
      <w:r w:rsidRPr="006B2C30">
        <w:rPr>
          <w:szCs w:val="24"/>
          <w:vertAlign w:val="superscript"/>
          <w:lang w:eastAsia="en-US"/>
        </w:rPr>
        <w:footnoteReference w:id="26"/>
      </w:r>
      <w:r w:rsidRPr="006B2C30">
        <w:t xml:space="preserve"> bei (ES, Euratomas) Nr. 883/2013</w:t>
      </w:r>
      <w:r w:rsidRPr="006B2C30">
        <w:rPr>
          <w:szCs w:val="24"/>
          <w:vertAlign w:val="superscript"/>
          <w:lang w:eastAsia="en-US"/>
        </w:rPr>
        <w:footnoteReference w:id="27"/>
      </w:r>
      <w:r w:rsidRPr="006B2C30">
        <w:t xml:space="preserve"> ir Tarybos reglamentus (EB, Euratomas) </w:t>
      </w:r>
      <w:r w:rsidRPr="006B2C30">
        <w:lastRenderedPageBreak/>
        <w:t>Nr. 2988/95</w:t>
      </w:r>
      <w:r w:rsidRPr="006B2C30">
        <w:rPr>
          <w:szCs w:val="24"/>
          <w:vertAlign w:val="superscript"/>
          <w:lang w:eastAsia="en-US"/>
        </w:rPr>
        <w:footnoteReference w:id="28"/>
      </w:r>
      <w:r w:rsidRPr="006B2C30">
        <w:t>, (EB, Euratomas) Nr. 2185/96</w:t>
      </w:r>
      <w:r w:rsidRPr="006B2C30">
        <w:rPr>
          <w:szCs w:val="24"/>
          <w:vertAlign w:val="superscript"/>
          <w:lang w:eastAsia="en-US"/>
        </w:rPr>
        <w:footnoteReference w:id="29"/>
      </w:r>
      <w:r w:rsidRPr="006B2C30">
        <w:t xml:space="preserve"> bei (ES) 2017/1939</w:t>
      </w:r>
      <w:r w:rsidRPr="006B2C30">
        <w:rPr>
          <w:szCs w:val="24"/>
          <w:vertAlign w:val="superscript"/>
          <w:lang w:eastAsia="en-US"/>
        </w:rPr>
        <w:footnoteReference w:id="30"/>
      </w:r>
      <w:r w:rsidRPr="006B2C30">
        <w:t xml:space="preserve"> Sąjungos finansiniai interesai turi būti apsaugoti proporcingomis priemonėmis, įskaitant priemones, susijusias su pažeidimų, be kita ko, sukčiavimo prevenciją, nustatymą, ištaisymą ir tyrimą, prarastų, nepagrįstai išmokėtų ar neteisingai panaudotų lėšų susigrąžinimą ir, kai tinkama, administracinių nuobaudų skyrimą. Visų pirma vadovaujantis reglamentais (Euratomas, EB) Nr. 2185/96 ir (ES, Euratomas) Nr. 883/2013, Europos kovos su sukčiavimu tarnyba (OLAF) turi įgaliojimus atlikti administracinius tyrimus, įskaitant patikrinimus ir inspektavimus vietoje, siekdama nustatyti, ar nebūta Sąjungos finansiniams interesams kenkiančio sukčiavimo, korupcijos ar kitos neteisėtos veiklos atvejų. Pagal Reglamentą (ES) 2017/1939 Europos prokuratūra turi įgaliojimus tirti Sąjungos finansiniams interesams kenkiančias nusikalstamas veikas, kaip numatyta Europos Parlamento ir Tarybos direktyvoje (ES) 2017/1371</w:t>
      </w:r>
      <w:r w:rsidRPr="006B2C30">
        <w:rPr>
          <w:szCs w:val="24"/>
          <w:vertAlign w:val="superscript"/>
          <w:lang w:eastAsia="en-US"/>
        </w:rPr>
        <w:footnoteReference w:id="31"/>
      </w:r>
      <w:r w:rsidRPr="006B2C30">
        <w:t>, ir vykdyti baudžiamąjį persekiojimą už jas. Pagal Reglamentą (ES, Euratomas) 2018/1046 bet kuris asmuo arba subjektas, gaunantis Sąjungos lėšas, turi visapusiškai bendradarbiauti Sąjungos finansinių interesų apsaugos klausimu, suteikti būtinas teises ir prieigą Komisijai, OLAF, Audito Rūmams ir, kiek tai susiję su tvirtesniame bendradarbiavime pagal Reglamentą (ES) 2017/1939 dalyvaujančiomis valstybėmis narėmis, Europos prokuratūrai, ir užtikrinti, kad visos trečiosios šalys, dalyvaujančios įgyvendinant Sąjungos lėšas, suteiktų lygiavertes teises;</w:t>
      </w:r>
    </w:p>
    <w:p w:rsidR="006B2C30" w:rsidRPr="006B2C30" w:rsidRDefault="006B2C30" w:rsidP="006B2C30">
      <w:pPr>
        <w:spacing w:before="120" w:after="120" w:line="360" w:lineRule="auto"/>
        <w:ind w:left="850" w:hanging="850"/>
        <w:rPr>
          <w:szCs w:val="24"/>
        </w:rPr>
      </w:pPr>
      <w:r w:rsidRPr="006B2C30">
        <w:t>(37)</w:t>
      </w:r>
      <w:r w:rsidRPr="006B2C30">
        <w:tab/>
        <w:t xml:space="preserve">siekiant užtikrinti vienodas šio reglamento įgyvendinimo sąlygas, susijusias su duomenims ir metaduomenims nustatomais reikalavimais, duomenų ir metaduomenų teikimo techniniais formatais ir procedūromis, kokybės ataskaitų turiniu ir struktūra, Komisijai turėtų būti suteikti įgyvendinimo įgaliojimai. Tais įgaliojimais turėtų būti </w:t>
      </w:r>
      <w:r w:rsidRPr="006B2C30">
        <w:lastRenderedPageBreak/>
        <w:t>naudojamasi laikantis Europos Parlamento ir Tarybos reglamento (ES) Nr. 182/2011</w:t>
      </w:r>
      <w:r w:rsidRPr="006B2C30">
        <w:rPr>
          <w:szCs w:val="24"/>
          <w:vertAlign w:val="superscript"/>
          <w:lang w:eastAsia="en-US"/>
        </w:rPr>
        <w:footnoteReference w:id="32"/>
      </w:r>
      <w:r w:rsidRPr="006B2C30">
        <w:t>;</w:t>
      </w:r>
    </w:p>
    <w:p w:rsidR="006B2C30" w:rsidRPr="006B2C30" w:rsidRDefault="006B2C30" w:rsidP="006B2C30">
      <w:pPr>
        <w:spacing w:before="120" w:after="120" w:line="360" w:lineRule="auto"/>
        <w:ind w:left="850" w:hanging="850"/>
        <w:rPr>
          <w:szCs w:val="24"/>
        </w:rPr>
      </w:pPr>
      <w:r w:rsidRPr="006B2C30">
        <w:t>(38)</w:t>
      </w:r>
      <w:r w:rsidRPr="006B2C30">
        <w:tab/>
        <w:t>jei šiam reglamentui ar pagal jį priimtiems deleguotiesiems ir įgyvendinimo aktams įgyvendinti reikėtų iš esmės pakeisti valstybės narės nacionalinę statistikos sistemą dėl duomenų, kurių periodiškumas mažesnis nei 10 metų, teikimo, Komisija turėtų galėti tinkamai pagrįstais atvejais ir ribotą laikotarpį leisti atitinkamoms valstybėms narėms taikyti nukrypti leidžiančias nuostatas;</w:t>
      </w:r>
    </w:p>
    <w:p w:rsidR="006B2C30" w:rsidRPr="006B2C30" w:rsidRDefault="006B2C30" w:rsidP="006B2C30">
      <w:pPr>
        <w:spacing w:before="120" w:after="120" w:line="360" w:lineRule="auto"/>
        <w:ind w:left="850" w:hanging="850"/>
        <w:rPr>
          <w:szCs w:val="24"/>
        </w:rPr>
      </w:pPr>
      <w:r w:rsidRPr="006B2C30">
        <w:t>(39)</w:t>
      </w:r>
      <w:r w:rsidRPr="006B2C30">
        <w:tab/>
        <w:t>kadangi šio reglamento tikslo, t. y. sistemingai rengti Europos gyventojų ir būstų statistiką, valstybės narės negali deramai pasiekti, o dėl nuoseklumo ir palyginamumo to tikslo būtų geriau siekti Sąjungos lygmeniu, laikydamasi Europos Sąjungos sutarties 5 straipsnyje nustatyto subsidiarumo principo Sąjunga gali priimti priemones. Pagal tame straipsnyje nustatytą proporcingumo principą šiuo reglamentu neviršijama to, kas būtina nurodytam tikslui pasiekti;</w:t>
      </w:r>
    </w:p>
    <w:p w:rsidR="006B2C30" w:rsidRPr="006B2C30" w:rsidRDefault="006B2C30" w:rsidP="006B2C30">
      <w:pPr>
        <w:spacing w:before="120" w:after="120" w:line="360" w:lineRule="auto"/>
        <w:ind w:left="850" w:hanging="850"/>
        <w:rPr>
          <w:szCs w:val="24"/>
        </w:rPr>
      </w:pPr>
      <w:r w:rsidRPr="006B2C30">
        <w:t>(40)</w:t>
      </w:r>
      <w:r w:rsidRPr="006B2C30">
        <w:tab/>
        <w:t xml:space="preserve">vadovaujantis Reglamento (ES) 2018/1725 42 straipsnio 1 dalimi buvo konsultuojamasi su Europos duomenų apsaugos priežiūros pareigūnu ir jis pateikė nuomonę </w:t>
      </w:r>
      <w:r w:rsidRPr="006B2C30">
        <w:rPr>
          <w:b/>
          <w:bCs/>
          <w:i/>
          <w:iCs/>
        </w:rPr>
        <w:t>2023 m. kovo 16 d.</w:t>
      </w:r>
      <w:r w:rsidRPr="006B2C30">
        <w:t>;</w:t>
      </w:r>
    </w:p>
    <w:p w:rsidR="006B2C30" w:rsidRPr="006B2C30" w:rsidRDefault="006B2C30" w:rsidP="006B2C30">
      <w:pPr>
        <w:spacing w:before="120" w:after="120" w:line="360" w:lineRule="auto"/>
        <w:ind w:left="850" w:hanging="850"/>
        <w:rPr>
          <w:szCs w:val="24"/>
        </w:rPr>
      </w:pPr>
      <w:r w:rsidRPr="006B2C30">
        <w:t>(41)</w:t>
      </w:r>
      <w:r w:rsidRPr="006B2C30">
        <w:tab/>
        <w:t>konsultuotasi su Europos statistikos sistemos komitetu,</w:t>
      </w:r>
    </w:p>
    <w:p w:rsidR="006B2C30" w:rsidRPr="006B2C30" w:rsidRDefault="006B2C30" w:rsidP="006B2C30">
      <w:pPr>
        <w:keepNext/>
        <w:widowControl/>
        <w:spacing w:before="120" w:after="120" w:line="360" w:lineRule="auto"/>
        <w:rPr>
          <w:szCs w:val="24"/>
        </w:rPr>
      </w:pPr>
      <w:r w:rsidRPr="006B2C30">
        <w:t>PRIĖMĖ ŠĮ REGLAMENTĄ:</w:t>
      </w:r>
    </w:p>
    <w:p w:rsidR="006B2C30" w:rsidRPr="006B2C30" w:rsidRDefault="006B2C30" w:rsidP="006B2C30">
      <w:pPr>
        <w:spacing w:before="120" w:after="120" w:line="360" w:lineRule="auto"/>
        <w:jc w:val="center"/>
        <w:rPr>
          <w:szCs w:val="24"/>
        </w:rPr>
      </w:pPr>
      <w:r w:rsidRPr="006B2C30">
        <w:br w:type="page"/>
      </w:r>
      <w:r w:rsidRPr="006B2C30">
        <w:lastRenderedPageBreak/>
        <w:t>1 straipsnis</w:t>
      </w:r>
      <w:r w:rsidRPr="006B2C30">
        <w:br/>
        <w:t>Dalykas</w:t>
      </w:r>
    </w:p>
    <w:p w:rsidR="006B2C30" w:rsidRPr="006B2C30" w:rsidRDefault="006B2C30" w:rsidP="006B2C30">
      <w:pPr>
        <w:spacing w:before="120" w:after="120" w:line="360" w:lineRule="auto"/>
        <w:rPr>
          <w:szCs w:val="24"/>
        </w:rPr>
      </w:pPr>
      <w:r w:rsidRPr="006B2C30">
        <w:t>Šiuo reglamentu nustatoma bendra teisinė sistemingo Europos gyventojų ir būstų statistikos plėtojimo, rengimo ir sklaidos sistema.</w:t>
      </w:r>
    </w:p>
    <w:p w:rsidR="006B2C30" w:rsidRPr="006B2C30" w:rsidRDefault="006B2C30" w:rsidP="006B2C30">
      <w:pPr>
        <w:spacing w:before="120" w:after="120" w:line="360" w:lineRule="auto"/>
        <w:jc w:val="center"/>
        <w:rPr>
          <w:szCs w:val="24"/>
        </w:rPr>
      </w:pPr>
      <w:r w:rsidRPr="006B2C30">
        <w:t>2 straipsnis</w:t>
      </w:r>
      <w:r w:rsidRPr="006B2C30">
        <w:br/>
        <w:t>Terminų apibrėžtys</w:t>
      </w:r>
    </w:p>
    <w:p w:rsidR="006B2C30" w:rsidRPr="006B2C30" w:rsidRDefault="006B2C30" w:rsidP="006B2C30">
      <w:pPr>
        <w:spacing w:before="120" w:after="120" w:line="360" w:lineRule="auto"/>
        <w:rPr>
          <w:szCs w:val="24"/>
        </w:rPr>
      </w:pPr>
      <w:r w:rsidRPr="006B2C30">
        <w:t>Šiame reglamente vartojamų terminų apibrėžtys:</w:t>
      </w:r>
    </w:p>
    <w:p w:rsidR="006B2C30" w:rsidRPr="006B2C30" w:rsidRDefault="006B2C30" w:rsidP="006B2C30">
      <w:pPr>
        <w:spacing w:before="120" w:after="120" w:line="360" w:lineRule="auto"/>
        <w:ind w:left="850" w:hanging="850"/>
        <w:rPr>
          <w:szCs w:val="24"/>
        </w:rPr>
      </w:pPr>
      <w:r w:rsidRPr="006B2C30">
        <w:t>1)</w:t>
      </w:r>
      <w:r w:rsidRPr="006B2C30">
        <w:tab/>
        <w:t>pilietybė – fizinio asmens ir jo valstybės ypatingas teisinis ryšys, kuris atsiranda gimus ar dėl natūralizacijos, nesvarbu, ar tai įvyksta dėl pareiškimo, pasirinkimo, santuokos, įvaikinimo, ar pasinaudojus kitomis nacionalinėje teisėje numatytomis priemonėmis;</w:t>
      </w:r>
    </w:p>
    <w:p w:rsidR="006B2C30" w:rsidRPr="006B2C30" w:rsidRDefault="006B2C30" w:rsidP="006B2C30">
      <w:pPr>
        <w:spacing w:before="120" w:after="120" w:line="360" w:lineRule="auto"/>
        <w:ind w:left="850" w:hanging="850"/>
        <w:rPr>
          <w:szCs w:val="24"/>
        </w:rPr>
      </w:pPr>
      <w:r w:rsidRPr="006B2C30">
        <w:t>2)</w:t>
      </w:r>
      <w:r w:rsidRPr="006B2C30">
        <w:tab/>
        <w:t>nuolatinė gyvenamoji vieta – vieta, kurioje asmuo paprastai praleidžia poilsiui skirtą paros dalį, nepaisant laikino nebuvimo, kai išvykstama praleisti laisvalaikio, atostogauti, aplankyti draugų ir giminių, verslo reikalais, gydytis arba į religines piligrimines keliones. Konkretaus geografinio rajono nuolatiniais gyventojais laikomi tik šie asmenys:</w:t>
      </w:r>
    </w:p>
    <w:p w:rsidR="006B2C30" w:rsidRPr="006B2C30" w:rsidRDefault="006B2C30" w:rsidP="006B2C30">
      <w:pPr>
        <w:spacing w:before="120" w:after="120" w:line="360" w:lineRule="auto"/>
        <w:ind w:left="1416" w:hanging="566"/>
        <w:rPr>
          <w:szCs w:val="24"/>
        </w:rPr>
      </w:pPr>
      <w:r w:rsidRPr="006B2C30">
        <w:t>a)</w:t>
      </w:r>
      <w:r w:rsidRPr="006B2C30">
        <w:tab/>
        <w:t>nuolatinėje gyvenamojoje vietoje per 12 mėnesių iki ataskaitinės datos imtinai gyvenę didžiąją laiko dalį arba</w:t>
      </w:r>
    </w:p>
    <w:p w:rsidR="006B2C30" w:rsidRPr="006B2C30" w:rsidRDefault="006B2C30" w:rsidP="006B2C30">
      <w:pPr>
        <w:spacing w:before="120" w:after="120" w:line="360" w:lineRule="auto"/>
        <w:ind w:left="1416" w:hanging="566"/>
        <w:rPr>
          <w:szCs w:val="24"/>
        </w:rPr>
      </w:pPr>
      <w:r w:rsidRPr="006B2C30">
        <w:t>b)</w:t>
      </w:r>
      <w:r w:rsidRPr="006B2C30">
        <w:tab/>
        <w:t>į nuolatinę gyvenamąją vietą atvykę per 12 mėnesių iki ataskaitinės datos imtinai ir ketinantys arba besitikintys būti joje didžiąją dalį laiko bent 12 mėnesių po atvykimo;</w:t>
      </w:r>
    </w:p>
    <w:p w:rsidR="006B2C30" w:rsidRPr="006B2C30" w:rsidRDefault="006B2C30" w:rsidP="006B2C30">
      <w:pPr>
        <w:spacing w:before="120" w:after="120" w:line="360" w:lineRule="auto"/>
        <w:ind w:left="850" w:hanging="850"/>
        <w:rPr>
          <w:szCs w:val="24"/>
        </w:rPr>
      </w:pPr>
      <w:r w:rsidRPr="006B2C30">
        <w:t>3)</w:t>
      </w:r>
      <w:r w:rsidRPr="006B2C30">
        <w:tab/>
        <w:t>buvimo požymiai – informacija, rodanti faktinį asmens buvimą ir nuolatinę gyvenamąją vietą nagrinėjamoje teritorijoje, be kita ko, informacija, gauta iš bet kokio tinkamo šaltinio ar jų derinio, įskaitant su asmeniu susijusius skaitmeninius pėdsakus;</w:t>
      </w:r>
    </w:p>
    <w:p w:rsidR="006B2C30" w:rsidRPr="006B2C30" w:rsidRDefault="006B2C30" w:rsidP="006B2C30">
      <w:pPr>
        <w:spacing w:before="120" w:after="120" w:line="360" w:lineRule="auto"/>
        <w:ind w:left="850" w:hanging="850"/>
        <w:rPr>
          <w:szCs w:val="24"/>
        </w:rPr>
      </w:pPr>
      <w:r w:rsidRPr="006B2C30">
        <w:t>4)</w:t>
      </w:r>
      <w:r w:rsidRPr="006B2C30">
        <w:tab/>
        <w:t>▌</w:t>
      </w:r>
    </w:p>
    <w:p w:rsidR="006B2C30" w:rsidRPr="006B2C30" w:rsidRDefault="006B2C30" w:rsidP="006B2C30">
      <w:pPr>
        <w:spacing w:before="120" w:after="120" w:line="360" w:lineRule="auto"/>
        <w:ind w:left="850" w:hanging="850"/>
        <w:rPr>
          <w:szCs w:val="24"/>
        </w:rPr>
      </w:pPr>
      <w:r w:rsidRPr="006B2C30">
        <w:t>5)</w:t>
      </w:r>
      <w:r w:rsidRPr="006B2C30">
        <w:tab/>
        <w:t>tarptautinė migracija – įvykis, kuriuo asmuo, prieš tai nuolat gyvenęs tam tikroje valstybėje narėje arba trečiojoje šalyje, perkelia savo nuolatinę gyvenamąją vietą į kitos valstybės narės arba trečiosios šalies teritoriją;</w:t>
      </w:r>
    </w:p>
    <w:p w:rsidR="006B2C30" w:rsidRPr="006B2C30" w:rsidRDefault="006B2C30" w:rsidP="006B2C30">
      <w:pPr>
        <w:spacing w:before="120" w:after="120" w:line="360" w:lineRule="auto"/>
        <w:ind w:left="850" w:hanging="850"/>
        <w:rPr>
          <w:szCs w:val="24"/>
        </w:rPr>
      </w:pPr>
      <w:r w:rsidRPr="006B2C30">
        <w:t>6)</w:t>
      </w:r>
      <w:r w:rsidRPr="006B2C30">
        <w:tab/>
        <w:t xml:space="preserve">imigrantas – asmuo, kuris per ataskaitinį laikotarpį tarptautinės migracijos veiksmu </w:t>
      </w:r>
      <w:r w:rsidRPr="006B2C30">
        <w:lastRenderedPageBreak/>
        <w:t>perkėlė savo nuolatinę gyvenamąją vietą į duomenis teikiančią šalį;</w:t>
      </w:r>
    </w:p>
    <w:p w:rsidR="006B2C30" w:rsidRPr="006B2C30" w:rsidRDefault="006B2C30" w:rsidP="006B2C30">
      <w:pPr>
        <w:spacing w:before="120" w:after="120" w:line="360" w:lineRule="auto"/>
        <w:ind w:left="850" w:hanging="850"/>
        <w:rPr>
          <w:szCs w:val="24"/>
        </w:rPr>
      </w:pPr>
      <w:r w:rsidRPr="006B2C30">
        <w:t>7)</w:t>
      </w:r>
      <w:r w:rsidRPr="006B2C30">
        <w:tab/>
        <w:t>emigrantas – asmuo, kuris per ataskaitinį laikotarpį tarptautinės migracijos veiksmu perkėlė savo nuolatinę gyvenamąją vietą iš duomenis teikiančios šalies, prieš tai nuolat joje gyvenęs;</w:t>
      </w:r>
    </w:p>
    <w:p w:rsidR="006B2C30" w:rsidRPr="006B2C30" w:rsidRDefault="006B2C30" w:rsidP="006B2C30">
      <w:pPr>
        <w:spacing w:before="120" w:after="120" w:line="360" w:lineRule="auto"/>
        <w:ind w:left="850" w:hanging="850"/>
        <w:rPr>
          <w:szCs w:val="24"/>
        </w:rPr>
      </w:pPr>
      <w:r w:rsidRPr="006B2C30">
        <w:t>8)</w:t>
      </w:r>
      <w:r w:rsidRPr="006B2C30">
        <w:tab/>
        <w:t>vidaus migracija – įvykis, kuriuo asmuo pakeičia savo nuolatinę gyvenamąją vietą duomenis teikiančios šalies teritorijoje;</w:t>
      </w:r>
    </w:p>
    <w:p w:rsidR="006B2C30" w:rsidRPr="006B2C30" w:rsidRDefault="006B2C30" w:rsidP="006B2C30">
      <w:pPr>
        <w:spacing w:before="120" w:after="120" w:line="360" w:lineRule="auto"/>
        <w:ind w:left="850" w:hanging="850"/>
        <w:rPr>
          <w:szCs w:val="24"/>
        </w:rPr>
      </w:pPr>
      <w:r w:rsidRPr="006B2C30">
        <w:rPr>
          <w:b/>
          <w:i/>
        </w:rPr>
        <w:t>8a)</w:t>
      </w:r>
      <w:r w:rsidRPr="006B2C30">
        <w:tab/>
      </w:r>
      <w:r w:rsidRPr="006B2C30">
        <w:rPr>
          <w:b/>
          <w:i/>
        </w:rPr>
        <w:t>sunkiai pasiekiamos gyventojų grupės – asmenų grupės, kurios negali būti visapusiškai ir reprezentatyviai identifikuotos ar įtrauktos į statistinių duomenų rinkimą dėl realios arba suvokiamos kliūties, atsirandančios dėl atitinkamų grupių aprėpties trūkumo arba dėl konkrečių joms identifikuoti būtinų charakteristikų trūkumo;</w:t>
      </w:r>
    </w:p>
    <w:p w:rsidR="006B2C30" w:rsidRPr="006B2C30" w:rsidRDefault="006B2C30" w:rsidP="006B2C30">
      <w:pPr>
        <w:spacing w:before="120" w:after="120" w:line="360" w:lineRule="auto"/>
        <w:ind w:left="850" w:hanging="850"/>
        <w:rPr>
          <w:szCs w:val="24"/>
        </w:rPr>
      </w:pPr>
      <w:r w:rsidRPr="006B2C30">
        <w:t>9)</w:t>
      </w:r>
      <w:r w:rsidRPr="006B2C30">
        <w:tab/>
        <w:t xml:space="preserve">gyvenamosios </w:t>
      </w:r>
      <w:r w:rsidRPr="006B2C30">
        <w:rPr>
          <w:b/>
          <w:i/>
        </w:rPr>
        <w:t>patalpos</w:t>
      </w:r>
      <w:r w:rsidRPr="006B2C30">
        <w:t xml:space="preserve"> – laikinas arba nuolatinis statinys, pastogė arba apgyvendinimo vieta, kurioje gyvena vienas ar daugiau asmenų, nepriklausomai nuo to, ar ji suprojektuota arba skirta žmonėms gyventi, ar ne;</w:t>
      </w:r>
    </w:p>
    <w:p w:rsidR="006B2C30" w:rsidRPr="006B2C30" w:rsidRDefault="006B2C30" w:rsidP="006B2C30">
      <w:pPr>
        <w:spacing w:before="120" w:after="120" w:line="360" w:lineRule="auto"/>
        <w:ind w:left="850" w:hanging="850"/>
        <w:rPr>
          <w:b/>
          <w:i/>
          <w:szCs w:val="24"/>
        </w:rPr>
      </w:pPr>
      <w:r w:rsidRPr="006B2C30">
        <w:t>10)</w:t>
      </w:r>
      <w:r w:rsidRPr="006B2C30">
        <w:tab/>
        <w:t xml:space="preserve">▌ įprastinis </w:t>
      </w:r>
      <w:r w:rsidRPr="006B2C30">
        <w:rPr>
          <w:b/>
          <w:i/>
        </w:rPr>
        <w:t>būstas – struktūriškai atskiros ir nepriklausomos patalpos</w:t>
      </w:r>
      <w:r w:rsidRPr="006B2C30">
        <w:t xml:space="preserve"> nustatytoje </w:t>
      </w:r>
      <w:r w:rsidRPr="006B2C30">
        <w:rPr>
          <w:b/>
          <w:i/>
        </w:rPr>
        <w:t>vietoje, kurios yra</w:t>
      </w:r>
      <w:r w:rsidRPr="006B2C30">
        <w:t xml:space="preserve"> skirtos žmonėms nuolat gyventi </w:t>
      </w:r>
      <w:r w:rsidRPr="006B2C30">
        <w:rPr>
          <w:b/>
          <w:i/>
        </w:rPr>
        <w:t xml:space="preserve">ir kurios ataskaitinę datą yra: </w:t>
      </w:r>
    </w:p>
    <w:p w:rsidR="006B2C30" w:rsidRPr="006B2C30" w:rsidRDefault="006B2C30" w:rsidP="00D82399">
      <w:pPr>
        <w:spacing w:before="120" w:after="120" w:line="360" w:lineRule="auto"/>
        <w:ind w:left="1418" w:hanging="568"/>
        <w:rPr>
          <w:b/>
          <w:i/>
          <w:szCs w:val="24"/>
        </w:rPr>
      </w:pPr>
      <w:r w:rsidRPr="006B2C30">
        <w:rPr>
          <w:b/>
          <w:i/>
        </w:rPr>
        <w:t>a)</w:t>
      </w:r>
      <w:r w:rsidR="00235383">
        <w:rPr>
          <w:b/>
          <w:i/>
        </w:rPr>
        <w:tab/>
      </w:r>
      <w:r w:rsidRPr="006B2C30">
        <w:rPr>
          <w:b/>
          <w:i/>
        </w:rPr>
        <w:t xml:space="preserve">naudojamos kaip nuolatinė gyvenamoji vieta; </w:t>
      </w:r>
    </w:p>
    <w:p w:rsidR="006B2C30" w:rsidRPr="006B2C30" w:rsidRDefault="006B2C30" w:rsidP="00D82399">
      <w:pPr>
        <w:spacing w:before="120" w:after="120" w:line="360" w:lineRule="auto"/>
        <w:ind w:left="1418" w:hanging="568"/>
        <w:rPr>
          <w:b/>
          <w:i/>
          <w:szCs w:val="24"/>
        </w:rPr>
      </w:pPr>
      <w:r w:rsidRPr="006B2C30">
        <w:rPr>
          <w:b/>
          <w:i/>
        </w:rPr>
        <w:t>b)</w:t>
      </w:r>
      <w:r w:rsidR="00235383">
        <w:rPr>
          <w:b/>
          <w:i/>
        </w:rPr>
        <w:tab/>
      </w:r>
      <w:r w:rsidRPr="006B2C30">
        <w:rPr>
          <w:b/>
          <w:i/>
        </w:rPr>
        <w:t xml:space="preserve">tuščios arba </w:t>
      </w:r>
    </w:p>
    <w:p w:rsidR="006B2C30" w:rsidRPr="006B2C30" w:rsidRDefault="006B2C30" w:rsidP="00D82399">
      <w:pPr>
        <w:spacing w:before="120" w:after="120" w:line="360" w:lineRule="auto"/>
        <w:ind w:left="1418" w:hanging="568"/>
        <w:rPr>
          <w:b/>
          <w:i/>
          <w:szCs w:val="24"/>
        </w:rPr>
      </w:pPr>
      <w:r w:rsidRPr="006B2C30">
        <w:rPr>
          <w:b/>
          <w:i/>
        </w:rPr>
        <w:t>c)</w:t>
      </w:r>
      <w:r w:rsidR="00235383">
        <w:rPr>
          <w:b/>
          <w:i/>
        </w:rPr>
        <w:tab/>
      </w:r>
      <w:r w:rsidRPr="006B2C30">
        <w:rPr>
          <w:b/>
          <w:i/>
        </w:rPr>
        <w:t xml:space="preserve">naudojamos kaip antrinis gyvenamasis būstas ar sezoninė gyvenamoji vieta; </w:t>
      </w:r>
    </w:p>
    <w:p w:rsidR="006B2C30" w:rsidRPr="006B2C30" w:rsidRDefault="006B2C30" w:rsidP="006B2C30">
      <w:pPr>
        <w:spacing w:before="120" w:after="120" w:line="360" w:lineRule="auto"/>
        <w:ind w:left="851" w:hanging="851"/>
        <w:rPr>
          <w:b/>
          <w:i/>
          <w:szCs w:val="24"/>
        </w:rPr>
      </w:pPr>
      <w:r w:rsidRPr="006B2C30">
        <w:rPr>
          <w:b/>
          <w:i/>
        </w:rPr>
        <w:t>x)</w:t>
      </w:r>
      <w:r w:rsidRPr="006B2C30">
        <w:rPr>
          <w:b/>
          <w:i/>
        </w:rPr>
        <w:tab/>
        <w:t>atskiros patalpos – patalpos, apjuostos sienomis ir padengtos stogu arba lubomis taip, kad vienas ar daugiau asmenų galėtų ten gyventi nepriklausomai nuo kitų asmenų;</w:t>
      </w:r>
    </w:p>
    <w:p w:rsidR="006B2C30" w:rsidRPr="006B2C30" w:rsidRDefault="006B2C30" w:rsidP="006B2C30">
      <w:pPr>
        <w:spacing w:before="120" w:after="120" w:line="360" w:lineRule="auto"/>
        <w:ind w:left="851" w:hanging="851"/>
        <w:rPr>
          <w:szCs w:val="24"/>
        </w:rPr>
      </w:pPr>
      <w:r w:rsidRPr="006B2C30">
        <w:rPr>
          <w:b/>
          <w:i/>
        </w:rPr>
        <w:t>xx)</w:t>
      </w:r>
      <w:r w:rsidRPr="006B2C30">
        <w:rPr>
          <w:b/>
          <w:i/>
        </w:rPr>
        <w:tab/>
        <w:t>nepriklausomos patalpos – patalpos, turinčios tiesioginį įėjimą iš gatvės ar laiptinės, praėjimo, koridoriaus ar sklypo.</w:t>
      </w:r>
    </w:p>
    <w:p w:rsidR="006B2C30" w:rsidRPr="006B2C30" w:rsidRDefault="006B2C30" w:rsidP="006B2C30">
      <w:pPr>
        <w:spacing w:before="120" w:after="120" w:line="360" w:lineRule="auto"/>
        <w:ind w:left="850" w:hanging="850"/>
        <w:rPr>
          <w:szCs w:val="24"/>
        </w:rPr>
      </w:pPr>
      <w:r w:rsidRPr="006B2C30">
        <w:t>11)</w:t>
      </w:r>
      <w:r w:rsidRPr="006B2C30">
        <w:tab/>
        <w:t>gyvenamosios paskirties pastatas – nuolatinis statinys, sudarytas iš vieno ar kelių tradicinių būstų arba skirtas instituciniam ar kolektyviniam apgyvendinimui;</w:t>
      </w:r>
    </w:p>
    <w:p w:rsidR="006B2C30" w:rsidRPr="006B2C30" w:rsidRDefault="006B2C30" w:rsidP="006B2C30">
      <w:pPr>
        <w:spacing w:before="120" w:after="120" w:line="360" w:lineRule="auto"/>
        <w:ind w:left="850" w:hanging="850"/>
        <w:rPr>
          <w:szCs w:val="24"/>
        </w:rPr>
      </w:pPr>
      <w:r w:rsidRPr="006B2C30">
        <w:t>12)</w:t>
      </w:r>
      <w:r w:rsidRPr="006B2C30">
        <w:tab/>
        <w:t>namų ūkis – dviejų ar daugiau asmenų, kurie dalijasi gyvenamosiomis patalpomis ▌ arba kitais konkrečiais ištekliais, grupė arba atskiras asmuo, nepriklausantis jokiam kitam namų ūkiui;</w:t>
      </w:r>
    </w:p>
    <w:p w:rsidR="006B2C30" w:rsidRPr="006B2C30" w:rsidRDefault="006B2C30" w:rsidP="006B2C30">
      <w:pPr>
        <w:spacing w:before="120" w:after="120" w:line="360" w:lineRule="auto"/>
        <w:ind w:left="850" w:hanging="850"/>
        <w:rPr>
          <w:szCs w:val="24"/>
        </w:rPr>
      </w:pPr>
      <w:r w:rsidRPr="006B2C30">
        <w:rPr>
          <w:b/>
          <w:i/>
        </w:rPr>
        <w:t>12a)</w:t>
      </w:r>
      <w:r w:rsidRPr="006B2C30">
        <w:tab/>
      </w:r>
      <w:r w:rsidRPr="006B2C30">
        <w:rPr>
          <w:b/>
          <w:i/>
        </w:rPr>
        <w:t xml:space="preserve">institucija – kolektyvinės gyvenamosios patalpos, skirtos asmenų grupės ilgalaikio </w:t>
      </w:r>
      <w:r w:rsidRPr="006B2C30">
        <w:rPr>
          <w:b/>
          <w:i/>
        </w:rPr>
        <w:lastRenderedPageBreak/>
        <w:t>apgyvendinimo ir kitoms kasdieniam gyvenimui reikalingoms paslaugoms teikti;</w:t>
      </w:r>
    </w:p>
    <w:p w:rsidR="006B2C30" w:rsidRPr="006B2C30" w:rsidRDefault="006B2C30" w:rsidP="006B2C30">
      <w:pPr>
        <w:spacing w:before="120" w:after="120" w:line="360" w:lineRule="auto"/>
        <w:ind w:left="850" w:hanging="850"/>
        <w:rPr>
          <w:szCs w:val="24"/>
        </w:rPr>
      </w:pPr>
      <w:r w:rsidRPr="006B2C30">
        <w:t>13)</w:t>
      </w:r>
      <w:r w:rsidRPr="006B2C30">
        <w:tab/>
        <w:t>šeima – grupė dviejų ar daugiau asmenų, kurie</w:t>
      </w:r>
      <w:r w:rsidRPr="006B2C30">
        <w:rPr>
          <w:b/>
          <w:i/>
        </w:rPr>
        <w:t xml:space="preserve"> didžiąją laiko dalį</w:t>
      </w:r>
      <w:r w:rsidRPr="006B2C30">
        <w:t xml:space="preserve"> gyvena tame pačiame namų ūkyje ir yra susiję tėvystės (motinystės) arba santuokiniais, registruotos ar bendru sutarimu grindžiamos partnerystės ryšiais;</w:t>
      </w:r>
    </w:p>
    <w:p w:rsidR="006B2C30" w:rsidRPr="006B2C30" w:rsidRDefault="006B2C30" w:rsidP="006B2C30">
      <w:pPr>
        <w:spacing w:before="120" w:after="120" w:line="360" w:lineRule="auto"/>
        <w:ind w:left="850" w:hanging="850"/>
        <w:rPr>
          <w:szCs w:val="24"/>
        </w:rPr>
      </w:pPr>
      <w:r w:rsidRPr="006B2C30">
        <w:t>14)</w:t>
      </w:r>
      <w:r w:rsidRPr="006B2C30">
        <w:tab/>
        <w:t>administraciniai įrašai – ne statistikos šaltinio (paprastai – viešosios įstaigos</w:t>
      </w:r>
      <w:r w:rsidRPr="006B2C30">
        <w:rPr>
          <w:b/>
          <w:i/>
        </w:rPr>
        <w:t xml:space="preserve"> tvarkomo</w:t>
      </w:r>
      <w:r w:rsidRPr="006B2C30">
        <w:t xml:space="preserve"> registro), kurio pagrindinė paskirtis nėra teikti statistinius duomenis, surinkti duomenys;</w:t>
      </w:r>
    </w:p>
    <w:p w:rsidR="006B2C30" w:rsidRPr="006B2C30" w:rsidRDefault="006B2C30" w:rsidP="006B2C30">
      <w:pPr>
        <w:spacing w:before="120" w:after="120" w:line="360" w:lineRule="auto"/>
        <w:ind w:left="850" w:hanging="850"/>
        <w:rPr>
          <w:szCs w:val="24"/>
        </w:rPr>
      </w:pPr>
      <w:r w:rsidRPr="006B2C30">
        <w:t>15)</w:t>
      </w:r>
      <w:r w:rsidRPr="006B2C30">
        <w:tab/>
        <w:t>sritis – vienas arba keli duomenų rinkiniai, kurie aprėpia konkrečias temas;</w:t>
      </w:r>
    </w:p>
    <w:p w:rsidR="006B2C30" w:rsidRPr="006B2C30" w:rsidRDefault="006B2C30" w:rsidP="006B2C30">
      <w:pPr>
        <w:spacing w:before="120" w:after="120" w:line="360" w:lineRule="auto"/>
        <w:ind w:left="850" w:hanging="850"/>
        <w:rPr>
          <w:szCs w:val="24"/>
        </w:rPr>
      </w:pPr>
      <w:r w:rsidRPr="006B2C30">
        <w:t>16)</w:t>
      </w:r>
      <w:r w:rsidRPr="006B2C30">
        <w:tab/>
        <w:t>tema – rinktinos informacijos apie statistinius vienetus turinys; kiekvieną temą sudaro kelios potemės;</w:t>
      </w:r>
    </w:p>
    <w:p w:rsidR="006B2C30" w:rsidRPr="006B2C30" w:rsidRDefault="006B2C30" w:rsidP="006B2C30">
      <w:pPr>
        <w:spacing w:before="120" w:after="120" w:line="360" w:lineRule="auto"/>
        <w:ind w:left="850" w:hanging="850"/>
        <w:rPr>
          <w:szCs w:val="24"/>
        </w:rPr>
      </w:pPr>
      <w:r w:rsidRPr="006B2C30">
        <w:t>17)</w:t>
      </w:r>
      <w:r w:rsidRPr="006B2C30">
        <w:tab/>
        <w:t>potemė – išsamus rinktinos informacijos apie statistinius vienetus turinys, susijęs su konkrečia tema; kiekvieną potemę sudaro vienas arba keli kintamieji;</w:t>
      </w:r>
    </w:p>
    <w:p w:rsidR="006B2C30" w:rsidRPr="006B2C30" w:rsidRDefault="006B2C30" w:rsidP="006B2C30">
      <w:pPr>
        <w:spacing w:before="120" w:after="120" w:line="360" w:lineRule="auto"/>
        <w:ind w:left="850" w:hanging="850"/>
        <w:rPr>
          <w:szCs w:val="24"/>
        </w:rPr>
      </w:pPr>
      <w:r w:rsidRPr="006B2C30">
        <w:t>18)</w:t>
      </w:r>
      <w:r w:rsidRPr="006B2C30">
        <w:tab/>
        <w:t>duomenų rinkinys – ▌ vienas ar keli kintamieji, pateikti struktūruota forma;</w:t>
      </w:r>
    </w:p>
    <w:p w:rsidR="006B2C30" w:rsidRPr="006B2C30" w:rsidRDefault="006B2C30" w:rsidP="006B2C30">
      <w:pPr>
        <w:spacing w:before="120" w:after="120" w:line="360" w:lineRule="auto"/>
        <w:ind w:left="850" w:hanging="850"/>
        <w:rPr>
          <w:szCs w:val="24"/>
        </w:rPr>
      </w:pPr>
      <w:r w:rsidRPr="006B2C30">
        <w:t>19)</w:t>
      </w:r>
      <w:r w:rsidRPr="006B2C30">
        <w:tab/>
        <w:t>gyventojų ir būstų surašymai – išsamūs kas dešimt metų renkamų duomenų rinkiniai ir metaduomenys, kurie turi būti teikiami pagal šį reglamentą;</w:t>
      </w:r>
    </w:p>
    <w:p w:rsidR="006B2C30" w:rsidRPr="006B2C30" w:rsidRDefault="006B2C30" w:rsidP="006B2C30">
      <w:pPr>
        <w:spacing w:before="120" w:after="120" w:line="360" w:lineRule="auto"/>
        <w:ind w:left="850" w:hanging="850"/>
        <w:rPr>
          <w:szCs w:val="24"/>
        </w:rPr>
      </w:pPr>
      <w:r w:rsidRPr="006B2C30">
        <w:t>20)</w:t>
      </w:r>
      <w:r w:rsidRPr="006B2C30">
        <w:tab/>
        <w:t>statistinis vienetas – vienas subjektų, t. y. asmenų, objektų ar įvykių, apie kuriuos renkami duomenys ir rengiami ▌ statistiniai duomenys, visumos narys;</w:t>
      </w:r>
    </w:p>
    <w:p w:rsidR="006B2C30" w:rsidRPr="006B2C30" w:rsidRDefault="006B2C30" w:rsidP="006B2C30">
      <w:pPr>
        <w:spacing w:before="120" w:after="120" w:line="360" w:lineRule="auto"/>
        <w:ind w:left="850" w:hanging="850"/>
        <w:rPr>
          <w:szCs w:val="24"/>
        </w:rPr>
      </w:pPr>
      <w:r w:rsidRPr="006B2C30">
        <w:t>21)</w:t>
      </w:r>
      <w:r w:rsidRPr="006B2C30">
        <w:tab/>
        <w:t>kintamasis – statistinio vieneto charakteristika, kuriai gali būti priskirtas daugiau nei vienas reikšmių rinkinys;</w:t>
      </w:r>
    </w:p>
    <w:p w:rsidR="006B2C30" w:rsidRPr="006B2C30" w:rsidRDefault="006B2C30" w:rsidP="006B2C30">
      <w:pPr>
        <w:spacing w:before="120" w:after="120" w:line="360" w:lineRule="auto"/>
        <w:ind w:left="850" w:hanging="850"/>
        <w:rPr>
          <w:szCs w:val="24"/>
        </w:rPr>
      </w:pPr>
      <w:r w:rsidRPr="006B2C30">
        <w:t>22)</w:t>
      </w:r>
      <w:r w:rsidRPr="006B2C30">
        <w:tab/>
        <w:t>suskirstymas – iš anksto nustatytas atskiras, išsamus ir su kitais rinkiniais nesutampantis reikšmių rinkinys, kurį galima priskirti statistinius vienetus apibūdinantiems kintamiesiems;</w:t>
      </w:r>
    </w:p>
    <w:p w:rsidR="006B2C30" w:rsidRPr="006B2C30" w:rsidRDefault="006B2C30" w:rsidP="006B2C30">
      <w:pPr>
        <w:spacing w:before="120" w:after="120" w:line="360" w:lineRule="auto"/>
        <w:ind w:left="850" w:hanging="850"/>
        <w:rPr>
          <w:szCs w:val="24"/>
        </w:rPr>
      </w:pPr>
      <w:r w:rsidRPr="006B2C30">
        <w:t>23)</w:t>
      </w:r>
      <w:r w:rsidRPr="006B2C30">
        <w:tab/>
        <w:t>nacionalinis lygmuo – valstybės narės teritorija;</w:t>
      </w:r>
    </w:p>
    <w:p w:rsidR="006B2C30" w:rsidRPr="006B2C30" w:rsidRDefault="006B2C30" w:rsidP="006B2C30">
      <w:pPr>
        <w:spacing w:before="120" w:after="120" w:line="360" w:lineRule="auto"/>
        <w:ind w:left="850" w:hanging="850"/>
        <w:rPr>
          <w:szCs w:val="24"/>
        </w:rPr>
      </w:pPr>
      <w:r w:rsidRPr="006B2C30">
        <w:t>24)</w:t>
      </w:r>
      <w:r w:rsidRPr="006B2C30">
        <w:tab/>
        <w:t>regioninis lygmuo – NUTS 3 lygis, nustatytas Reglamente (EB) Nr. 1059/2003;</w:t>
      </w:r>
    </w:p>
    <w:p w:rsidR="006B2C30" w:rsidRPr="006B2C30" w:rsidRDefault="006B2C30" w:rsidP="006B2C30">
      <w:pPr>
        <w:spacing w:before="120" w:after="120" w:line="360" w:lineRule="auto"/>
        <w:ind w:left="850" w:hanging="850"/>
        <w:rPr>
          <w:szCs w:val="24"/>
        </w:rPr>
      </w:pPr>
      <w:r w:rsidRPr="006B2C30">
        <w:t>25)</w:t>
      </w:r>
      <w:r w:rsidRPr="006B2C30">
        <w:tab/>
        <w:t>vietos lygmuo – vietos administracinio vieneto ▌ lygis, nustatytas Reglamente (EB) Nr. 1059/2003;</w:t>
      </w:r>
    </w:p>
    <w:p w:rsidR="006B2C30" w:rsidRPr="006B2C30" w:rsidRDefault="006B2C30" w:rsidP="006B2C30">
      <w:pPr>
        <w:spacing w:before="120" w:after="120" w:line="360" w:lineRule="auto"/>
        <w:ind w:left="850" w:hanging="850"/>
        <w:rPr>
          <w:szCs w:val="24"/>
        </w:rPr>
      </w:pPr>
      <w:r w:rsidRPr="006B2C30">
        <w:t>26)</w:t>
      </w:r>
      <w:r w:rsidRPr="006B2C30">
        <w:tab/>
        <w:t>tinklelio lygmuo – Reglamente (EB) Nr. 1059/2003 nustatytas statistinis tinklelis;</w:t>
      </w:r>
    </w:p>
    <w:p w:rsidR="006B2C30" w:rsidRPr="006B2C30" w:rsidRDefault="006B2C30" w:rsidP="006B2C30">
      <w:pPr>
        <w:spacing w:before="120" w:after="120" w:line="360" w:lineRule="auto"/>
        <w:ind w:left="850" w:hanging="850"/>
        <w:rPr>
          <w:szCs w:val="24"/>
        </w:rPr>
      </w:pPr>
      <w:r w:rsidRPr="006B2C30">
        <w:t>27)</w:t>
      </w:r>
      <w:r w:rsidRPr="006B2C30">
        <w:tab/>
        <w:t xml:space="preserve">ėmimo sąrašas – sąrašas, medžiaga ar įtaisas, kuriuo nustatomi ir identifikuojami tikslinės populiacijos elementai, be to, priklausomai nuo taikymo pagal sąrašą galima </w:t>
      </w:r>
      <w:r w:rsidRPr="006B2C30">
        <w:lastRenderedPageBreak/>
        <w:t>gauti papildomų elementų charakteristikų arba jų suteikti;</w:t>
      </w:r>
    </w:p>
    <w:p w:rsidR="006B2C30" w:rsidRPr="006B2C30" w:rsidRDefault="006B2C30" w:rsidP="006B2C30">
      <w:pPr>
        <w:spacing w:before="120" w:after="120" w:line="360" w:lineRule="auto"/>
        <w:ind w:left="850" w:hanging="850"/>
        <w:rPr>
          <w:szCs w:val="24"/>
        </w:rPr>
      </w:pPr>
      <w:r w:rsidRPr="006B2C30">
        <w:t>28)</w:t>
      </w:r>
      <w:r w:rsidRPr="006B2C30">
        <w:tab/>
        <w:t>ataskaitinė data – momentas, su kuriuo susiję statistiniai duomenys;</w:t>
      </w:r>
    </w:p>
    <w:p w:rsidR="006B2C30" w:rsidRPr="006B2C30" w:rsidRDefault="006B2C30" w:rsidP="006B2C30">
      <w:pPr>
        <w:spacing w:before="120" w:after="120" w:line="360" w:lineRule="auto"/>
        <w:ind w:left="850" w:hanging="850"/>
        <w:rPr>
          <w:szCs w:val="24"/>
        </w:rPr>
      </w:pPr>
      <w:r w:rsidRPr="006B2C30">
        <w:t>29)</w:t>
      </w:r>
      <w:r w:rsidRPr="006B2C30">
        <w:tab/>
        <w:t>ataskaitinis laikotarpis – laikotarpis, su kuriuo susiję įvykių statistiniai duomenys;</w:t>
      </w:r>
    </w:p>
    <w:p w:rsidR="006B2C30" w:rsidRPr="006B2C30" w:rsidRDefault="006B2C30" w:rsidP="006B2C30">
      <w:pPr>
        <w:spacing w:before="120" w:after="120" w:line="360" w:lineRule="auto"/>
        <w:ind w:left="850" w:hanging="850"/>
        <w:rPr>
          <w:szCs w:val="24"/>
        </w:rPr>
      </w:pPr>
      <w:r w:rsidRPr="006B2C30">
        <w:t>30)</w:t>
      </w:r>
      <w:r w:rsidRPr="006B2C30">
        <w:tab/>
        <w:t>ataskaitinis laikas – ataskaitinė data arba ataskaitinis laikotarpis, priklausomai nuo to, ar statistiniai duomenys susiję su įvykiais, ar su kitais statistiniais vienetais;</w:t>
      </w:r>
    </w:p>
    <w:p w:rsidR="006B2C30" w:rsidRPr="006B2C30" w:rsidRDefault="006B2C30" w:rsidP="006B2C30">
      <w:pPr>
        <w:spacing w:before="120" w:after="120" w:line="360" w:lineRule="auto"/>
        <w:ind w:left="850" w:hanging="850"/>
        <w:rPr>
          <w:szCs w:val="24"/>
        </w:rPr>
      </w:pPr>
      <w:r w:rsidRPr="006B2C30">
        <w:t>31)</w:t>
      </w:r>
      <w:r w:rsidRPr="006B2C30">
        <w:tab/>
        <w:t>metaduomenys – informacija, kuri reikalinga statistikai naudoti ir aiškinti ir kuria duomenų rinkiniai aprašomi struktūrizuotai;</w:t>
      </w:r>
    </w:p>
    <w:p w:rsidR="006B2C30" w:rsidRPr="006B2C30" w:rsidRDefault="006B2C30" w:rsidP="006B2C30">
      <w:pPr>
        <w:spacing w:before="120" w:after="120" w:line="360" w:lineRule="auto"/>
        <w:ind w:left="850" w:hanging="850"/>
        <w:rPr>
          <w:szCs w:val="24"/>
        </w:rPr>
      </w:pPr>
      <w:r w:rsidRPr="006B2C30">
        <w:t>32)</w:t>
      </w:r>
      <w:r w:rsidRPr="006B2C30">
        <w:tab/>
        <w:t>iš anksto patikrinti duomenų rinkiniai – valstybių narių pagal bendrai sutartas tvirtinimo taisykles patikrinti duomenų rinkiniai;</w:t>
      </w:r>
    </w:p>
    <w:p w:rsidR="006B2C30" w:rsidRPr="006B2C30" w:rsidRDefault="006B2C30" w:rsidP="006B2C30">
      <w:pPr>
        <w:spacing w:before="120" w:after="120" w:line="360" w:lineRule="auto"/>
        <w:ind w:left="850" w:hanging="850"/>
        <w:rPr>
          <w:szCs w:val="24"/>
        </w:rPr>
      </w:pPr>
      <w:r w:rsidRPr="006B2C30">
        <w:t>33)</w:t>
      </w:r>
      <w:r w:rsidRPr="006B2C30">
        <w:tab/>
        <w:t>kokybės ataskaita – ataskaita, kurioje pateikiama informacija apie statistinio produkto ar proceso kokybę.</w:t>
      </w:r>
    </w:p>
    <w:p w:rsidR="006B2C30" w:rsidRPr="006B2C30" w:rsidRDefault="006B2C30" w:rsidP="006B2C30">
      <w:pPr>
        <w:spacing w:before="120" w:after="120" w:line="360" w:lineRule="auto"/>
        <w:jc w:val="center"/>
        <w:rPr>
          <w:szCs w:val="24"/>
        </w:rPr>
      </w:pPr>
      <w:r w:rsidRPr="006B2C30">
        <w:t>3 straipsnis</w:t>
      </w:r>
      <w:r w:rsidRPr="006B2C30">
        <w:br/>
        <w:t xml:space="preserve">Gyventojų skaičiaus bazė </w:t>
      </w:r>
    </w:p>
    <w:p w:rsidR="006B2C30" w:rsidRPr="006B2C30" w:rsidRDefault="006B2C30" w:rsidP="006B2C30">
      <w:pPr>
        <w:spacing w:before="120" w:after="120" w:line="360" w:lineRule="auto"/>
        <w:ind w:left="850" w:hanging="850"/>
        <w:rPr>
          <w:szCs w:val="24"/>
        </w:rPr>
      </w:pPr>
      <w:r w:rsidRPr="006B2C30">
        <w:t>1.</w:t>
      </w:r>
      <w:r w:rsidRPr="006B2C30">
        <w:tab/>
        <w:t>Taikant šį reglamentą gyventojų skaičiaus bazę sudaro visi asmenys, kurių nuolatinė gyvenamoji vieta Sąjungoje ataskaitinę datą yra konkrečiame valstybės narės nacionalinio, regioninio, vietos ar tinklelio lygmens teritoriniame vienete.</w:t>
      </w:r>
    </w:p>
    <w:p w:rsidR="006B2C30" w:rsidRPr="006B2C30" w:rsidRDefault="006B2C30" w:rsidP="006B2C30">
      <w:pPr>
        <w:spacing w:before="120" w:after="120" w:line="360" w:lineRule="auto"/>
        <w:ind w:left="850" w:hanging="850"/>
        <w:rPr>
          <w:szCs w:val="24"/>
        </w:rPr>
      </w:pPr>
      <w:r w:rsidRPr="006B2C30">
        <w:t>2.</w:t>
      </w:r>
      <w:r w:rsidRPr="006B2C30">
        <w:tab/>
        <w:t>Gyventojų skaičiaus bazė apima visus nuolatinius gyventojus, neatsižvelgiant į jų pilietybę arba į tai, ar asmuo yra ar anksčiau buvo be pilietybės ▌.</w:t>
      </w:r>
    </w:p>
    <w:p w:rsidR="006B2C30" w:rsidRPr="006B2C30" w:rsidRDefault="006B2C30" w:rsidP="006B2C30">
      <w:pPr>
        <w:spacing w:before="120" w:after="120" w:line="360" w:lineRule="auto"/>
        <w:ind w:left="850" w:hanging="850"/>
        <w:rPr>
          <w:szCs w:val="24"/>
        </w:rPr>
      </w:pPr>
      <w:r w:rsidRPr="006B2C30">
        <w:t>3.</w:t>
      </w:r>
      <w:r w:rsidRPr="006B2C30">
        <w:tab/>
        <w:t>Į gyventojų skaičiaus bazę neįtraukiami asmenys, kurių nuolatinė gyvenamoji vieta yra ne valstybės narės teritorijoje, neatsižvelgiant į gimimo vietą ar pilietybę ir į šeiminius, socialinius, ekonominius ar turtinius ryšius, kuriais asmuo gali būti susijęs su valstybe nare.</w:t>
      </w:r>
    </w:p>
    <w:p w:rsidR="006B2C30" w:rsidRPr="006B2C30" w:rsidRDefault="006B2C30" w:rsidP="006B2C30">
      <w:pPr>
        <w:spacing w:before="120" w:after="120" w:line="360" w:lineRule="auto"/>
        <w:ind w:left="850" w:hanging="850"/>
        <w:rPr>
          <w:szCs w:val="24"/>
        </w:rPr>
      </w:pPr>
      <w:r w:rsidRPr="006B2C30">
        <w:t>4.</w:t>
      </w:r>
      <w:r w:rsidRPr="006B2C30">
        <w:tab/>
        <w:t>Nuolatinės gyvenamosios vietos neturintiems asmenims kaip nuolatinė gyvenamoji vieta priskiriama jų buvimo vieta ataskaitinę datą.</w:t>
      </w:r>
    </w:p>
    <w:p w:rsidR="006B2C30" w:rsidRPr="006B2C30" w:rsidRDefault="006B2C30" w:rsidP="006B2C30">
      <w:pPr>
        <w:spacing w:before="120" w:after="120" w:line="360" w:lineRule="auto"/>
        <w:ind w:left="850" w:hanging="850"/>
        <w:rPr>
          <w:szCs w:val="24"/>
        </w:rPr>
      </w:pPr>
      <w:r w:rsidRPr="006B2C30">
        <w:t>5.</w:t>
      </w:r>
      <w:r w:rsidRPr="006B2C30">
        <w:tab/>
        <w:t>Šiame reglamente nurodytą nuolatinės gyvenamosios vietos apibrėžtį valstybės narės taiko visiems duomenų rinkiniams, teikiamiems Komisijai (Eurostatui) pagal šį reglamentą ir nacionaliniu, regioniniu, vietos ir tinklelio lygmenimis.</w:t>
      </w:r>
    </w:p>
    <w:p w:rsidR="006B2C30" w:rsidRPr="006B2C30" w:rsidRDefault="006B2C30" w:rsidP="006B2C30">
      <w:pPr>
        <w:spacing w:before="120" w:after="120" w:line="360" w:lineRule="auto"/>
        <w:ind w:left="850" w:hanging="850"/>
        <w:rPr>
          <w:szCs w:val="24"/>
        </w:rPr>
      </w:pPr>
      <w:r w:rsidRPr="006B2C30">
        <w:t>6.</w:t>
      </w:r>
      <w:r w:rsidRPr="006B2C30">
        <w:tab/>
        <w:t>Taikydamos nuolatinės gyvenamosios vietos apibrėžtį valstybės narės naudoja:</w:t>
      </w:r>
    </w:p>
    <w:p w:rsidR="006B2C30" w:rsidRPr="006B2C30" w:rsidRDefault="006B2C30" w:rsidP="006B2C30">
      <w:pPr>
        <w:spacing w:before="120" w:after="120" w:line="360" w:lineRule="auto"/>
        <w:ind w:left="1416" w:hanging="566"/>
        <w:rPr>
          <w:szCs w:val="24"/>
        </w:rPr>
      </w:pPr>
      <w:r w:rsidRPr="006B2C30">
        <w:t>a)</w:t>
      </w:r>
      <w:r w:rsidRPr="006B2C30">
        <w:tab/>
        <w:t>vieną iš 9 straipsnio 1 dalyje nurodytų duomenų šaltinių arba jų derinį;</w:t>
      </w:r>
    </w:p>
    <w:p w:rsidR="006B2C30" w:rsidRPr="006B2C30" w:rsidRDefault="006B2C30" w:rsidP="006B2C30">
      <w:pPr>
        <w:spacing w:before="120" w:after="120" w:line="360" w:lineRule="auto"/>
        <w:ind w:left="1416" w:hanging="566"/>
        <w:rPr>
          <w:szCs w:val="24"/>
        </w:rPr>
      </w:pPr>
      <w:r w:rsidRPr="006B2C30">
        <w:lastRenderedPageBreak/>
        <w:t>b)</w:t>
      </w:r>
      <w:r w:rsidRPr="006B2C30">
        <w:tab/>
        <w:t>įverčių apskaičiavimo metodus, kaip antai pagrįstus buvimo požymiais</w:t>
      </w:r>
      <w:r w:rsidRPr="006B2C30">
        <w:rPr>
          <w:b/>
          <w:i/>
        </w:rPr>
        <w:t>, taip pat kitus moksliškai bei dokumentais pagrįstus ir viešai prieinamus statistinio vertinimo metodus,</w:t>
      </w:r>
      <w:r w:rsidRPr="006B2C30">
        <w:t xml:space="preserve"> kad atliktų korekcijas pagal faktinį buvimą numanomoje nuolatinėje gyvenamojoje vietoje didžiąją laiko dalį per 12 mėnesių laikotarpį, kuris baigiasi ataskaitine data, ir ▌ kad apskaičiuotų asmenų, kurie ketina likti arba manoma, kad liks, toje vietoje didžiąją dalį laiko per 12 mėnesių nuo atvykimo, skaičių.</w:t>
      </w:r>
    </w:p>
    <w:p w:rsidR="006B2C30" w:rsidRPr="006B2C30" w:rsidRDefault="006B2C30" w:rsidP="006B2C30">
      <w:pPr>
        <w:spacing w:before="120" w:after="120" w:line="360" w:lineRule="auto"/>
        <w:ind w:left="850" w:hanging="850"/>
        <w:rPr>
          <w:szCs w:val="24"/>
        </w:rPr>
      </w:pPr>
      <w:r w:rsidRPr="006B2C30">
        <w:rPr>
          <w:b/>
          <w:i/>
        </w:rPr>
        <w:t>6a.</w:t>
      </w:r>
      <w:r w:rsidRPr="006B2C30">
        <w:tab/>
      </w:r>
      <w:r w:rsidRPr="006B2C30">
        <w:rPr>
          <w:b/>
          <w:i/>
        </w:rPr>
        <w:t>Kad Taryboje būtų taikoma kvalifikuota balsų dauguma, Komisija kiekvienų bazinių metų pabaigoje informuoja Tarybą apie bendrą valstybių narių gyventojų skaičių, kurį Komisija (Eurostatas) pateikia kalendorinių metų, einančių po bazinių metų, rugpjūčio 31 d.</w:t>
      </w:r>
    </w:p>
    <w:p w:rsidR="006B2C30" w:rsidRPr="006B2C30" w:rsidRDefault="006B2C30" w:rsidP="006B2C30">
      <w:pPr>
        <w:spacing w:before="120" w:after="120" w:line="360" w:lineRule="auto"/>
        <w:jc w:val="center"/>
        <w:rPr>
          <w:szCs w:val="24"/>
        </w:rPr>
      </w:pPr>
      <w:r w:rsidRPr="006B2C30">
        <w:t>4 straipsnis</w:t>
      </w:r>
      <w:r w:rsidRPr="006B2C30">
        <w:br/>
        <w:t>Statistiniai vienetai</w:t>
      </w:r>
    </w:p>
    <w:p w:rsidR="006B2C30" w:rsidRPr="006B2C30" w:rsidRDefault="006B2C30" w:rsidP="006B2C30">
      <w:pPr>
        <w:spacing w:before="120" w:after="120" w:line="360" w:lineRule="auto"/>
        <w:rPr>
          <w:szCs w:val="24"/>
        </w:rPr>
      </w:pPr>
      <w:r w:rsidRPr="006B2C30">
        <w:t>Pagal šį reglamentą rengiami šių statistinių vienetų statistiniai duomenys:</w:t>
      </w:r>
    </w:p>
    <w:p w:rsidR="006B2C30" w:rsidRPr="006B2C30" w:rsidRDefault="006B2C30" w:rsidP="006B2C30">
      <w:pPr>
        <w:spacing w:before="120" w:after="120" w:line="360" w:lineRule="auto"/>
        <w:ind w:left="850" w:hanging="850"/>
        <w:rPr>
          <w:szCs w:val="24"/>
        </w:rPr>
      </w:pPr>
      <w:r w:rsidRPr="006B2C30">
        <w:t>a)</w:t>
      </w:r>
      <w:r w:rsidRPr="006B2C30">
        <w:tab/>
        <w:t>asmenų,</w:t>
      </w:r>
    </w:p>
    <w:p w:rsidR="006B2C30" w:rsidRPr="006B2C30" w:rsidRDefault="006B2C30" w:rsidP="006B2C30">
      <w:pPr>
        <w:spacing w:before="120" w:after="120" w:line="360" w:lineRule="auto"/>
        <w:ind w:left="850" w:hanging="850"/>
        <w:rPr>
          <w:szCs w:val="24"/>
        </w:rPr>
      </w:pPr>
      <w:r w:rsidRPr="006B2C30">
        <w:t>b)</w:t>
      </w:r>
      <w:r w:rsidRPr="006B2C30">
        <w:tab/>
        <w:t>asmens civilinės būklės pasikeitimų,</w:t>
      </w:r>
    </w:p>
    <w:p w:rsidR="006B2C30" w:rsidRPr="006B2C30" w:rsidRDefault="006B2C30" w:rsidP="006B2C30">
      <w:pPr>
        <w:spacing w:before="120" w:after="120" w:line="360" w:lineRule="auto"/>
        <w:ind w:left="850" w:hanging="850"/>
        <w:rPr>
          <w:szCs w:val="24"/>
        </w:rPr>
      </w:pPr>
      <w:r w:rsidRPr="006B2C30">
        <w:t>c)</w:t>
      </w:r>
      <w:r w:rsidRPr="006B2C30">
        <w:tab/>
        <w:t>šeimų,</w:t>
      </w:r>
    </w:p>
    <w:p w:rsidR="006B2C30" w:rsidRPr="006B2C30" w:rsidRDefault="006B2C30" w:rsidP="006B2C30">
      <w:pPr>
        <w:spacing w:before="120" w:after="120" w:line="360" w:lineRule="auto"/>
        <w:ind w:left="850" w:hanging="850"/>
        <w:rPr>
          <w:szCs w:val="24"/>
        </w:rPr>
      </w:pPr>
      <w:r w:rsidRPr="006B2C30">
        <w:t>d)</w:t>
      </w:r>
      <w:r w:rsidRPr="006B2C30">
        <w:tab/>
        <w:t>namų ūkių,</w:t>
      </w:r>
    </w:p>
    <w:p w:rsidR="006B2C30" w:rsidRPr="006B2C30" w:rsidRDefault="006B2C30" w:rsidP="006B2C30">
      <w:pPr>
        <w:spacing w:before="120" w:after="120" w:line="360" w:lineRule="auto"/>
        <w:ind w:left="850" w:hanging="850"/>
        <w:rPr>
          <w:szCs w:val="24"/>
        </w:rPr>
      </w:pPr>
      <w:r w:rsidRPr="006B2C30">
        <w:t>e)</w:t>
      </w:r>
      <w:r w:rsidRPr="006B2C30">
        <w:tab/>
        <w:t>gyvenamosios paskirties pastatų, gyvenamųjų patalpų</w:t>
      </w:r>
      <w:r w:rsidRPr="006B2C30">
        <w:rPr>
          <w:b/>
          <w:i/>
        </w:rPr>
        <w:t>, įskaitant institucijas,</w:t>
      </w:r>
      <w:r w:rsidRPr="006B2C30">
        <w:t xml:space="preserve"> ir tradicinių būstų.</w:t>
      </w:r>
    </w:p>
    <w:p w:rsidR="006B2C30" w:rsidRPr="006B2C30" w:rsidRDefault="006B2C30" w:rsidP="006B2C30">
      <w:pPr>
        <w:spacing w:before="120" w:after="120" w:line="360" w:lineRule="auto"/>
        <w:jc w:val="center"/>
        <w:rPr>
          <w:szCs w:val="24"/>
        </w:rPr>
      </w:pPr>
      <w:r w:rsidRPr="006B2C30">
        <w:t>5 straipsnis</w:t>
      </w:r>
      <w:r w:rsidRPr="006B2C30">
        <w:br/>
        <w:t>Statistikai keliami reikalavimai</w:t>
      </w:r>
    </w:p>
    <w:p w:rsidR="006B2C30" w:rsidRPr="006B2C30" w:rsidRDefault="006B2C30" w:rsidP="006B2C30">
      <w:pPr>
        <w:spacing w:before="120" w:after="120" w:line="360" w:lineRule="auto"/>
        <w:ind w:left="850" w:hanging="850"/>
        <w:rPr>
          <w:szCs w:val="24"/>
        </w:rPr>
      </w:pPr>
      <w:r w:rsidRPr="006B2C30">
        <w:t>1.</w:t>
      </w:r>
      <w:r w:rsidRPr="006B2C30">
        <w:tab/>
        <w:t>Europos gyventojų ir būstų statistikos sritys:</w:t>
      </w:r>
    </w:p>
    <w:p w:rsidR="006B2C30" w:rsidRPr="006B2C30" w:rsidRDefault="006B2C30" w:rsidP="006B2C30">
      <w:pPr>
        <w:spacing w:before="120" w:after="120" w:line="360" w:lineRule="auto"/>
        <w:ind w:left="1416" w:hanging="566"/>
        <w:rPr>
          <w:szCs w:val="24"/>
        </w:rPr>
      </w:pPr>
      <w:r w:rsidRPr="006B2C30">
        <w:t>a)</w:t>
      </w:r>
      <w:r w:rsidRPr="006B2C30">
        <w:tab/>
        <w:t>demografija,</w:t>
      </w:r>
    </w:p>
    <w:p w:rsidR="006B2C30" w:rsidRPr="006B2C30" w:rsidRDefault="006B2C30" w:rsidP="006B2C30">
      <w:pPr>
        <w:spacing w:before="120" w:after="120" w:line="360" w:lineRule="auto"/>
        <w:ind w:left="1416" w:hanging="566"/>
        <w:rPr>
          <w:szCs w:val="24"/>
        </w:rPr>
      </w:pPr>
      <w:r w:rsidRPr="006B2C30">
        <w:t>b)</w:t>
      </w:r>
      <w:r w:rsidRPr="006B2C30">
        <w:tab/>
        <w:t>būstas,</w:t>
      </w:r>
    </w:p>
    <w:p w:rsidR="006B2C30" w:rsidRPr="006B2C30" w:rsidRDefault="006B2C30" w:rsidP="006B2C30">
      <w:pPr>
        <w:spacing w:before="120" w:after="120" w:line="360" w:lineRule="auto"/>
        <w:ind w:left="1416" w:hanging="566"/>
        <w:rPr>
          <w:szCs w:val="24"/>
        </w:rPr>
      </w:pPr>
      <w:r w:rsidRPr="006B2C30">
        <w:t>c)</w:t>
      </w:r>
      <w:r w:rsidRPr="006B2C30">
        <w:tab/>
        <w:t>šeimos ir namų ūkiai.</w:t>
      </w:r>
    </w:p>
    <w:p w:rsidR="006B2C30" w:rsidRPr="006B2C30" w:rsidRDefault="006B2C30" w:rsidP="006B2C30">
      <w:pPr>
        <w:spacing w:before="120" w:after="120" w:line="360" w:lineRule="auto"/>
        <w:ind w:left="850" w:hanging="850"/>
        <w:rPr>
          <w:szCs w:val="24"/>
        </w:rPr>
      </w:pPr>
      <w:r w:rsidRPr="006B2C30">
        <w:t>2.</w:t>
      </w:r>
      <w:r w:rsidRPr="006B2C30">
        <w:tab/>
        <w:t>Šio straipsnio 1 dalyje išvardytų sričių statistiniai duomenys suskirstomi į duomenų rinkinius pagal priede nustatytas temas ir potemes.</w:t>
      </w:r>
      <w:r w:rsidRPr="006B2C30">
        <w:rPr>
          <w:b/>
          <w:i/>
        </w:rPr>
        <w:t xml:space="preserve"> Jei statistinis vienetas yra asmuo, duomenų rinkiniai suskirstomi pagal lytį ir amžių, o prireikus ir pagal kitas charakteristikas.</w:t>
      </w:r>
    </w:p>
    <w:p w:rsidR="006B2C30" w:rsidRPr="006B2C30" w:rsidRDefault="006B2C30" w:rsidP="006B2C30">
      <w:pPr>
        <w:spacing w:before="120" w:after="120" w:line="360" w:lineRule="auto"/>
        <w:ind w:left="850" w:hanging="850"/>
        <w:rPr>
          <w:szCs w:val="24"/>
        </w:rPr>
      </w:pPr>
      <w:r w:rsidRPr="006B2C30">
        <w:lastRenderedPageBreak/>
        <w:t>3.</w:t>
      </w:r>
      <w:r w:rsidRPr="006B2C30">
        <w:tab/>
        <w:t>Komisijai pagal 17 straipsnį suteikiami įgaliojimai priimti deleguotuosius aktus, kuriais iš dalies keičiamas priede pateiktas potemių sąrašas. Tokie deleguotieji aktai priimami ne vėliau kaip prieš 12 mėnesių iki atitinkamo ataskaitinio laiko pradžios.</w:t>
      </w:r>
    </w:p>
    <w:p w:rsidR="006B2C30" w:rsidRPr="006B2C30" w:rsidRDefault="006B2C30" w:rsidP="006B2C30">
      <w:pPr>
        <w:spacing w:before="120" w:after="120" w:line="360" w:lineRule="auto"/>
        <w:ind w:left="850" w:hanging="850"/>
        <w:rPr>
          <w:szCs w:val="24"/>
        </w:rPr>
      </w:pPr>
      <w:r w:rsidRPr="006B2C30">
        <w:t>4.</w:t>
      </w:r>
      <w:r w:rsidRPr="006B2C30">
        <w:tab/>
        <w:t>Naudodamasi įgaliojimais priimti deleguotuosius aktus pagal šio straipsnio 3 dalį, Komisija užtikrina, kad jais valstybėms narėms ir tyrimų respondentams nebūtų nustatoma didelė ir neproporcinga našta. Galimybės nustatyti bet kokią naują potemę vertinamos Komisijai (Eurostatui) ir valstybėms narėms atliekant bandomuosius tyrimus pagal 14 straipsnį.</w:t>
      </w:r>
    </w:p>
    <w:p w:rsidR="006B2C30" w:rsidRPr="006B2C30" w:rsidRDefault="006B2C30" w:rsidP="006B2C30">
      <w:pPr>
        <w:spacing w:before="120" w:after="120" w:line="360" w:lineRule="auto"/>
        <w:ind w:left="850" w:hanging="850"/>
        <w:rPr>
          <w:szCs w:val="24"/>
        </w:rPr>
      </w:pPr>
      <w:r w:rsidRPr="006B2C30">
        <w:t>5.</w:t>
      </w:r>
      <w:r w:rsidRPr="006B2C30">
        <w:tab/>
        <w:t>Komisija priima įgyvendinimo aktus, kuriais nustatomos Komisijai (Eurostatui) teiktinų duomenų rinkinių ir metaduomenų techninės charakteristikos. Šiuose įgyvendinimo aktuose, kai tinkama, nustatomi šie techniniai elementai:</w:t>
      </w:r>
    </w:p>
    <w:p w:rsidR="006B2C30" w:rsidRPr="006B2C30" w:rsidRDefault="006B2C30" w:rsidP="006B2C30">
      <w:pPr>
        <w:spacing w:before="120" w:after="120" w:line="360" w:lineRule="auto"/>
        <w:ind w:left="1416" w:hanging="566"/>
        <w:rPr>
          <w:szCs w:val="24"/>
        </w:rPr>
      </w:pPr>
      <w:r w:rsidRPr="006B2C30">
        <w:t>a)</w:t>
      </w:r>
      <w:r w:rsidRPr="006B2C30">
        <w:tab/>
        <w:t>kintamųjų pavadinimai, jų techninės specifikacijos ir suskirstymas;</w:t>
      </w:r>
    </w:p>
    <w:p w:rsidR="006B2C30" w:rsidRPr="006B2C30" w:rsidRDefault="006B2C30" w:rsidP="006B2C30">
      <w:pPr>
        <w:spacing w:before="120" w:after="120" w:line="360" w:lineRule="auto"/>
        <w:ind w:left="1416" w:hanging="566"/>
        <w:rPr>
          <w:szCs w:val="24"/>
        </w:rPr>
      </w:pPr>
      <w:r w:rsidRPr="006B2C30">
        <w:t>b)</w:t>
      </w:r>
      <w:r w:rsidRPr="006B2C30">
        <w:tab/>
        <w:t>išsamios statistinių vienetų ir metaduomenų specifikacijos;</w:t>
      </w:r>
    </w:p>
    <w:p w:rsidR="006B2C30" w:rsidRPr="006B2C30" w:rsidRDefault="006B2C30" w:rsidP="006B2C30">
      <w:pPr>
        <w:spacing w:before="120" w:after="120" w:line="360" w:lineRule="auto"/>
        <w:ind w:left="1416" w:hanging="566"/>
        <w:rPr>
          <w:szCs w:val="24"/>
        </w:rPr>
      </w:pPr>
      <w:r w:rsidRPr="006B2C30">
        <w:t>c)</w:t>
      </w:r>
      <w:r w:rsidRPr="006B2C30">
        <w:tab/>
        <w:t>naudotini statistiniai klasifikatoriai;</w:t>
      </w:r>
    </w:p>
    <w:p w:rsidR="006B2C30" w:rsidRPr="006B2C30" w:rsidRDefault="006B2C30" w:rsidP="006B2C30">
      <w:pPr>
        <w:spacing w:before="120" w:after="120" w:line="360" w:lineRule="auto"/>
        <w:ind w:left="1416" w:hanging="566"/>
        <w:rPr>
          <w:szCs w:val="24"/>
        </w:rPr>
      </w:pPr>
      <w:r w:rsidRPr="006B2C30">
        <w:t>d)</w:t>
      </w:r>
      <w:r w:rsidRPr="006B2C30">
        <w:tab/>
        <w:t>duomenų pateikimo terminai;</w:t>
      </w:r>
    </w:p>
    <w:p w:rsidR="006B2C30" w:rsidRPr="006B2C30" w:rsidRDefault="006B2C30" w:rsidP="006B2C30">
      <w:pPr>
        <w:spacing w:before="120" w:after="120" w:line="360" w:lineRule="auto"/>
        <w:ind w:left="1416" w:hanging="566"/>
        <w:rPr>
          <w:szCs w:val="24"/>
        </w:rPr>
      </w:pPr>
      <w:r w:rsidRPr="006B2C30">
        <w:t>e)</w:t>
      </w:r>
      <w:r w:rsidRPr="006B2C30">
        <w:tab/>
        <w:t>duomenų rinkinių ir metaduomenų teikimo techniniai formatai;</w:t>
      </w:r>
    </w:p>
    <w:p w:rsidR="006B2C30" w:rsidRPr="006B2C30" w:rsidRDefault="006B2C30" w:rsidP="006B2C30">
      <w:pPr>
        <w:spacing w:before="120" w:after="120" w:line="360" w:lineRule="auto"/>
        <w:ind w:left="1416" w:hanging="566"/>
        <w:rPr>
          <w:szCs w:val="24"/>
        </w:rPr>
      </w:pPr>
      <w:r w:rsidRPr="006B2C30">
        <w:t>f)</w:t>
      </w:r>
      <w:r w:rsidRPr="006B2C30">
        <w:tab/>
        <w:t>kokybės ataskaitų turinys, struktūra, periodiškumas, sąlygos ir pateikimo terminai, taip pat papildomos specifikacijos, kai reikia ir pagrįsta.</w:t>
      </w:r>
    </w:p>
    <w:p w:rsidR="006B2C30" w:rsidRPr="006B2C30" w:rsidRDefault="006B2C30" w:rsidP="006B2C30">
      <w:pPr>
        <w:spacing w:before="120" w:after="120" w:line="360" w:lineRule="auto"/>
        <w:ind w:left="850"/>
        <w:rPr>
          <w:szCs w:val="24"/>
        </w:rPr>
      </w:pPr>
      <w:r w:rsidRPr="006B2C30">
        <w:t>Šie įgyvendinimo aktai priimami laikantis 18 straipsnio 2 dalyje nurodytos nagrinėjimo procedūros likus ne mažiau kaip 12 mėnesių iki atitinkamo ataskaitinio laiko pradžios, išskyrus gyventojų ir būstų surašymą, dėl kurio įgyvendinimo aktai priimami likus ne mažiau kaip 24 mėnesiams iki metų, kuriais yra ataskaitinė data, pradžios.</w:t>
      </w:r>
    </w:p>
    <w:p w:rsidR="006B2C30" w:rsidRPr="006B2C30" w:rsidRDefault="006B2C30" w:rsidP="006B2C30">
      <w:pPr>
        <w:spacing w:before="120" w:after="120" w:line="360" w:lineRule="auto"/>
        <w:jc w:val="center"/>
        <w:rPr>
          <w:szCs w:val="24"/>
        </w:rPr>
      </w:pPr>
      <w:r w:rsidRPr="006B2C30">
        <w:t>6 straipsnis</w:t>
      </w:r>
      <w:r w:rsidRPr="006B2C30">
        <w:br/>
        <w:t>Periodiškumas ir ataskaitinis laikas</w:t>
      </w:r>
    </w:p>
    <w:p w:rsidR="006B2C30" w:rsidRPr="006B2C30" w:rsidRDefault="006B2C30" w:rsidP="006B2C30">
      <w:pPr>
        <w:spacing w:before="120" w:after="120" w:line="360" w:lineRule="auto"/>
        <w:ind w:left="850" w:hanging="850"/>
        <w:rPr>
          <w:szCs w:val="24"/>
        </w:rPr>
      </w:pPr>
      <w:r w:rsidRPr="006B2C30">
        <w:t>1.</w:t>
      </w:r>
      <w:r w:rsidRPr="006B2C30">
        <w:tab/>
        <w:t>Valstybės narės rengia Europos gyventojų ir būstų statistiką kas ketvirtį, kas šešis mėnesius, kasmet ir kas kelerius metus, o gyventojų ir būstų surašymus – kas dešimt metų.</w:t>
      </w:r>
    </w:p>
    <w:p w:rsidR="006B2C30" w:rsidRPr="006B2C30" w:rsidRDefault="006B2C30" w:rsidP="006B2C30">
      <w:pPr>
        <w:spacing w:before="120" w:after="120" w:line="360" w:lineRule="auto"/>
        <w:ind w:left="850" w:hanging="850"/>
        <w:rPr>
          <w:szCs w:val="24"/>
        </w:rPr>
      </w:pPr>
      <w:r w:rsidRPr="006B2C30">
        <w:t>2.</w:t>
      </w:r>
      <w:r w:rsidRPr="006B2C30">
        <w:tab/>
        <w:t>Metai, kurie baigiasi skaitmeniu „1“, yra kas dešimt metų rengiamų gyventojų ir būstų surašymų baziniai metai.</w:t>
      </w:r>
    </w:p>
    <w:p w:rsidR="006B2C30" w:rsidRPr="006B2C30" w:rsidRDefault="006B2C30" w:rsidP="006B2C30">
      <w:pPr>
        <w:spacing w:before="120" w:after="120" w:line="360" w:lineRule="auto"/>
        <w:ind w:left="850" w:hanging="850"/>
        <w:rPr>
          <w:szCs w:val="24"/>
        </w:rPr>
      </w:pPr>
      <w:r w:rsidRPr="006B2C30">
        <w:lastRenderedPageBreak/>
        <w:t>3.</w:t>
      </w:r>
      <w:r w:rsidRPr="006B2C30">
        <w:tab/>
        <w:t>Metai, kurie baigiasi skaitmenimis „1“, „5“ ir „8“, yra daugiametės statistikos baziniai metai.</w:t>
      </w:r>
    </w:p>
    <w:p w:rsidR="006B2C30" w:rsidRPr="006B2C30" w:rsidRDefault="006B2C30" w:rsidP="006B2C30">
      <w:pPr>
        <w:spacing w:before="120" w:after="120" w:line="360" w:lineRule="auto"/>
        <w:ind w:left="850" w:hanging="850"/>
        <w:rPr>
          <w:szCs w:val="24"/>
        </w:rPr>
      </w:pPr>
      <w:r w:rsidRPr="006B2C30">
        <w:t>4.</w:t>
      </w:r>
      <w:r w:rsidRPr="006B2C30">
        <w:tab/>
        <w:t>Kiekvienos potemės ▌periodiškumas ir ataskaitinis laikas nustatomi priede.</w:t>
      </w:r>
    </w:p>
    <w:p w:rsidR="006B2C30" w:rsidRPr="006B2C30" w:rsidRDefault="006B2C30" w:rsidP="006B2C30">
      <w:pPr>
        <w:spacing w:before="120" w:after="120" w:line="360" w:lineRule="auto"/>
        <w:ind w:left="850" w:hanging="850"/>
        <w:rPr>
          <w:szCs w:val="24"/>
        </w:rPr>
      </w:pPr>
      <w:r w:rsidRPr="006B2C30">
        <w:t>5.</w:t>
      </w:r>
      <w:r w:rsidRPr="006B2C30">
        <w:tab/>
        <w:t>Pirmoji ataskaitinė data, pagal kurią turi būti pateikti metiniai temos „gyventojų skaičius“ statistiniai duomenys, yra 2025 m. gruodžio 31 d. Pirmasis ataskaitinis laikas, pagal kurį turi būti pateikti visi kiti šiame reglamente numatyti statistiniai duomenys, turi būti 2026 metais.</w:t>
      </w:r>
    </w:p>
    <w:p w:rsidR="006B2C30" w:rsidRPr="006B2C30" w:rsidRDefault="006B2C30" w:rsidP="006B2C30">
      <w:pPr>
        <w:spacing w:before="120" w:after="120" w:line="360" w:lineRule="auto"/>
        <w:ind w:left="850" w:hanging="850"/>
        <w:rPr>
          <w:szCs w:val="24"/>
        </w:rPr>
      </w:pPr>
      <w:r w:rsidRPr="006B2C30">
        <w:t>6.</w:t>
      </w:r>
      <w:r w:rsidRPr="006B2C30">
        <w:tab/>
        <w:t>Komisijai pagal 17 straipsnį suteikiami įgaliojimai priimti deleguotuosius aktus, kuriais atnaujinant periodiškumą ir ataskaitinį laiką iš dalies keičiamas priedas.</w:t>
      </w:r>
    </w:p>
    <w:p w:rsidR="006B2C30" w:rsidRPr="006B2C30" w:rsidRDefault="006B2C30" w:rsidP="006B2C30">
      <w:pPr>
        <w:spacing w:before="120" w:after="120" w:line="360" w:lineRule="auto"/>
        <w:jc w:val="center"/>
        <w:rPr>
          <w:szCs w:val="24"/>
        </w:rPr>
      </w:pPr>
      <w:r w:rsidRPr="006B2C30">
        <w:t>7 straipsnis</w:t>
      </w:r>
      <w:r w:rsidRPr="006B2C30">
        <w:br/>
      </w:r>
      <w:r w:rsidRPr="006B2C30">
        <w:rPr>
          <w:i/>
          <w:iCs/>
        </w:rPr>
        <w:t>Ad hoc</w:t>
      </w:r>
      <w:r w:rsidRPr="006B2C30">
        <w:t xml:space="preserve"> statistiniams duomenims keliami reikalavimai</w:t>
      </w:r>
    </w:p>
    <w:p w:rsidR="006B2C30" w:rsidRPr="006B2C30" w:rsidRDefault="006B2C30" w:rsidP="006B2C30">
      <w:pPr>
        <w:spacing w:before="120" w:after="120" w:line="360" w:lineRule="auto"/>
        <w:ind w:left="850" w:hanging="850"/>
        <w:rPr>
          <w:szCs w:val="24"/>
        </w:rPr>
      </w:pPr>
      <w:r w:rsidRPr="006B2C30">
        <w:t>1.</w:t>
      </w:r>
      <w:r w:rsidRPr="006B2C30">
        <w:tab/>
        <w:t xml:space="preserve">Valstybės narės teikia Komisijai (Eurostatui) </w:t>
      </w:r>
      <w:r w:rsidRPr="006B2C30">
        <w:rPr>
          <w:i/>
          <w:iCs/>
        </w:rPr>
        <w:t xml:space="preserve">ad hoc </w:t>
      </w:r>
      <w:r w:rsidRPr="006B2C30">
        <w:t>duomenų rinkinius ir metaduomenis.</w:t>
      </w:r>
    </w:p>
    <w:p w:rsidR="006B2C30" w:rsidRPr="006B2C30" w:rsidRDefault="006B2C30" w:rsidP="006B2C30">
      <w:pPr>
        <w:spacing w:before="120" w:after="120" w:line="360" w:lineRule="auto"/>
        <w:ind w:left="850" w:hanging="850"/>
        <w:rPr>
          <w:szCs w:val="24"/>
        </w:rPr>
      </w:pPr>
      <w:r w:rsidRPr="006B2C30">
        <w:t>2.</w:t>
      </w:r>
      <w:r w:rsidRPr="006B2C30">
        <w:tab/>
        <w:t xml:space="preserve">Komisijai pagal 17 straipsnį suteikiami įgaliojimai priimti deleguotuosius aktus, kuriais šis reglamentas papildomas nustatant duomenų rinkinius ir metaduomenis, kuriuos valstybės narės turi pateikti </w:t>
      </w:r>
      <w:r w:rsidRPr="006B2C30">
        <w:rPr>
          <w:i/>
          <w:iCs/>
        </w:rPr>
        <w:t>ad hoc</w:t>
      </w:r>
      <w:r w:rsidRPr="006B2C30">
        <w:t>, kai manoma, kad papildomų statistinių duomenų rinkimas yra būtinas siekiant patenkinti papildomus statistikos poreikius pagal šį reglamentą</w:t>
      </w:r>
      <w:r w:rsidRPr="006B2C30">
        <w:rPr>
          <w:b/>
          <w:i/>
        </w:rPr>
        <w:t>, kartu pirmenybę teikiant administracinių duomenų šaltiniams ir įrašams, kurie turi būti naudojami renkant prašomus duomenis.</w:t>
      </w:r>
    </w:p>
    <w:p w:rsidR="006B2C30" w:rsidRPr="006B2C30" w:rsidRDefault="006B2C30" w:rsidP="006B2C30">
      <w:pPr>
        <w:spacing w:before="120" w:after="120" w:line="360" w:lineRule="auto"/>
        <w:ind w:left="850" w:hanging="850"/>
        <w:rPr>
          <w:szCs w:val="24"/>
        </w:rPr>
      </w:pPr>
      <w:r w:rsidRPr="006B2C30">
        <w:t>3.</w:t>
      </w:r>
      <w:r w:rsidRPr="006B2C30">
        <w:tab/>
        <w:t>2 dalyje nurodytuose deleguotuosiuose aktuose pateikiama:</w:t>
      </w:r>
    </w:p>
    <w:p w:rsidR="006B2C30" w:rsidRPr="006B2C30" w:rsidRDefault="006B2C30" w:rsidP="006B2C30">
      <w:pPr>
        <w:spacing w:before="120" w:after="120" w:line="360" w:lineRule="auto"/>
        <w:ind w:left="1416" w:hanging="566"/>
        <w:rPr>
          <w:szCs w:val="24"/>
        </w:rPr>
      </w:pPr>
      <w:r w:rsidRPr="006B2C30">
        <w:t>a)</w:t>
      </w:r>
      <w:r w:rsidRPr="006B2C30">
        <w:tab/>
      </w:r>
      <w:r w:rsidRPr="006B2C30">
        <w:rPr>
          <w:i/>
          <w:iCs/>
        </w:rPr>
        <w:t>ad hoc</w:t>
      </w:r>
      <w:r w:rsidRPr="006B2C30">
        <w:t xml:space="preserve"> duomenų rinkinių potemės ir priežastys, kodėl reikia tokių papildomų statistinių duomenų;</w:t>
      </w:r>
    </w:p>
    <w:p w:rsidR="006B2C30" w:rsidRPr="006B2C30" w:rsidRDefault="006B2C30" w:rsidP="006B2C30">
      <w:pPr>
        <w:spacing w:before="120" w:after="120" w:line="360" w:lineRule="auto"/>
        <w:ind w:left="1416" w:hanging="566"/>
        <w:rPr>
          <w:szCs w:val="24"/>
        </w:rPr>
      </w:pPr>
      <w:r w:rsidRPr="006B2C30">
        <w:t>b)</w:t>
      </w:r>
      <w:r w:rsidRPr="006B2C30">
        <w:tab/>
        <w:t>ataskaitinis laikas.</w:t>
      </w:r>
    </w:p>
    <w:p w:rsidR="006B2C30" w:rsidRPr="006B2C30" w:rsidRDefault="006B2C30" w:rsidP="006B2C30">
      <w:pPr>
        <w:spacing w:before="120" w:after="120" w:line="360" w:lineRule="auto"/>
        <w:ind w:left="850" w:hanging="850"/>
        <w:rPr>
          <w:szCs w:val="24"/>
        </w:rPr>
      </w:pPr>
      <w:r w:rsidRPr="006B2C30">
        <w:t>4.</w:t>
      </w:r>
      <w:r w:rsidRPr="006B2C30">
        <w:tab/>
        <w:t xml:space="preserve">Komisijai suteikiami įgaliojimai priimti 2 dalyje nurodytus deleguotuosius aktus nuo 2027 bazinių metų, o tarp kiekvieno </w:t>
      </w:r>
      <w:r w:rsidRPr="006B2C30">
        <w:rPr>
          <w:i/>
          <w:iCs/>
        </w:rPr>
        <w:t>ad hoc</w:t>
      </w:r>
      <w:r w:rsidRPr="006B2C30">
        <w:t xml:space="preserve"> duomenų rinkimo turi būti praėję ne mažiau kaip dveji metai.</w:t>
      </w:r>
    </w:p>
    <w:p w:rsidR="006B2C30" w:rsidRPr="006B2C30" w:rsidRDefault="006B2C30" w:rsidP="006B2C30">
      <w:pPr>
        <w:spacing w:before="120" w:after="120" w:line="360" w:lineRule="auto"/>
        <w:ind w:left="850" w:hanging="850"/>
        <w:rPr>
          <w:szCs w:val="24"/>
        </w:rPr>
      </w:pPr>
      <w:r w:rsidRPr="006B2C30">
        <w:t>5.</w:t>
      </w:r>
      <w:r w:rsidRPr="006B2C30">
        <w:tab/>
        <w:t xml:space="preserve">Komisija priima įgyvendinimo aktus, kuriais nustatomos 2 dalyje nurodytų </w:t>
      </w:r>
      <w:r w:rsidRPr="006B2C30">
        <w:rPr>
          <w:i/>
          <w:iCs/>
        </w:rPr>
        <w:t>ad hoc</w:t>
      </w:r>
      <w:r w:rsidRPr="006B2C30">
        <w:t xml:space="preserve"> duomenų rinkinių ir metaduomenų techninės charakteristikos. Šiuose įgyvendinimo aktuose, kai tinkama, nustatomi šie techniniai elementai:</w:t>
      </w:r>
    </w:p>
    <w:p w:rsidR="006B2C30" w:rsidRPr="006B2C30" w:rsidRDefault="006B2C30" w:rsidP="006B2C30">
      <w:pPr>
        <w:spacing w:before="120" w:after="120" w:line="360" w:lineRule="auto"/>
        <w:ind w:left="1416" w:hanging="566"/>
        <w:rPr>
          <w:szCs w:val="24"/>
        </w:rPr>
      </w:pPr>
      <w:r w:rsidRPr="006B2C30">
        <w:t>a)</w:t>
      </w:r>
      <w:r w:rsidRPr="006B2C30">
        <w:tab/>
        <w:t>kintamųjų pavadinimai, jų techninės specifikacijos ir suskirstymas;</w:t>
      </w:r>
    </w:p>
    <w:p w:rsidR="006B2C30" w:rsidRPr="006B2C30" w:rsidRDefault="006B2C30" w:rsidP="006B2C30">
      <w:pPr>
        <w:spacing w:before="120" w:after="120" w:line="360" w:lineRule="auto"/>
        <w:ind w:left="1416" w:hanging="566"/>
        <w:rPr>
          <w:szCs w:val="24"/>
        </w:rPr>
      </w:pPr>
      <w:r w:rsidRPr="006B2C30">
        <w:lastRenderedPageBreak/>
        <w:t>b)</w:t>
      </w:r>
      <w:r w:rsidRPr="006B2C30">
        <w:tab/>
        <w:t>išsamios statistinių vienetų ir metaduomenų specifikacijos;</w:t>
      </w:r>
    </w:p>
    <w:p w:rsidR="006B2C30" w:rsidRPr="006B2C30" w:rsidRDefault="006B2C30" w:rsidP="006B2C30">
      <w:pPr>
        <w:spacing w:before="120" w:after="120" w:line="360" w:lineRule="auto"/>
        <w:ind w:left="1416" w:hanging="566"/>
        <w:rPr>
          <w:szCs w:val="24"/>
        </w:rPr>
      </w:pPr>
      <w:r w:rsidRPr="006B2C30">
        <w:t>c)</w:t>
      </w:r>
      <w:r w:rsidRPr="006B2C30">
        <w:tab/>
        <w:t>naudotini statistiniai klasifikatoriai;</w:t>
      </w:r>
    </w:p>
    <w:p w:rsidR="006B2C30" w:rsidRPr="006B2C30" w:rsidRDefault="006B2C30" w:rsidP="006B2C30">
      <w:pPr>
        <w:spacing w:before="120" w:after="120" w:line="360" w:lineRule="auto"/>
        <w:ind w:left="1416" w:hanging="566"/>
        <w:rPr>
          <w:szCs w:val="24"/>
        </w:rPr>
      </w:pPr>
      <w:r w:rsidRPr="006B2C30">
        <w:t>d)</w:t>
      </w:r>
      <w:r w:rsidRPr="006B2C30">
        <w:tab/>
        <w:t>duomenų pateikimo terminai.</w:t>
      </w:r>
    </w:p>
    <w:p w:rsidR="006B2C30" w:rsidRPr="006B2C30" w:rsidRDefault="006B2C30" w:rsidP="006B2C30">
      <w:pPr>
        <w:spacing w:before="120" w:after="120" w:line="360" w:lineRule="auto"/>
        <w:ind w:left="850"/>
        <w:rPr>
          <w:szCs w:val="24"/>
        </w:rPr>
      </w:pPr>
      <w:r w:rsidRPr="006B2C30">
        <w:t>Šie įgyvendinimo aktai priimami laikantis 18 straipsnio 2 dalyje nurodytos nagrinėjimo procedūros ne vėliau kaip likus 12 mėnesių iki ataskaitinio laiko pradžios.</w:t>
      </w:r>
    </w:p>
    <w:p w:rsidR="006B2C30" w:rsidRPr="006B2C30" w:rsidRDefault="006B2C30" w:rsidP="006B2C30">
      <w:pPr>
        <w:spacing w:before="120" w:after="120" w:line="360" w:lineRule="auto"/>
        <w:jc w:val="center"/>
        <w:rPr>
          <w:szCs w:val="24"/>
        </w:rPr>
      </w:pPr>
      <w:r w:rsidRPr="006B2C30">
        <w:t>8 straipsnis</w:t>
      </w:r>
      <w:r w:rsidRPr="006B2C30">
        <w:br/>
        <w:t xml:space="preserve">Komisijai </w:t>
      </w:r>
      <w:r w:rsidRPr="006B2C30">
        <w:rPr>
          <w:b/>
          <w:i/>
        </w:rPr>
        <w:t>perduotini</w:t>
      </w:r>
      <w:r w:rsidRPr="006B2C30">
        <w:t xml:space="preserve"> duomenų rinkiniai ir metaduomenys</w:t>
      </w:r>
    </w:p>
    <w:p w:rsidR="006B2C30" w:rsidRPr="006B2C30" w:rsidRDefault="006B2C30" w:rsidP="006B2C30">
      <w:pPr>
        <w:spacing w:before="120" w:after="120" w:line="360" w:lineRule="auto"/>
        <w:ind w:left="850" w:hanging="850"/>
        <w:rPr>
          <w:szCs w:val="24"/>
        </w:rPr>
      </w:pPr>
      <w:r w:rsidRPr="006B2C30">
        <w:t>1.</w:t>
      </w:r>
      <w:r w:rsidRPr="006B2C30">
        <w:tab/>
        <w:t xml:space="preserve">Valstybės narės </w:t>
      </w:r>
      <w:r w:rsidRPr="006B2C30">
        <w:rPr>
          <w:b/>
          <w:i/>
        </w:rPr>
        <w:t>perduoda Komisijai (Eurostatui)</w:t>
      </w:r>
      <w:r w:rsidRPr="006B2C30">
        <w:t xml:space="preserve"> iš anksto patikrintus duomenų rinkinius ir metaduomenis</w:t>
      </w:r>
      <w:r w:rsidRPr="006B2C30">
        <w:rPr>
          <w:b/>
          <w:i/>
        </w:rPr>
        <w:t xml:space="preserve"> pagal priedą</w:t>
      </w:r>
      <w:r w:rsidRPr="006B2C30">
        <w:t xml:space="preserve"> naudodamos Komisijos (Eurostato) nurodytą techninį formatą. Duomenų rinkiniai ir metaduomenys Komisijai (Eurostatui) </w:t>
      </w:r>
      <w:r w:rsidRPr="006B2C30">
        <w:rPr>
          <w:b/>
          <w:i/>
        </w:rPr>
        <w:t>perduodami</w:t>
      </w:r>
      <w:r w:rsidRPr="006B2C30">
        <w:t xml:space="preserve"> naudojant vieną bendrą prieigą.</w:t>
      </w:r>
    </w:p>
    <w:p w:rsidR="006B2C30" w:rsidRPr="006B2C30" w:rsidRDefault="006B2C30" w:rsidP="006B2C30">
      <w:pPr>
        <w:spacing w:before="120" w:after="120" w:line="360" w:lineRule="auto"/>
        <w:ind w:left="850" w:hanging="850"/>
        <w:rPr>
          <w:szCs w:val="24"/>
        </w:rPr>
      </w:pPr>
      <w:r w:rsidRPr="006B2C30">
        <w:t>2.</w:t>
      </w:r>
      <w:r w:rsidRPr="006B2C30">
        <w:tab/>
        <w:t xml:space="preserve">Kai valstybės narės paskelbia </w:t>
      </w:r>
      <w:r w:rsidRPr="006B2C30">
        <w:rPr>
          <w:b/>
          <w:i/>
        </w:rPr>
        <w:t>duomenis</w:t>
      </w:r>
      <w:r w:rsidRPr="006B2C30">
        <w:t xml:space="preserve">, kurių reikalaujama pagal šį reglamentą nacionaliniu lygmeniu, prieš pasibaigiant pagal 5 straipsnio 5 dalies d punktą ir 7 straipsnio 5 dalies d punktą nustatytiems </w:t>
      </w:r>
      <w:r w:rsidRPr="006B2C30">
        <w:rPr>
          <w:b/>
          <w:i/>
        </w:rPr>
        <w:t>perdavimo</w:t>
      </w:r>
      <w:r w:rsidRPr="006B2C30">
        <w:t xml:space="preserve"> terminams, jos </w:t>
      </w:r>
      <w:r w:rsidRPr="006B2C30">
        <w:rPr>
          <w:b/>
          <w:i/>
        </w:rPr>
        <w:t>nepagrįstai nedelsdamos</w:t>
      </w:r>
      <w:r w:rsidRPr="006B2C30">
        <w:t xml:space="preserve"> pateikia juos Komisijai (Eurostatui) </w:t>
      </w:r>
      <w:r w:rsidRPr="006B2C30">
        <w:rPr>
          <w:b/>
          <w:i/>
        </w:rPr>
        <w:t>ne vėliau kaip per 21 kalendorinę dieną nuo paskelbimo nacionaliniu lygmeniu.</w:t>
      </w:r>
    </w:p>
    <w:p w:rsidR="006B2C30" w:rsidRPr="006B2C30" w:rsidRDefault="006B2C30" w:rsidP="006B2C30">
      <w:pPr>
        <w:spacing w:before="120" w:after="120" w:line="360" w:lineRule="auto"/>
        <w:ind w:left="850" w:hanging="850"/>
        <w:rPr>
          <w:szCs w:val="24"/>
        </w:rPr>
      </w:pPr>
      <w:r w:rsidRPr="006B2C30">
        <w:t>3.</w:t>
      </w:r>
      <w:r w:rsidRPr="006B2C30">
        <w:tab/>
        <w:t xml:space="preserve">Valstybės narės </w:t>
      </w:r>
      <w:r w:rsidRPr="006B2C30">
        <w:rPr>
          <w:b/>
          <w:i/>
        </w:rPr>
        <w:t>perduoda</w:t>
      </w:r>
      <w:r w:rsidRPr="006B2C30">
        <w:t xml:space="preserve"> Komisijai (Eurostatui):</w:t>
      </w:r>
    </w:p>
    <w:p w:rsidR="006B2C30" w:rsidRPr="006B2C30" w:rsidRDefault="006B2C30" w:rsidP="006B2C30">
      <w:pPr>
        <w:spacing w:before="120" w:after="120" w:line="360" w:lineRule="auto"/>
        <w:ind w:left="1416" w:hanging="566"/>
        <w:rPr>
          <w:szCs w:val="24"/>
        </w:rPr>
      </w:pPr>
      <w:r w:rsidRPr="006B2C30">
        <w:t>a)</w:t>
      </w:r>
      <w:r w:rsidRPr="006B2C30">
        <w:tab/>
        <w:t>patikslintus duomenų rinkinius ir metaduomenis, jei pateikti pagal šį reglamentą reikalaujami duomenų rinkiniai buvo tikslinami;</w:t>
      </w:r>
    </w:p>
    <w:p w:rsidR="006B2C30" w:rsidRPr="006B2C30" w:rsidRDefault="006B2C30" w:rsidP="006B2C30">
      <w:pPr>
        <w:spacing w:before="120" w:after="120" w:line="360" w:lineRule="auto"/>
        <w:ind w:left="1416" w:hanging="566"/>
        <w:rPr>
          <w:szCs w:val="24"/>
        </w:rPr>
      </w:pPr>
      <w:r w:rsidRPr="006B2C30">
        <w:t>b)</w:t>
      </w:r>
      <w:r w:rsidRPr="006B2C30">
        <w:tab/>
        <w:t xml:space="preserve">patikslintus atitinkamų laiko eilučių duomenų rinkinius ir metaduomenis, jei duomenų rinkiniai, kurie buvo pateikti Komisijai (Eurostatui) prieš pradedant taikyti šį reglamentą, buvo tikslinami. </w:t>
      </w:r>
    </w:p>
    <w:p w:rsidR="006B2C30" w:rsidRPr="006B2C30" w:rsidRDefault="006B2C30" w:rsidP="006B2C30">
      <w:pPr>
        <w:spacing w:before="120" w:after="120" w:line="360" w:lineRule="auto"/>
        <w:ind w:left="850"/>
        <w:rPr>
          <w:szCs w:val="24"/>
        </w:rPr>
      </w:pPr>
      <w:r w:rsidRPr="006B2C30">
        <w:t xml:space="preserve">Patikslinti duomenų rinkiniai ir metaduomenys </w:t>
      </w:r>
      <w:r w:rsidRPr="006B2C30">
        <w:rPr>
          <w:b/>
          <w:i/>
        </w:rPr>
        <w:t xml:space="preserve">perduodami </w:t>
      </w:r>
      <w:r w:rsidRPr="006B2C30">
        <w:t xml:space="preserve">per </w:t>
      </w:r>
      <w:r w:rsidRPr="006B2C30">
        <w:rPr>
          <w:b/>
          <w:i/>
        </w:rPr>
        <w:t>14 kalendorinių dienų nuo patikslinimo</w:t>
      </w:r>
      <w:r w:rsidRPr="006B2C30">
        <w:t xml:space="preserve"> ir kartu pagal 12 straipsnį pateikiamos kokybės ataskaitos.</w:t>
      </w:r>
    </w:p>
    <w:p w:rsidR="006B2C30" w:rsidRPr="006B2C30" w:rsidRDefault="006B2C30" w:rsidP="00D82399">
      <w:pPr>
        <w:spacing w:before="120" w:after="120" w:line="360" w:lineRule="auto"/>
        <w:ind w:left="850" w:firstLine="1"/>
        <w:rPr>
          <w:szCs w:val="24"/>
        </w:rPr>
      </w:pPr>
      <w:r w:rsidRPr="006B2C30">
        <w:rPr>
          <w:b/>
          <w:i/>
        </w:rPr>
        <w:t>Valstybės narės informuoja Komisiją apie sprendimą peržiūrėti duomenų rinkinius ir metaduomenis nepagrįstai nedelsiant.</w:t>
      </w:r>
    </w:p>
    <w:p w:rsidR="006B2C30" w:rsidRPr="006B2C30" w:rsidRDefault="006B2C30" w:rsidP="006B2C30">
      <w:pPr>
        <w:spacing w:before="120" w:after="120" w:line="360" w:lineRule="auto"/>
        <w:jc w:val="center"/>
        <w:rPr>
          <w:szCs w:val="24"/>
        </w:rPr>
      </w:pPr>
      <w:r w:rsidRPr="006B2C30">
        <w:t>9 straipsnis</w:t>
      </w:r>
      <w:r w:rsidRPr="006B2C30">
        <w:br/>
        <w:t>Duomenų šaltiniai ir metodai</w:t>
      </w:r>
    </w:p>
    <w:p w:rsidR="006B2C30" w:rsidRPr="006B2C30" w:rsidRDefault="006B2C30" w:rsidP="006B2C30">
      <w:pPr>
        <w:spacing w:before="120" w:after="120" w:line="360" w:lineRule="auto"/>
        <w:ind w:left="850" w:hanging="850"/>
        <w:rPr>
          <w:szCs w:val="24"/>
        </w:rPr>
      </w:pPr>
      <w:r w:rsidRPr="006B2C30">
        <w:t>1.</w:t>
      </w:r>
      <w:r w:rsidRPr="006B2C30">
        <w:tab/>
        <w:t xml:space="preserve">Valstybės narės ir Komisija (Eurostatas) naudoja vieną iš šių duomenų šaltinių arba </w:t>
      </w:r>
      <w:r w:rsidRPr="006B2C30">
        <w:lastRenderedPageBreak/>
        <w:t>jų derinį, jei juos naudojant galima rengti 12 straipsnyje nustatytus kokybės reikalavimus atitinkančią statistiką:</w:t>
      </w:r>
    </w:p>
    <w:p w:rsidR="006B2C30" w:rsidRPr="006B2C30" w:rsidRDefault="006B2C30" w:rsidP="006B2C30">
      <w:pPr>
        <w:spacing w:before="120" w:after="120" w:line="360" w:lineRule="auto"/>
        <w:ind w:left="1416" w:hanging="566"/>
        <w:rPr>
          <w:szCs w:val="24"/>
        </w:rPr>
      </w:pPr>
      <w:r w:rsidRPr="006B2C30">
        <w:t>a)</w:t>
      </w:r>
      <w:r w:rsidRPr="006B2C30">
        <w:tab/>
        <w:t>administracinių duomenų šaltinius;</w:t>
      </w:r>
    </w:p>
    <w:p w:rsidR="006B2C30" w:rsidRPr="006B2C30" w:rsidRDefault="006B2C30" w:rsidP="006B2C30">
      <w:pPr>
        <w:spacing w:before="120" w:after="120" w:line="360" w:lineRule="auto"/>
        <w:ind w:left="1416" w:hanging="566"/>
        <w:rPr>
          <w:szCs w:val="24"/>
        </w:rPr>
      </w:pPr>
      <w:r w:rsidRPr="006B2C30">
        <w:t>b)</w:t>
      </w:r>
      <w:r w:rsidRPr="006B2C30">
        <w:tab/>
        <w:t>statistinius tyrimus arba kitus statistinių duomenų rinkimo būdus;</w:t>
      </w:r>
    </w:p>
    <w:p w:rsidR="006B2C30" w:rsidRPr="006B2C30" w:rsidRDefault="006B2C30" w:rsidP="006B2C30">
      <w:pPr>
        <w:spacing w:before="120" w:after="120" w:line="360" w:lineRule="auto"/>
        <w:ind w:left="1416" w:hanging="566"/>
        <w:rPr>
          <w:szCs w:val="24"/>
        </w:rPr>
      </w:pPr>
      <w:r w:rsidRPr="006B2C30">
        <w:t>c)</w:t>
      </w:r>
      <w:r w:rsidRPr="006B2C30">
        <w:tab/>
        <w:t>kitus šaltinius, įskaitant privačiai laikomus duomenis;</w:t>
      </w:r>
    </w:p>
    <w:p w:rsidR="006B2C30" w:rsidRPr="006B2C30" w:rsidRDefault="006B2C30" w:rsidP="006B2C30">
      <w:pPr>
        <w:spacing w:before="120" w:after="120" w:line="360" w:lineRule="auto"/>
        <w:ind w:left="1416" w:hanging="566"/>
        <w:rPr>
          <w:szCs w:val="24"/>
        </w:rPr>
      </w:pPr>
      <w:r w:rsidRPr="006B2C30">
        <w:t>d)</w:t>
      </w:r>
      <w:r w:rsidRPr="006B2C30">
        <w:tab/>
        <w:t>pakartotinai naudojamus duomenis, gautus nacionalinėms statistikos institucijoms ir Komisijai (Eurostatui) dalijantis duomenimis ESS.</w:t>
      </w:r>
    </w:p>
    <w:p w:rsidR="006B2C30" w:rsidRPr="006B2C30" w:rsidRDefault="006B2C30" w:rsidP="006B2C30">
      <w:pPr>
        <w:spacing w:before="120" w:after="120" w:line="360" w:lineRule="auto"/>
        <w:ind w:left="850" w:hanging="850"/>
        <w:rPr>
          <w:szCs w:val="24"/>
        </w:rPr>
      </w:pPr>
      <w:r w:rsidRPr="006B2C30">
        <w:t>2.</w:t>
      </w:r>
      <w:r w:rsidRPr="006B2C30">
        <w:tab/>
        <w:t>Valstybės narės vertina ir stebi savo duomenų šaltinių, įskaitant administracinius įrašus ir kitus tinkamus naudojamus šaltinius, kokybę.</w:t>
      </w:r>
    </w:p>
    <w:p w:rsidR="006B2C30" w:rsidRPr="006B2C30" w:rsidRDefault="006B2C30" w:rsidP="006B2C30">
      <w:pPr>
        <w:spacing w:before="120" w:after="120" w:line="360" w:lineRule="auto"/>
        <w:ind w:left="850" w:hanging="850"/>
        <w:rPr>
          <w:szCs w:val="24"/>
        </w:rPr>
      </w:pPr>
      <w:r w:rsidRPr="006B2C30">
        <w:t>3.</w:t>
      </w:r>
      <w:r w:rsidRPr="006B2C30">
        <w:tab/>
      </w:r>
      <w:r w:rsidRPr="006B2C30">
        <w:rPr>
          <w:b/>
          <w:i/>
        </w:rPr>
        <w:t>Valstybės narės siekia nuolat plėtoti inovacinius šaltinius bei metodus ir juos naudoti pagal šį reglamentą rengiamiems statistiniams duomenims tobulinti, jei juos naudojant galima rengti 12 straipsnyje nustatytus kokybės reikalavimus atitinkančią statistiką.</w:t>
      </w:r>
    </w:p>
    <w:p w:rsidR="006B2C30" w:rsidRPr="006B2C30" w:rsidRDefault="006B2C30" w:rsidP="006B2C30">
      <w:pPr>
        <w:spacing w:before="120" w:after="120" w:line="360" w:lineRule="auto"/>
        <w:ind w:left="850" w:hanging="850"/>
        <w:rPr>
          <w:szCs w:val="24"/>
        </w:rPr>
      </w:pPr>
      <w:r w:rsidRPr="006B2C30">
        <w:t>4.</w:t>
      </w:r>
      <w:r w:rsidRPr="006B2C30">
        <w:tab/>
        <w:t>Pagal šį reglamentą rengiama statistika grindžiama statistiškai patikimais ir tinkamai dokumentuotais metodais, atsižvelgiant į tarptautines rekomendacijas ir geriausią praktiką, pavyzdžiui, buvimo požymių sąvokas ▌ir kitus moksliškai pagrįstus statistinio vertinimo metodus, taikomus valstybių narių nuolatinių gyventojų skaičiui parengti.</w:t>
      </w:r>
    </w:p>
    <w:p w:rsidR="006B2C30" w:rsidRPr="006B2C30" w:rsidRDefault="006B2C30" w:rsidP="006B2C30">
      <w:pPr>
        <w:spacing w:before="120" w:after="120" w:line="360" w:lineRule="auto"/>
        <w:ind w:left="850" w:hanging="850"/>
        <w:rPr>
          <w:szCs w:val="24"/>
        </w:rPr>
      </w:pPr>
      <w:r w:rsidRPr="006B2C30">
        <w:t>5.</w:t>
      </w:r>
      <w:r w:rsidRPr="006B2C30">
        <w:tab/>
        <w:t xml:space="preserve">Atsižvelgdamos į </w:t>
      </w:r>
      <w:r w:rsidRPr="006B2C30">
        <w:rPr>
          <w:b/>
          <w:i/>
        </w:rPr>
        <w:t>tinkamai pagrįstą Komisijos (Eurostato) prašymą</w:t>
      </w:r>
      <w:r w:rsidRPr="006B2C30">
        <w:t>, valstybės narės pateikia Komisijai (Eurostatui) duomenų šaltinių vertinimo rezultatus, metodų dokumentus ir būtinus paaiškinimus.</w:t>
      </w:r>
    </w:p>
    <w:p w:rsidR="006B2C30" w:rsidRPr="006B2C30" w:rsidRDefault="006B2C30" w:rsidP="006B2C30">
      <w:pPr>
        <w:spacing w:before="120" w:after="120" w:line="360" w:lineRule="auto"/>
        <w:jc w:val="center"/>
        <w:rPr>
          <w:szCs w:val="24"/>
        </w:rPr>
      </w:pPr>
      <w:r w:rsidRPr="006B2C30">
        <w:t>10 straipsnis</w:t>
      </w:r>
      <w:r w:rsidRPr="006B2C30">
        <w:br/>
        <w:t>Savalaikė prieiga prie administracinių duomenų ir pakartotinis jų naudojimas</w:t>
      </w:r>
    </w:p>
    <w:p w:rsidR="006B2C30" w:rsidRPr="006B2C30" w:rsidRDefault="006B2C30" w:rsidP="006B2C30">
      <w:pPr>
        <w:spacing w:before="120" w:after="120" w:line="360" w:lineRule="auto"/>
        <w:ind w:left="850" w:hanging="850"/>
        <w:rPr>
          <w:szCs w:val="24"/>
        </w:rPr>
      </w:pPr>
      <w:r w:rsidRPr="006B2C30">
        <w:t>1.</w:t>
      </w:r>
      <w:r w:rsidRPr="006B2C30">
        <w:tab/>
      </w:r>
      <w:r w:rsidRPr="006B2C30">
        <w:rPr>
          <w:b/>
          <w:i/>
        </w:rPr>
        <w:t>Pagal Reglamento (ES) Nr. 223/2009 17a straipsnį</w:t>
      </w:r>
      <w:r w:rsidRPr="006B2C30">
        <w:t xml:space="preserve"> nacionalinės institucijos, atsakingos už administracinių duomenų šaltinius, svarbius šio reglamento tikslams, leidžia pakartotinai naudoti šiuos duomenis tokiu laiku ir dažnumu, kad būtų galima parengti ir pateikti statistinius duomenis laikantis terminų ir konkrečių kokybės reikalavimų, nustatytų šiame reglamente. </w:t>
      </w:r>
      <w:r w:rsidRPr="006B2C30">
        <w:rPr>
          <w:b/>
          <w:bCs/>
          <w:i/>
          <w:iCs/>
        </w:rPr>
        <w:t xml:space="preserve">Nacionalinės statistikos institucijos ir už administracinius įrašus atsakingos nacionalinės institucijos nustato būtinus </w:t>
      </w:r>
      <w:r w:rsidRPr="006B2C30">
        <w:t>bendradarbiavimo</w:t>
      </w:r>
      <w:r w:rsidRPr="006B2C30">
        <w:rPr>
          <w:b/>
          <w:bCs/>
          <w:i/>
          <w:iCs/>
        </w:rPr>
        <w:t xml:space="preserve"> mechanizmus, skirtus savalaikei ir nemokamai prieigai prie tų įrašų</w:t>
      </w:r>
      <w:r w:rsidRPr="006B2C30">
        <w:t>.</w:t>
      </w:r>
    </w:p>
    <w:p w:rsidR="006B2C30" w:rsidRPr="006B2C30" w:rsidRDefault="006B2C30" w:rsidP="006B2C30">
      <w:pPr>
        <w:spacing w:before="120" w:after="120" w:line="360" w:lineRule="auto"/>
        <w:ind w:left="850" w:hanging="850"/>
        <w:rPr>
          <w:szCs w:val="24"/>
        </w:rPr>
      </w:pPr>
      <w:r w:rsidRPr="006B2C30">
        <w:rPr>
          <w:b/>
          <w:i/>
        </w:rPr>
        <w:lastRenderedPageBreak/>
        <w:t>1a.</w:t>
      </w:r>
      <w:r w:rsidRPr="006B2C30">
        <w:tab/>
      </w:r>
      <w:r w:rsidRPr="006B2C30">
        <w:rPr>
          <w:b/>
          <w:i/>
        </w:rPr>
        <w:t xml:space="preserve">Siekiant parengti su energija susijusių pastato charakteristikų potemės statistinius duomenis, nacionalinėms statistikos institucijoms reguliariai suteikiama savalaikė prieiga prie nacionalinių pastatų energinio naudingumo duomenų bazių pagal </w:t>
      </w:r>
      <w:r w:rsidR="009F04B9">
        <w:rPr>
          <w:b/>
          <w:i/>
        </w:rPr>
        <w:t>D</w:t>
      </w:r>
      <w:r w:rsidRPr="006B2C30">
        <w:rPr>
          <w:b/>
          <w:i/>
        </w:rPr>
        <w:t>irektyvą</w:t>
      </w:r>
      <w:r w:rsidR="006956FD">
        <w:rPr>
          <w:b/>
          <w:i/>
        </w:rPr>
        <w:t xml:space="preserve"> </w:t>
      </w:r>
      <w:r w:rsidR="009F04B9">
        <w:rPr>
          <w:b/>
          <w:i/>
        </w:rPr>
        <w:t xml:space="preserve">(ES) </w:t>
      </w:r>
      <w:r w:rsidR="006956FD" w:rsidRPr="00EF6A92">
        <w:rPr>
          <w:b/>
          <w:i/>
          <w:szCs w:val="24"/>
          <w:lang w:eastAsia="en-US"/>
        </w:rPr>
        <w:t>2024/1275</w:t>
      </w:r>
      <w:r w:rsidRPr="006B2C30">
        <w:rPr>
          <w:b/>
          <w:i/>
        </w:rPr>
        <w:t xml:space="preserve"> ir leidžiama pakartotinai naudoti tų duomenų bazių administracinius duomenis.</w:t>
      </w:r>
    </w:p>
    <w:p w:rsidR="006B2C30" w:rsidRPr="006B2C30" w:rsidRDefault="006B2C30" w:rsidP="006B2C30">
      <w:pPr>
        <w:spacing w:before="120" w:after="120" w:line="360" w:lineRule="auto"/>
        <w:ind w:left="850" w:hanging="850"/>
        <w:rPr>
          <w:szCs w:val="24"/>
        </w:rPr>
      </w:pPr>
      <w:r w:rsidRPr="006B2C30">
        <w:rPr>
          <w:b/>
          <w:i/>
        </w:rPr>
        <w:t>1b.</w:t>
      </w:r>
      <w:r w:rsidRPr="006B2C30">
        <w:tab/>
      </w:r>
      <w:r w:rsidRPr="006B2C30">
        <w:rPr>
          <w:b/>
          <w:i/>
        </w:rPr>
        <w:t>Skirstydamos gyventojus pagal lytį nacionalinės statistikos institucijos pasitelkia nacionalinių administracinių duomenų šaltinių pateikiamą informaciją.</w:t>
      </w:r>
    </w:p>
    <w:p w:rsidR="006B2C30" w:rsidRPr="006B2C30" w:rsidRDefault="006B2C30" w:rsidP="006B2C30">
      <w:pPr>
        <w:spacing w:before="120" w:after="120" w:line="360" w:lineRule="auto"/>
        <w:ind w:left="850" w:hanging="850"/>
        <w:rPr>
          <w:szCs w:val="24"/>
        </w:rPr>
      </w:pPr>
      <w:r w:rsidRPr="006B2C30">
        <w:t>2.</w:t>
      </w:r>
      <w:r w:rsidRPr="006B2C30">
        <w:tab/>
        <w:t>Šio reglamento tikslais Komisijai (Eurostatui), pateikus prašymą, suteikiama savalaikė prieiga prie Sąjungos įstaigų ir agentūrų tvarkomų duomenų bazių ir sąveikumo sistemų atitinkamų duomenų ir metaduomenų, be kita ko, pagal reglamentus (ES) Nr. 910/2014 ir (ES) 2018/1724, ir prie centrinėje ataskaitų ir statistinių duomenų saugykloje (CASS) saugomų statistinių duomenų ir leidžiama juos pakartotinai naudoti</w:t>
      </w:r>
      <w:r w:rsidRPr="006B2C30">
        <w:rPr>
          <w:b/>
          <w:i/>
        </w:rPr>
        <w:t>. Visų pirma Komisija (Eurostatas) per CASS turi prieigą prie sąveikių didelės apimties IT sistemų laisvės, saugumo ir teisingumo erdvėje duomenų</w:t>
      </w:r>
      <w:r w:rsidRPr="006B2C30">
        <w:t>, laikantis reglamentų (ES) 2019/817 ir (ES) 2019/818 ir reglamentų, kuriais nustatomos sistemos, kurių statistiniai duomenys saugomi CASS. Tuo tikslu Komisija (Eurostatas) taip pat bendradarbiauja su atitinkamomis Sąjungos įstaigomis ir agentūromis, kad būtų nustatyti specialūs statistiniai duomenys ir metaduomenys, reikalingi, kai tai įmanoma pagal Sąjungos teisę, Europos gyventojų ir būstų statistikai rengti, jų teikimo sąlygos ir būtinos fizinės bei loginės apsaugos priemonės.</w:t>
      </w:r>
    </w:p>
    <w:p w:rsidR="006B2C30" w:rsidRPr="006B2C30" w:rsidRDefault="006B2C30" w:rsidP="006B2C30">
      <w:pPr>
        <w:spacing w:before="120" w:after="120" w:line="360" w:lineRule="auto"/>
        <w:jc w:val="center"/>
        <w:rPr>
          <w:szCs w:val="24"/>
        </w:rPr>
      </w:pPr>
      <w:r w:rsidRPr="006B2C30">
        <w:t>11 straipsnis</w:t>
      </w:r>
      <w:r w:rsidRPr="006B2C30">
        <w:br/>
        <w:t>Šalių ir teritorijų sąrašai</w:t>
      </w:r>
    </w:p>
    <w:p w:rsidR="006B2C30" w:rsidRPr="006B2C30" w:rsidRDefault="006B2C30" w:rsidP="006B2C30">
      <w:pPr>
        <w:spacing w:before="120" w:after="120" w:line="360" w:lineRule="auto"/>
        <w:ind w:left="850" w:hanging="850"/>
        <w:rPr>
          <w:szCs w:val="24"/>
        </w:rPr>
      </w:pPr>
      <w:r w:rsidRPr="006B2C30">
        <w:t>1.</w:t>
      </w:r>
      <w:r w:rsidRPr="006B2C30">
        <w:tab/>
        <w:t>Jei duomenų rinkiniuose informacija suskirstyta pagal šalis ar teritorijas, taikydamos šį reglamentą ir Reglamentą (EB) Nr. 862/2007 valstybės narės naudoja konkretų suskirstymą.</w:t>
      </w:r>
    </w:p>
    <w:p w:rsidR="006B2C30" w:rsidRPr="006B2C30" w:rsidRDefault="006B2C30" w:rsidP="006B2C30">
      <w:pPr>
        <w:spacing w:before="120" w:after="120" w:line="360" w:lineRule="auto"/>
        <w:ind w:left="850" w:hanging="850"/>
        <w:rPr>
          <w:szCs w:val="24"/>
        </w:rPr>
      </w:pPr>
      <w:r w:rsidRPr="006B2C30">
        <w:t>2.</w:t>
      </w:r>
      <w:r w:rsidRPr="006B2C30">
        <w:tab/>
        <w:t>Komisija priima įgyvendinimo aktus, kuriais nustatomi arba atnaujinami šalių ir</w:t>
      </w:r>
      <w:r w:rsidRPr="006B2C30">
        <w:rPr>
          <w:b/>
          <w:i/>
        </w:rPr>
        <w:t xml:space="preserve"> teritorijų </w:t>
      </w:r>
      <w:r w:rsidRPr="006B2C30">
        <w:t>sąrašai, taikomi pagal šį reglamentą rengiamiems statistiniams duomenims suskirstyti. Šie įgyvendinimo aktai priimami laikantis šio reglamento 18 straipsnio 2 dalyje nurodytos nagrinėjimo procedūros. ▌</w:t>
      </w:r>
    </w:p>
    <w:p w:rsidR="006B2C30" w:rsidRPr="006B2C30" w:rsidRDefault="006B2C30" w:rsidP="006B2C30">
      <w:pPr>
        <w:spacing w:before="120" w:after="120" w:line="360" w:lineRule="auto"/>
        <w:ind w:left="850" w:hanging="850"/>
        <w:rPr>
          <w:szCs w:val="24"/>
        </w:rPr>
      </w:pPr>
      <w:r w:rsidRPr="006B2C30">
        <w:t>3.</w:t>
      </w:r>
      <w:r w:rsidRPr="006B2C30">
        <w:tab/>
        <w:t xml:space="preserve">Įgyvendinimo aktai, kuriais iš dalies keičiamas daugiau nei trečdalis šalių ar teritorijų suskirstymo kategorijų, pradedami taikyti ne anksčiau kaip praėjus 12 mėnesių nuo </w:t>
      </w:r>
      <w:r w:rsidRPr="006B2C30">
        <w:lastRenderedPageBreak/>
        <w:t>jų įsigaliojimo.</w:t>
      </w:r>
    </w:p>
    <w:p w:rsidR="006B2C30" w:rsidRPr="006B2C30" w:rsidRDefault="006B2C30" w:rsidP="006B2C30">
      <w:pPr>
        <w:spacing w:before="120" w:after="120" w:line="360" w:lineRule="auto"/>
        <w:jc w:val="center"/>
        <w:rPr>
          <w:szCs w:val="24"/>
        </w:rPr>
      </w:pPr>
      <w:r w:rsidRPr="006B2C30">
        <w:t>12 straipsnis</w:t>
      </w:r>
      <w:r w:rsidRPr="006B2C30">
        <w:br/>
        <w:t>Kokybės reikalavimai ir kokybės ataskaitų teikimas</w:t>
      </w:r>
    </w:p>
    <w:p w:rsidR="006B2C30" w:rsidRPr="006B2C30" w:rsidRDefault="006B2C30" w:rsidP="006B2C30">
      <w:pPr>
        <w:spacing w:before="120" w:after="120" w:line="360" w:lineRule="auto"/>
        <w:ind w:left="850" w:hanging="850"/>
        <w:rPr>
          <w:szCs w:val="24"/>
        </w:rPr>
      </w:pPr>
      <w:r w:rsidRPr="006B2C30">
        <w:t>1.</w:t>
      </w:r>
      <w:r w:rsidRPr="006B2C30">
        <w:tab/>
        <w:t xml:space="preserve">Valstybės narės imasi reikiamų priemonių </w:t>
      </w:r>
      <w:r w:rsidRPr="006B2C30">
        <w:rPr>
          <w:b/>
          <w:bCs/>
          <w:i/>
          <w:iCs/>
        </w:rPr>
        <w:t>perduodamų</w:t>
      </w:r>
      <w:r w:rsidRPr="006B2C30">
        <w:t xml:space="preserve"> duomenų rinkinių ir metaduomenų kokybei užtikrinti.</w:t>
      </w:r>
    </w:p>
    <w:p w:rsidR="006B2C30" w:rsidRPr="006B2C30" w:rsidRDefault="006B2C30" w:rsidP="006B2C30">
      <w:pPr>
        <w:spacing w:before="120" w:after="120" w:line="360" w:lineRule="auto"/>
        <w:ind w:left="850" w:hanging="850"/>
        <w:rPr>
          <w:szCs w:val="24"/>
        </w:rPr>
      </w:pPr>
      <w:r w:rsidRPr="006B2C30">
        <w:t>2.</w:t>
      </w:r>
      <w:r w:rsidRPr="006B2C30">
        <w:tab/>
        <w:t>Valstybės narės imasi tinkamų ir veiksmingų priemonių, kad:</w:t>
      </w:r>
    </w:p>
    <w:p w:rsidR="006B2C30" w:rsidRPr="006B2C30" w:rsidRDefault="006B2C30" w:rsidP="006B2C30">
      <w:pPr>
        <w:spacing w:before="120" w:after="120" w:line="360" w:lineRule="auto"/>
        <w:ind w:left="1416" w:hanging="566"/>
        <w:rPr>
          <w:szCs w:val="24"/>
        </w:rPr>
      </w:pPr>
      <w:r w:rsidRPr="006B2C30">
        <w:t>a)</w:t>
      </w:r>
      <w:r w:rsidRPr="006B2C30">
        <w:tab/>
        <w:t>vienodai ir nepriklausomai nuo naudojamų duomenų šaltinių įgyvendintų su gyventojų skaičiaus baze susijusias taisykles, nustatytas 3 straipsnyje;</w:t>
      </w:r>
    </w:p>
    <w:p w:rsidR="006B2C30" w:rsidRPr="006B2C30" w:rsidRDefault="006B2C30" w:rsidP="006B2C30">
      <w:pPr>
        <w:spacing w:before="120" w:after="120" w:line="360" w:lineRule="auto"/>
        <w:ind w:left="1416" w:hanging="566"/>
        <w:rPr>
          <w:szCs w:val="24"/>
        </w:rPr>
      </w:pPr>
      <w:r w:rsidRPr="006B2C30">
        <w:t>b)</w:t>
      </w:r>
      <w:r w:rsidRPr="006B2C30">
        <w:tab/>
        <w:t>įtrauktų ar įvertintų sunkiai pasiekiamas gyventojų grupes;</w:t>
      </w:r>
    </w:p>
    <w:p w:rsidR="006B2C30" w:rsidRPr="006B2C30" w:rsidRDefault="006B2C30" w:rsidP="006B2C30">
      <w:pPr>
        <w:spacing w:before="120" w:after="120" w:line="360" w:lineRule="auto"/>
        <w:ind w:left="1416" w:hanging="566"/>
        <w:rPr>
          <w:szCs w:val="24"/>
        </w:rPr>
      </w:pPr>
      <w:r w:rsidRPr="006B2C30">
        <w:t>c)</w:t>
      </w:r>
      <w:r w:rsidRPr="006B2C30">
        <w:tab/>
        <w:t>kontroliuotų tiriamosios visumos išsamumą ir tikslumą pagal 3 straipsnį;</w:t>
      </w:r>
    </w:p>
    <w:p w:rsidR="006B2C30" w:rsidRPr="006B2C30" w:rsidRDefault="006B2C30" w:rsidP="006B2C30">
      <w:pPr>
        <w:spacing w:before="120" w:after="120" w:line="360" w:lineRule="auto"/>
        <w:ind w:left="1416" w:hanging="566"/>
        <w:rPr>
          <w:szCs w:val="24"/>
        </w:rPr>
      </w:pPr>
      <w:r w:rsidRPr="006B2C30">
        <w:t>d)</w:t>
      </w:r>
      <w:r w:rsidRPr="006B2C30">
        <w:tab/>
        <w:t>nustatytų šio reglamento ir Reglamento (ES) 2019/1700 12 straipsnio tikslams tinkamus sąrašus;</w:t>
      </w:r>
    </w:p>
    <w:p w:rsidR="006B2C30" w:rsidRPr="006B2C30" w:rsidRDefault="006B2C30" w:rsidP="006B2C30">
      <w:pPr>
        <w:spacing w:before="120" w:after="120" w:line="360" w:lineRule="auto"/>
        <w:ind w:left="1416" w:hanging="566"/>
        <w:rPr>
          <w:szCs w:val="24"/>
        </w:rPr>
      </w:pPr>
      <w:r w:rsidRPr="006B2C30">
        <w:t>e)</w:t>
      </w:r>
      <w:r w:rsidRPr="006B2C30">
        <w:tab/>
        <w:t>vengtų galimos rizikos, kai įtraukiami ne visi duomenys arba kelis kartus įtraukiami tie patys duomenys, susiję su laisvu asmenų judėjimu Sąjungoje, asmenų galimybėmis naudotis tarpvalstybinėmis paslaugomis, susijusiomis su civilinės būklės pasikeitimais, ir asmenų teisėmis visoje Sąjungoje įsigyti gyvenamąjį turtą, turėti nuosavybės teisę į jį ir juo naudotis</w:t>
      </w:r>
      <w:r w:rsidRPr="006B2C30">
        <w:rPr>
          <w:b/>
          <w:bCs/>
          <w:i/>
          <w:iCs/>
        </w:rPr>
        <w:t>, pavyzdžiui, pradedant taikyti bendrus skaitmeninius identifikatorius</w:t>
      </w:r>
      <w:r w:rsidRPr="006B2C30">
        <w:t>;</w:t>
      </w:r>
    </w:p>
    <w:p w:rsidR="006B2C30" w:rsidRPr="006B2C30" w:rsidRDefault="006B2C30" w:rsidP="006B2C30">
      <w:pPr>
        <w:spacing w:before="120" w:after="120" w:line="360" w:lineRule="auto"/>
        <w:ind w:left="1416" w:hanging="566"/>
        <w:rPr>
          <w:szCs w:val="24"/>
        </w:rPr>
      </w:pPr>
      <w:r w:rsidRPr="006B2C30">
        <w:t>f)</w:t>
      </w:r>
      <w:r w:rsidRPr="006B2C30">
        <w:tab/>
        <w:t>išvengtų ne visų duomenų įtraukimo arba tų pačių duomenų įtraukimo kelis kartus rizikos ir užtikrintų geresnį migracijos srautų palyginamumą;</w:t>
      </w:r>
    </w:p>
    <w:p w:rsidR="006B2C30" w:rsidRPr="006B2C30" w:rsidRDefault="006B2C30" w:rsidP="006B2C30">
      <w:pPr>
        <w:spacing w:before="120" w:after="120" w:line="360" w:lineRule="auto"/>
        <w:ind w:left="1416" w:hanging="566"/>
        <w:rPr>
          <w:szCs w:val="24"/>
        </w:rPr>
      </w:pPr>
      <w:r w:rsidRPr="006B2C30">
        <w:t>g)</w:t>
      </w:r>
      <w:r w:rsidRPr="006B2C30">
        <w:tab/>
        <w:t>teiktų Komisijai (Eurostatui) visus duomenis, kurių reikia skelbiamos Europos statistikos išsamumui užtikrinti.</w:t>
      </w:r>
    </w:p>
    <w:p w:rsidR="006B2C30" w:rsidRPr="006B2C30" w:rsidRDefault="006B2C30" w:rsidP="006B2C30">
      <w:pPr>
        <w:spacing w:before="120" w:after="120" w:line="360" w:lineRule="auto"/>
        <w:ind w:left="851" w:hanging="851"/>
        <w:rPr>
          <w:szCs w:val="24"/>
        </w:rPr>
      </w:pPr>
      <w:r w:rsidRPr="006B2C30">
        <w:rPr>
          <w:b/>
          <w:i/>
        </w:rPr>
        <w:t>2a.</w:t>
      </w:r>
      <w:r w:rsidRPr="006B2C30">
        <w:tab/>
      </w:r>
      <w:r w:rsidRPr="006B2C30">
        <w:rPr>
          <w:b/>
          <w:i/>
        </w:rPr>
        <w:t>Komisija (Eurostatas) įvertina specifikacijų metaduomenų ir duomenų kokybę, siekdama, inter alia, juos naudotojams patogiu būdu skelbti Komisijos (Eurostato) svetainėje.</w:t>
      </w:r>
    </w:p>
    <w:p w:rsidR="006B2C30" w:rsidRPr="006B2C30" w:rsidRDefault="006B2C30" w:rsidP="006B2C30">
      <w:pPr>
        <w:spacing w:before="120" w:after="120" w:line="360" w:lineRule="auto"/>
        <w:ind w:left="850" w:hanging="850"/>
        <w:rPr>
          <w:szCs w:val="24"/>
        </w:rPr>
      </w:pPr>
      <w:r w:rsidRPr="006B2C30">
        <w:t>3.</w:t>
      </w:r>
      <w:r w:rsidRPr="006B2C30">
        <w:tab/>
        <w:t>Valstybės narės Komisijai (Eurostatui) pirmą kartą iki 2027 m. kovo 31 d., o vėliau kiekvienais metais, kurie baigiasi skaitmenimis „0“, „3“ arba „7“, pateikia kokybės ataskaitą, kurioje aprašoma per atitinkamą laikotarpį pateiktų statistinių duomenų kokybė ir duomenų rinkinių statistiniai procesai</w:t>
      </w:r>
      <w:r w:rsidRPr="006B2C30">
        <w:rPr>
          <w:b/>
          <w:bCs/>
          <w:i/>
          <w:iCs/>
        </w:rPr>
        <w:t>.</w:t>
      </w:r>
      <w:r w:rsidRPr="006B2C30">
        <w:rPr>
          <w:b/>
          <w:i/>
        </w:rPr>
        <w:t xml:space="preserve"> </w:t>
      </w:r>
      <w:r w:rsidRPr="006B2C30">
        <w:rPr>
          <w:b/>
          <w:bCs/>
          <w:i/>
          <w:iCs/>
        </w:rPr>
        <w:t>Tose kokybės ataskaitose pateikiama informacija apie</w:t>
      </w:r>
      <w:r w:rsidRPr="006B2C30">
        <w:t xml:space="preserve"> naudotus duomenų šaltinius ir metodus, sąvokų ir </w:t>
      </w:r>
      <w:r w:rsidRPr="006B2C30">
        <w:lastRenderedPageBreak/>
        <w:t xml:space="preserve">apibrėžčių taikymą ir susijusį galimą poveikį atrinktų duomenų šaltinių kokybei, duomenų tikslinimus, jų priežastis ir poveikį </w:t>
      </w:r>
      <w:r w:rsidRPr="006B2C30">
        <w:rPr>
          <w:b/>
          <w:bCs/>
          <w:i/>
          <w:iCs/>
        </w:rPr>
        <w:t>bei</w:t>
      </w:r>
      <w:r w:rsidRPr="006B2C30">
        <w:t xml:space="preserve"> statistinių duomenų atskleidimo kontrolės metodus</w:t>
      </w:r>
      <w:r w:rsidRPr="006B2C30">
        <w:rPr>
          <w:b/>
          <w:bCs/>
          <w:i/>
          <w:iCs/>
        </w:rPr>
        <w:t>.</w:t>
      </w:r>
      <w:r w:rsidRPr="006B2C30">
        <w:rPr>
          <w:b/>
          <w:i/>
        </w:rPr>
        <w:t xml:space="preserve"> </w:t>
      </w:r>
      <w:r w:rsidRPr="006B2C30">
        <w:rPr>
          <w:b/>
          <w:bCs/>
          <w:i/>
          <w:iCs/>
        </w:rPr>
        <w:t xml:space="preserve">Kokybės ataskaitose taip pat </w:t>
      </w:r>
      <w:r w:rsidRPr="006B2C30">
        <w:t xml:space="preserve">išsamiai </w:t>
      </w:r>
      <w:r w:rsidRPr="006B2C30">
        <w:rPr>
          <w:b/>
          <w:bCs/>
          <w:i/>
          <w:iCs/>
        </w:rPr>
        <w:t>nurodoma</w:t>
      </w:r>
      <w:r w:rsidRPr="006B2C30">
        <w:t xml:space="preserve">, kaip </w:t>
      </w:r>
      <w:r w:rsidRPr="006B2C30">
        <w:rPr>
          <w:b/>
          <w:bCs/>
          <w:i/>
          <w:iCs/>
        </w:rPr>
        <w:t>valstybės narės taikė 1</w:t>
      </w:r>
      <w:r w:rsidRPr="006B2C30">
        <w:t xml:space="preserve"> dalyje </w:t>
      </w:r>
      <w:r w:rsidRPr="006B2C30">
        <w:rPr>
          <w:b/>
          <w:bCs/>
          <w:i/>
          <w:iCs/>
        </w:rPr>
        <w:t>nurodytas priemones ir kaip buvo laikomasi 2</w:t>
      </w:r>
      <w:r w:rsidRPr="006B2C30">
        <w:t xml:space="preserve"> dalyje </w:t>
      </w:r>
      <w:r w:rsidRPr="006B2C30">
        <w:rPr>
          <w:b/>
          <w:bCs/>
          <w:i/>
          <w:iCs/>
        </w:rPr>
        <w:t>nurodytų kokybės kriterijų</w:t>
      </w:r>
      <w:r w:rsidRPr="006B2C30">
        <w:t>.</w:t>
      </w:r>
    </w:p>
    <w:p w:rsidR="006B2C30" w:rsidRPr="006B2C30" w:rsidRDefault="006B2C30" w:rsidP="006B2C30">
      <w:pPr>
        <w:spacing w:before="120" w:after="120" w:line="360" w:lineRule="auto"/>
        <w:ind w:left="850" w:hanging="850"/>
        <w:rPr>
          <w:szCs w:val="24"/>
        </w:rPr>
      </w:pPr>
      <w:r w:rsidRPr="006B2C30">
        <w:t>4.</w:t>
      </w:r>
      <w:r w:rsidRPr="006B2C30">
        <w:tab/>
        <w:t xml:space="preserve">Komisija priima įgyvendinimo aktus, kuriais nustatoma kokybės ataskaitų teikimo praktinė tvarka ir turinys. </w:t>
      </w:r>
    </w:p>
    <w:p w:rsidR="006B2C30" w:rsidRPr="006B2C30" w:rsidRDefault="006B2C30" w:rsidP="007E5FBB">
      <w:pPr>
        <w:spacing w:before="120" w:after="120" w:line="360" w:lineRule="auto"/>
        <w:ind w:left="850"/>
        <w:rPr>
          <w:szCs w:val="24"/>
        </w:rPr>
      </w:pPr>
      <w:r w:rsidRPr="006B2C30">
        <w:rPr>
          <w:b/>
          <w:bCs/>
          <w:i/>
          <w:iCs/>
        </w:rPr>
        <w:t>Tais</w:t>
      </w:r>
      <w:r w:rsidRPr="006B2C30">
        <w:t xml:space="preserve"> įgyvendinimo </w:t>
      </w:r>
      <w:r w:rsidRPr="006B2C30">
        <w:rPr>
          <w:b/>
          <w:bCs/>
          <w:i/>
          <w:iCs/>
        </w:rPr>
        <w:t>aktais nesukuriama didelės papildomos naštos ir išlaidų valstybėms narėms</w:t>
      </w:r>
      <w:r w:rsidRPr="006B2C30">
        <w:t xml:space="preserve">. </w:t>
      </w:r>
    </w:p>
    <w:p w:rsidR="006B2C30" w:rsidRPr="006B2C30" w:rsidRDefault="006B2C30" w:rsidP="007E5FBB">
      <w:pPr>
        <w:spacing w:before="120" w:after="120" w:line="360" w:lineRule="auto"/>
        <w:ind w:left="850"/>
        <w:rPr>
          <w:szCs w:val="24"/>
        </w:rPr>
      </w:pPr>
      <w:r w:rsidRPr="006B2C30">
        <w:rPr>
          <w:b/>
          <w:bCs/>
          <w:i/>
          <w:iCs/>
        </w:rPr>
        <w:t>Įgyvendinimo</w:t>
      </w:r>
      <w:r w:rsidRPr="006B2C30">
        <w:t xml:space="preserve"> aktai priimami laikantis 18 straipsnio 2 dalyje nurodytos nagrinėjimo procedūros.</w:t>
      </w:r>
    </w:p>
    <w:p w:rsidR="006B2C30" w:rsidRPr="006B2C30" w:rsidRDefault="006B2C30" w:rsidP="006B2C30">
      <w:pPr>
        <w:spacing w:before="120" w:after="120" w:line="360" w:lineRule="auto"/>
        <w:ind w:left="850" w:hanging="850"/>
        <w:rPr>
          <w:szCs w:val="24"/>
        </w:rPr>
      </w:pPr>
      <w:r w:rsidRPr="006B2C30">
        <w:rPr>
          <w:b/>
          <w:i/>
        </w:rPr>
        <w:t>4a.</w:t>
      </w:r>
      <w:r w:rsidRPr="006B2C30">
        <w:tab/>
      </w:r>
      <w:r w:rsidRPr="006B2C30">
        <w:rPr>
          <w:b/>
          <w:i/>
        </w:rPr>
        <w:t>Tokiais įgyvendinimo aktais numatytam esminiam keitimui gali būti taikoma finansinė ir techninė parama pagal 15 straipsnį arba nukrypti leidžianti nuostata pagal 19 straipsnio 1a dalį.</w:t>
      </w:r>
    </w:p>
    <w:p w:rsidR="006B2C30" w:rsidRPr="006B2C30" w:rsidRDefault="006B2C30" w:rsidP="006B2C30">
      <w:pPr>
        <w:spacing w:before="120" w:after="120" w:line="360" w:lineRule="auto"/>
        <w:ind w:left="850" w:hanging="850"/>
        <w:rPr>
          <w:szCs w:val="24"/>
        </w:rPr>
      </w:pPr>
      <w:r w:rsidRPr="006B2C30">
        <w:t>5.</w:t>
      </w:r>
      <w:r w:rsidRPr="006B2C30">
        <w:tab/>
        <w:t>Valstybės narės Komisiją (Eurostatą) kuo greičiau informuoja apie bet kokią svarbią informaciją ar pokyčius, susijusius su šio reglamento įgyvendinimu ir galinčius paveikti pateiktų statistinių duomenų kokybę</w:t>
      </w:r>
      <w:r w:rsidRPr="006B2C30">
        <w:rPr>
          <w:b/>
          <w:bCs/>
          <w:i/>
          <w:iCs/>
        </w:rPr>
        <w:t>, ir nedelsdamos imasi priemonių šiam klausimui spręsti</w:t>
      </w:r>
      <w:r w:rsidRPr="006B2C30">
        <w:t>.</w:t>
      </w:r>
    </w:p>
    <w:p w:rsidR="006B2C30" w:rsidRPr="006B2C30" w:rsidRDefault="006B2C30" w:rsidP="006B2C30">
      <w:pPr>
        <w:spacing w:before="120" w:after="120" w:line="360" w:lineRule="auto"/>
        <w:ind w:left="850" w:hanging="850"/>
        <w:rPr>
          <w:szCs w:val="24"/>
        </w:rPr>
      </w:pPr>
      <w:r w:rsidRPr="006B2C30">
        <w:t>6.</w:t>
      </w:r>
      <w:r w:rsidRPr="006B2C30">
        <w:tab/>
      </w:r>
      <w:r w:rsidRPr="006B2C30">
        <w:rPr>
          <w:b/>
          <w:bCs/>
          <w:i/>
          <w:iCs/>
        </w:rPr>
        <w:t>Tinkamai pagrįstu</w:t>
      </w:r>
      <w:r w:rsidRPr="006B2C30">
        <w:t xml:space="preserve"> Komisijos (Eurostato) prašymu valstybės narės </w:t>
      </w:r>
      <w:r w:rsidRPr="006B2C30">
        <w:rPr>
          <w:b/>
          <w:bCs/>
          <w:i/>
          <w:iCs/>
        </w:rPr>
        <w:t>nepagrįstai</w:t>
      </w:r>
      <w:r w:rsidRPr="006B2C30">
        <w:t xml:space="preserve"> </w:t>
      </w:r>
      <w:r w:rsidRPr="006B2C30">
        <w:rPr>
          <w:b/>
          <w:bCs/>
          <w:i/>
          <w:iCs/>
        </w:rPr>
        <w:t>nedelsdamos</w:t>
      </w:r>
      <w:r w:rsidRPr="006B2C30">
        <w:t xml:space="preserve"> suteikia </w:t>
      </w:r>
      <w:r w:rsidRPr="006B2C30">
        <w:rPr>
          <w:b/>
          <w:bCs/>
          <w:i/>
          <w:iCs/>
        </w:rPr>
        <w:t>papildomus paaiškinimus</w:t>
      </w:r>
      <w:r w:rsidRPr="006B2C30">
        <w:t xml:space="preserve">, </w:t>
      </w:r>
      <w:r w:rsidRPr="006B2C30">
        <w:rPr>
          <w:b/>
          <w:bCs/>
          <w:i/>
          <w:iCs/>
        </w:rPr>
        <w:t>būtinus</w:t>
      </w:r>
      <w:r w:rsidRPr="006B2C30">
        <w:t xml:space="preserve"> </w:t>
      </w:r>
      <w:r w:rsidRPr="006B2C30">
        <w:rPr>
          <w:b/>
          <w:bCs/>
          <w:i/>
          <w:iCs/>
        </w:rPr>
        <w:t>statistinės informacijos</w:t>
      </w:r>
      <w:r w:rsidRPr="006B2C30">
        <w:t xml:space="preserve"> kokybei įvertinti</w:t>
      </w:r>
      <w:r w:rsidRPr="006B2C30">
        <w:rPr>
          <w:b/>
          <w:bCs/>
          <w:i/>
          <w:iCs/>
        </w:rPr>
        <w:t>, pavyzdžiui, duomenų šaltinių vertinimo rezultatus ir metodų dokumentus</w:t>
      </w:r>
      <w:r w:rsidRPr="006B2C30">
        <w:t>.</w:t>
      </w:r>
    </w:p>
    <w:p w:rsidR="006B2C30" w:rsidRPr="006B2C30" w:rsidRDefault="006B2C30" w:rsidP="006B2C30">
      <w:pPr>
        <w:spacing w:before="120" w:after="120" w:line="360" w:lineRule="auto"/>
        <w:jc w:val="center"/>
        <w:rPr>
          <w:szCs w:val="24"/>
        </w:rPr>
      </w:pPr>
      <w:r w:rsidRPr="006B2C30">
        <w:t>13 straipsnis</w:t>
      </w:r>
      <w:r w:rsidRPr="006B2C30">
        <w:br/>
        <w:t>Dalijimasis duomenimis</w:t>
      </w:r>
    </w:p>
    <w:p w:rsidR="006B2C30" w:rsidRPr="006B2C30" w:rsidRDefault="006B2C30" w:rsidP="006B2C30">
      <w:pPr>
        <w:spacing w:before="120" w:after="120" w:line="360" w:lineRule="auto"/>
        <w:ind w:left="850" w:hanging="850"/>
        <w:rPr>
          <w:szCs w:val="24"/>
        </w:rPr>
      </w:pPr>
      <w:r w:rsidRPr="006B2C30">
        <w:t>1.</w:t>
      </w:r>
      <w:r w:rsidRPr="006B2C30">
        <w:tab/>
      </w:r>
      <w:r w:rsidRPr="006B2C30">
        <w:rPr>
          <w:b/>
          <w:bCs/>
          <w:i/>
          <w:iCs/>
        </w:rPr>
        <w:t>Nacionalinių statistikos institucijų ir kitų nacionalinių valdžios institucijų, įtrauktų į Reglamento (EB) Nr. 223/2009 5 straipsnio 2 dalyje nurodytą sąrašą (toliau – nacionalinės statistikos institucijos)</w:t>
      </w:r>
      <w:r w:rsidRPr="006B2C30">
        <w:t xml:space="preserve">, taip pat </w:t>
      </w:r>
      <w:r w:rsidRPr="006B2C30">
        <w:rPr>
          <w:b/>
          <w:bCs/>
          <w:i/>
          <w:iCs/>
        </w:rPr>
        <w:t>tų nacionalinių statistikos institucijų</w:t>
      </w:r>
      <w:r w:rsidRPr="006B2C30">
        <w:t xml:space="preserve"> ir </w:t>
      </w:r>
      <w:r w:rsidRPr="006B2C30">
        <w:rPr>
          <w:b/>
          <w:bCs/>
          <w:i/>
          <w:iCs/>
        </w:rPr>
        <w:t>Komisijos (Eurostato) dalijimosi duomenimis tikslas yra</w:t>
      </w:r>
      <w:r w:rsidRPr="006B2C30">
        <w:t xml:space="preserve"> tik plėtoti ir rengti Europos statistiką, kuriai taikomas šis reglamentas, ir gerinti jos kokybę.</w:t>
      </w:r>
    </w:p>
    <w:p w:rsidR="006B2C30" w:rsidRPr="006B2C30" w:rsidRDefault="006B2C30" w:rsidP="006B2C30">
      <w:pPr>
        <w:spacing w:before="120" w:after="120" w:line="360" w:lineRule="auto"/>
        <w:ind w:left="850" w:hanging="850"/>
        <w:rPr>
          <w:szCs w:val="24"/>
        </w:rPr>
      </w:pPr>
      <w:r w:rsidRPr="006B2C30">
        <w:t>2.</w:t>
      </w:r>
      <w:r w:rsidRPr="006B2C30">
        <w:tab/>
        <w:t xml:space="preserve">Siekiant užtikrinti saugų dalijimąsi duomenimis ESS, imamasi visų būtinų apsaugos priemonių, </w:t>
      </w:r>
      <w:r w:rsidRPr="006B2C30">
        <w:rPr>
          <w:b/>
          <w:bCs/>
          <w:i/>
          <w:iCs/>
        </w:rPr>
        <w:t>įskaitant saugią dalijimosi duomenimis infrastruktūrą,</w:t>
      </w:r>
      <w:r w:rsidRPr="006B2C30">
        <w:t xml:space="preserve"> susijusių su </w:t>
      </w:r>
      <w:r w:rsidRPr="006B2C30">
        <w:lastRenderedPageBreak/>
        <w:t>fizine</w:t>
      </w:r>
      <w:r w:rsidRPr="006B2C30">
        <w:rPr>
          <w:b/>
          <w:bCs/>
          <w:i/>
          <w:iCs/>
        </w:rPr>
        <w:t>, technine</w:t>
      </w:r>
      <w:r w:rsidRPr="006B2C30">
        <w:t xml:space="preserve"> ir logine duomenų apsauga. Komisija (Eurostatas) sukuria saugią infrastruktūrą 1 dalyje nurodytam dalijimuisi duomenimis palengvinti. ▌Nacionalinės </w:t>
      </w:r>
      <w:r w:rsidRPr="006B2C30">
        <w:rPr>
          <w:b/>
          <w:bCs/>
          <w:i/>
          <w:iCs/>
        </w:rPr>
        <w:t>statistikos</w:t>
      </w:r>
      <w:r w:rsidRPr="006B2C30">
        <w:t xml:space="preserve"> institucijos </w:t>
      </w:r>
      <w:r w:rsidRPr="006B2C30">
        <w:rPr>
          <w:b/>
          <w:bCs/>
          <w:i/>
          <w:iCs/>
        </w:rPr>
        <w:t>gali naudotis šia saugia dalijimosi duomenimis infrastruktūra 1 dalyje nurodytu tikslu.</w:t>
      </w:r>
      <w:r w:rsidRPr="006B2C30">
        <w:rPr>
          <w:b/>
          <w:i/>
        </w:rPr>
        <w:t xml:space="preserve"> </w:t>
      </w:r>
      <w:r w:rsidRPr="006B2C30">
        <w:rPr>
          <w:b/>
          <w:bCs/>
          <w:i/>
          <w:iCs/>
        </w:rPr>
        <w:t>Komisija (Eurostatas) ir nacionalinės statistikos institucijos, kurios</w:t>
      </w:r>
      <w:r w:rsidRPr="006B2C30">
        <w:t xml:space="preserve"> </w:t>
      </w:r>
      <w:r w:rsidRPr="006B2C30">
        <w:rPr>
          <w:b/>
          <w:bCs/>
          <w:i/>
          <w:iCs/>
        </w:rPr>
        <w:t>naudojasi</w:t>
      </w:r>
      <w:r w:rsidRPr="006B2C30">
        <w:t xml:space="preserve"> šia saugia dalijimosi duomenimis infrastruktūra </w:t>
      </w:r>
      <w:r w:rsidRPr="006B2C30">
        <w:rPr>
          <w:b/>
          <w:bCs/>
          <w:i/>
          <w:iCs/>
        </w:rPr>
        <w:t>asmens duomenims tvarkyti pagal 3</w:t>
      </w:r>
      <w:r w:rsidRPr="006B2C30">
        <w:t xml:space="preserve"> </w:t>
      </w:r>
      <w:r w:rsidRPr="006B2C30">
        <w:rPr>
          <w:b/>
          <w:bCs/>
          <w:i/>
          <w:iCs/>
        </w:rPr>
        <w:t>dalį, laikomos bendromis duomenų valdytojomis tvarkant asmens duomenis saugioje dalijimosi duomenimis infrastruktūroje.</w:t>
      </w:r>
      <w:r w:rsidRPr="006B2C30">
        <w:rPr>
          <w:b/>
          <w:i/>
        </w:rPr>
        <w:t xml:space="preserve"> </w:t>
      </w:r>
      <w:r w:rsidRPr="006B2C30">
        <w:rPr>
          <w:b/>
          <w:bCs/>
          <w:i/>
          <w:iCs/>
        </w:rPr>
        <w:t>Tuo atveju, kai nacionalinės statistikos institucijos naudojasi kita dalijimosi duomenimis infrastruktūra, jos užtikrina, kad tokia infrastruktūra suteiktų bent tokio paties lygio saugumą, kokį nustatė Komisija (Eurostatas)</w:t>
      </w:r>
      <w:r w:rsidRPr="006B2C30">
        <w:t>.</w:t>
      </w:r>
    </w:p>
    <w:p w:rsidR="006B2C30" w:rsidRPr="006B2C30" w:rsidRDefault="006B2C30" w:rsidP="006B2C30">
      <w:pPr>
        <w:spacing w:before="120" w:after="120" w:line="360" w:lineRule="auto"/>
        <w:ind w:left="850" w:hanging="850"/>
        <w:rPr>
          <w:szCs w:val="24"/>
        </w:rPr>
      </w:pPr>
      <w:r w:rsidRPr="006B2C30">
        <w:t>3.</w:t>
      </w:r>
      <w:r w:rsidRPr="006B2C30">
        <w:tab/>
        <w:t xml:space="preserve">Jei atitinkami duomenys yra konfidencialūs, kaip apibrėžta Reglamento (EB) Nr. 223/2009 3 straipsnio 7 punkte, arba asmens duomenys pagal reglamentus (ES) 2016/679 ir (ES) 2018/1725, </w:t>
      </w:r>
      <w:r w:rsidRPr="006B2C30">
        <w:rPr>
          <w:b/>
          <w:bCs/>
          <w:i/>
          <w:iCs/>
        </w:rPr>
        <w:t>dalijimasis</w:t>
      </w:r>
      <w:r w:rsidRPr="006B2C30">
        <w:t xml:space="preserve"> tokiais duomenimis ▌gali vykti savanoriškai, jei:</w:t>
      </w:r>
    </w:p>
    <w:p w:rsidR="006B2C30" w:rsidRPr="006B2C30" w:rsidRDefault="006B2C30" w:rsidP="006B2C30">
      <w:pPr>
        <w:spacing w:before="120" w:after="120" w:line="360" w:lineRule="auto"/>
        <w:ind w:left="1416" w:hanging="566"/>
        <w:rPr>
          <w:szCs w:val="24"/>
        </w:rPr>
      </w:pPr>
      <w:r w:rsidRPr="006B2C30">
        <w:t>a)</w:t>
      </w:r>
      <w:r w:rsidRPr="006B2C30">
        <w:tab/>
        <w:t>remiamasi prašymu, pagrindžiančiu būtinybę dalytis duomenimis kiekvienu atskiru atveju, visų pirma kiek tai susiję su konkrečiais spręstinais kokybės klausimais;</w:t>
      </w:r>
    </w:p>
    <w:p w:rsidR="006B2C30" w:rsidRPr="006B2C30" w:rsidRDefault="006B2C30" w:rsidP="006B2C30">
      <w:pPr>
        <w:spacing w:before="120" w:after="120" w:line="360" w:lineRule="auto"/>
        <w:ind w:left="1416" w:hanging="566"/>
        <w:rPr>
          <w:szCs w:val="24"/>
        </w:rPr>
      </w:pPr>
      <w:r w:rsidRPr="006B2C30">
        <w:t>b)</w:t>
      </w:r>
      <w:r w:rsidRPr="006B2C30">
        <w:tab/>
        <w:t>taikomos ▌privatumo didinimo technologijos, specialiai sukurtos siekiant įgyvendinti reglamentuose (ES) 2016/679 ir (ES) 2018/1725 nustatytus principus, ypač susijusius su tikslų apribojimu, duomenų kiekio mažinimu, saugojimo apribojimu, vientisumu ir konfidencialumu;</w:t>
      </w:r>
    </w:p>
    <w:p w:rsidR="006B2C30" w:rsidRPr="006B2C30" w:rsidRDefault="006B2C30" w:rsidP="006B2C30">
      <w:pPr>
        <w:spacing w:before="120" w:after="120" w:line="360" w:lineRule="auto"/>
        <w:ind w:left="1416" w:hanging="566"/>
        <w:rPr>
          <w:szCs w:val="24"/>
        </w:rPr>
      </w:pPr>
      <w:r w:rsidRPr="006B2C30">
        <w:t>c)</w:t>
      </w:r>
      <w:r w:rsidRPr="006B2C30">
        <w:tab/>
        <w:t>nedaromas poveikis Reglamento (EB) Nr. 223/2009 V skyriui.</w:t>
      </w:r>
    </w:p>
    <w:p w:rsidR="006B2C30" w:rsidRPr="006B2C30" w:rsidRDefault="006B2C30" w:rsidP="00D82399">
      <w:pPr>
        <w:spacing w:before="120" w:after="120" w:line="360" w:lineRule="auto"/>
        <w:ind w:left="851" w:hanging="851"/>
        <w:rPr>
          <w:szCs w:val="24"/>
        </w:rPr>
      </w:pPr>
      <w:r w:rsidRPr="006B2C30">
        <w:rPr>
          <w:b/>
          <w:i/>
        </w:rPr>
        <w:t>3a.</w:t>
      </w:r>
      <w:r w:rsidRPr="006B2C30">
        <w:tab/>
      </w:r>
      <w:r w:rsidRPr="006B2C30">
        <w:rPr>
          <w:b/>
          <w:i/>
        </w:rPr>
        <w:t>1 dalyje nurodyto dalijimosi duomenimis tikslais nekonfidencialiais duomenimis dalijasi skirtingų valstybių narių nacionalinės statistikos institucijos ir kitos nacionalinės valdžios institucijos, taip pat šios nacionalinės statistikos institucijos ir Komisija (Eurostatas).</w:t>
      </w:r>
    </w:p>
    <w:p w:rsidR="006B2C30" w:rsidRPr="006B2C30" w:rsidRDefault="006B2C30" w:rsidP="006B2C30">
      <w:pPr>
        <w:spacing w:before="120" w:after="120" w:line="360" w:lineRule="auto"/>
        <w:ind w:left="850" w:hanging="850"/>
        <w:rPr>
          <w:szCs w:val="24"/>
        </w:rPr>
      </w:pPr>
      <w:r w:rsidRPr="006B2C30">
        <w:t>4.</w:t>
      </w:r>
      <w:r w:rsidRPr="006B2C30">
        <w:tab/>
        <w:t>Komisija (Eurostatas) ir valstybės narės, atlikdamos bandomuosius tyrimus, išbando ir įvertina atitinkamų privatumą didinančių technologijų</w:t>
      </w:r>
      <w:r w:rsidRPr="006B2C30">
        <w:rPr>
          <w:b/>
          <w:bCs/>
          <w:i/>
          <w:iCs/>
        </w:rPr>
        <w:t xml:space="preserve"> infrastruktūrą ir </w:t>
      </w:r>
      <w:r w:rsidRPr="006B2C30">
        <w:t>tinkamumą dalijimuisi duomenimis.</w:t>
      </w:r>
    </w:p>
    <w:p w:rsidR="006B2C30" w:rsidRPr="006B2C30" w:rsidRDefault="006B2C30" w:rsidP="006B2C30">
      <w:pPr>
        <w:spacing w:before="120" w:after="120" w:line="360" w:lineRule="auto"/>
        <w:ind w:left="850" w:hanging="850"/>
        <w:rPr>
          <w:szCs w:val="24"/>
        </w:rPr>
      </w:pPr>
      <w:r w:rsidRPr="006B2C30">
        <w:t>5.</w:t>
      </w:r>
      <w:r w:rsidRPr="006B2C30">
        <w:tab/>
        <w:t xml:space="preserve">Jeigu </w:t>
      </w:r>
      <w:r w:rsidRPr="006B2C30">
        <w:rPr>
          <w:b/>
          <w:bCs/>
          <w:i/>
          <w:iCs/>
        </w:rPr>
        <w:t>atlikus</w:t>
      </w:r>
      <w:r w:rsidRPr="006B2C30">
        <w:t xml:space="preserve"> bandomuosius tyrimus pagal šio straipsnio 4 dalį nustatomi veiksmingi ir saugūs dalijimosi duomenimis </w:t>
      </w:r>
      <w:r w:rsidRPr="006B2C30">
        <w:rPr>
          <w:b/>
          <w:bCs/>
          <w:i/>
          <w:iCs/>
        </w:rPr>
        <w:t>šio straipsnio</w:t>
      </w:r>
      <w:r w:rsidRPr="006B2C30">
        <w:t xml:space="preserve"> 1 dalyje nurodytais tikslais </w:t>
      </w:r>
      <w:r w:rsidRPr="006B2C30">
        <w:lastRenderedPageBreak/>
        <w:t>sprendimai, Komisija gali priimti įgyvendinimo aktus, kuriais nustatomos keitimosi duomenimis techninės specifikacijos ir informacijos konfidencialumo bei saugumo priemonės. Tie įgyvendinimo aktai priimami laikantis 18 straipsnio 2 dalyje nurodytos nagrinėjimo procedūros.</w:t>
      </w:r>
    </w:p>
    <w:p w:rsidR="006B2C30" w:rsidRPr="006B2C30" w:rsidRDefault="006B2C30" w:rsidP="006B2C30">
      <w:pPr>
        <w:spacing w:before="120" w:after="120" w:line="360" w:lineRule="auto"/>
        <w:jc w:val="center"/>
        <w:rPr>
          <w:szCs w:val="24"/>
        </w:rPr>
      </w:pPr>
      <w:r w:rsidRPr="006B2C30">
        <w:t>14 straipsnis</w:t>
      </w:r>
      <w:r w:rsidRPr="006B2C30">
        <w:br/>
        <w:t>Bandomieji tyrimai ir galimybių studijos</w:t>
      </w:r>
    </w:p>
    <w:p w:rsidR="006B2C30" w:rsidRPr="006B2C30" w:rsidRDefault="006B2C30" w:rsidP="006B2C30">
      <w:pPr>
        <w:spacing w:before="120" w:after="120" w:line="360" w:lineRule="auto"/>
        <w:ind w:left="850" w:hanging="850"/>
        <w:rPr>
          <w:szCs w:val="24"/>
        </w:rPr>
      </w:pPr>
      <w:r w:rsidRPr="006B2C30">
        <w:t>1.</w:t>
      </w:r>
      <w:r w:rsidRPr="006B2C30">
        <w:tab/>
        <w:t>Komisija (Eurostatas), kai tai būtina ir tikslinga šio reglamento tikslais, inicijuoja bandomuosius tyrimus ir galimybių studijas, kuriais siekiama:</w:t>
      </w:r>
    </w:p>
    <w:p w:rsidR="006B2C30" w:rsidRPr="006B2C30" w:rsidRDefault="006B2C30" w:rsidP="006B2C30">
      <w:pPr>
        <w:spacing w:before="120" w:after="120" w:line="360" w:lineRule="auto"/>
        <w:ind w:left="1416" w:hanging="566"/>
        <w:rPr>
          <w:szCs w:val="24"/>
        </w:rPr>
      </w:pPr>
      <w:r w:rsidRPr="006B2C30">
        <w:t>a)</w:t>
      </w:r>
      <w:r w:rsidRPr="006B2C30">
        <w:tab/>
        <w:t>įvertinti duomenų šaltinių prieinamumą ir kokybę, įskaitant viešai ir privačiai laikomus duomenis valstybėse narėse ir Sąjungos lygmeniu;</w:t>
      </w:r>
    </w:p>
    <w:p w:rsidR="006B2C30" w:rsidRPr="006B2C30" w:rsidRDefault="006B2C30" w:rsidP="006B2C30">
      <w:pPr>
        <w:spacing w:before="120" w:after="120" w:line="360" w:lineRule="auto"/>
        <w:ind w:left="1416" w:hanging="566"/>
        <w:rPr>
          <w:szCs w:val="24"/>
        </w:rPr>
      </w:pPr>
      <w:r w:rsidRPr="006B2C30">
        <w:t>b)</w:t>
      </w:r>
      <w:r w:rsidRPr="006B2C30">
        <w:tab/>
        <w:t>rengti naujas ▌potemes, statistinius vienetus, kintamuosius ir jų suskirstymą, ir vertinti jų diegimo galimybes;</w:t>
      </w:r>
    </w:p>
    <w:p w:rsidR="006B2C30" w:rsidRPr="006B2C30" w:rsidRDefault="006B2C30" w:rsidP="006B2C30">
      <w:pPr>
        <w:spacing w:before="120" w:after="120" w:line="360" w:lineRule="auto"/>
        <w:ind w:left="1416" w:hanging="566"/>
        <w:rPr>
          <w:szCs w:val="24"/>
        </w:rPr>
      </w:pPr>
      <w:r w:rsidRPr="006B2C30">
        <w:rPr>
          <w:b/>
          <w:i/>
        </w:rPr>
        <w:t>ba)</w:t>
      </w:r>
      <w:r w:rsidRPr="006B2C30">
        <w:tab/>
      </w:r>
      <w:r w:rsidRPr="006B2C30">
        <w:rPr>
          <w:b/>
          <w:i/>
        </w:rPr>
        <w:t>įvertinti duomenų šaltinių prieinamumą, tobulinti statistinių duomenų apie asmenų negalią teikimo metodus ir išbandyti statistinių duomenų suskirstymą, įskaitant jų palyginamumą, pagal nacionalinę teisę ir praktiką duomenų apsaugos ir atskleidimo kontrolės srityje;</w:t>
      </w:r>
    </w:p>
    <w:p w:rsidR="006B2C30" w:rsidRPr="006B2C30" w:rsidRDefault="006B2C30" w:rsidP="006B2C30">
      <w:pPr>
        <w:spacing w:before="120" w:after="120" w:line="360" w:lineRule="auto"/>
        <w:ind w:left="1416" w:hanging="566"/>
        <w:rPr>
          <w:szCs w:val="24"/>
        </w:rPr>
      </w:pPr>
      <w:r w:rsidRPr="006B2C30">
        <w:t>c)</w:t>
      </w:r>
      <w:r w:rsidRPr="006B2C30">
        <w:tab/>
        <w:t xml:space="preserve">rengti naujas metodikas ir statistinius būdus kokybei gerinti </w:t>
      </w:r>
      <w:r w:rsidRPr="006B2C30">
        <w:rPr>
          <w:b/>
          <w:bCs/>
          <w:i/>
          <w:iCs/>
        </w:rPr>
        <w:t>ir informacijos apie sunkiai pasiekiamus gyventojus veiksmingumui didinti</w:t>
      </w:r>
      <w:r w:rsidRPr="006B2C30">
        <w:t>;</w:t>
      </w:r>
    </w:p>
    <w:p w:rsidR="006B2C30" w:rsidRPr="006B2C30" w:rsidRDefault="006B2C30" w:rsidP="006B2C30">
      <w:pPr>
        <w:spacing w:before="120" w:after="120" w:line="360" w:lineRule="auto"/>
        <w:ind w:left="1416" w:hanging="566"/>
        <w:rPr>
          <w:szCs w:val="24"/>
        </w:rPr>
      </w:pPr>
      <w:r w:rsidRPr="006B2C30">
        <w:t>d)</w:t>
      </w:r>
      <w:r w:rsidRPr="006B2C30">
        <w:tab/>
        <w:t xml:space="preserve">mažinti migracijos srautų </w:t>
      </w:r>
      <w:r w:rsidRPr="006B2C30">
        <w:rPr>
          <w:b/>
          <w:bCs/>
          <w:i/>
          <w:iCs/>
        </w:rPr>
        <w:t>duomenų neatitikimus ir užtikrinti geresnį jų palyginamumą</w:t>
      </w:r>
      <w:r w:rsidRPr="006B2C30">
        <w:t>;</w:t>
      </w:r>
    </w:p>
    <w:p w:rsidR="006B2C30" w:rsidRPr="006B2C30" w:rsidRDefault="006B2C30" w:rsidP="006B2C30">
      <w:pPr>
        <w:spacing w:before="120" w:after="120" w:line="360" w:lineRule="auto"/>
        <w:ind w:left="1416" w:hanging="566"/>
        <w:rPr>
          <w:szCs w:val="24"/>
        </w:rPr>
      </w:pPr>
      <w:r w:rsidRPr="006B2C30">
        <w:rPr>
          <w:b/>
          <w:i/>
        </w:rPr>
        <w:t>da)</w:t>
      </w:r>
      <w:r w:rsidRPr="006B2C30">
        <w:tab/>
      </w:r>
      <w:r w:rsidRPr="006B2C30">
        <w:rPr>
          <w:b/>
          <w:i/>
        </w:rPr>
        <w:t>mažinti galimą ne visų žmonių įtraukimą arba jų dubliavimą;</w:t>
      </w:r>
    </w:p>
    <w:p w:rsidR="006B2C30" w:rsidRPr="006B2C30" w:rsidRDefault="006B2C30" w:rsidP="006B2C30">
      <w:pPr>
        <w:spacing w:before="120" w:after="120" w:line="360" w:lineRule="auto"/>
        <w:ind w:left="1416" w:hanging="566"/>
        <w:rPr>
          <w:szCs w:val="24"/>
        </w:rPr>
      </w:pPr>
      <w:r w:rsidRPr="006B2C30">
        <w:t>e)</w:t>
      </w:r>
      <w:r w:rsidRPr="006B2C30">
        <w:tab/>
        <w:t xml:space="preserve">bandyti ir vertinti atitinkamų privatumą didinančių technologijų </w:t>
      </w:r>
      <w:r w:rsidRPr="006B2C30">
        <w:rPr>
          <w:b/>
          <w:bCs/>
          <w:i/>
          <w:iCs/>
        </w:rPr>
        <w:t>infrastruktūrą ir</w:t>
      </w:r>
      <w:r w:rsidRPr="006B2C30">
        <w:t xml:space="preserve"> tinkamumą saugiam dalijimuisi duomenimis ESS pagal 13 straipsnio 4 dalį.</w:t>
      </w:r>
    </w:p>
    <w:p w:rsidR="006B2C30" w:rsidRPr="006B2C30" w:rsidRDefault="006B2C30" w:rsidP="006B2C30">
      <w:pPr>
        <w:spacing w:before="120" w:after="120" w:line="360" w:lineRule="auto"/>
        <w:ind w:left="850" w:hanging="850"/>
        <w:rPr>
          <w:szCs w:val="24"/>
        </w:rPr>
      </w:pPr>
      <w:r w:rsidRPr="006B2C30">
        <w:t>2.</w:t>
      </w:r>
      <w:r w:rsidRPr="006B2C30">
        <w:tab/>
        <w:t>Valstybės narės gali dalyvauti šiuose tyrimuose, tačiau turi kartu su Komisija (Eurostatu) užtikrinti jų reprezentatyvumą Sąjungos lygmeniu.</w:t>
      </w:r>
    </w:p>
    <w:p w:rsidR="006B2C30" w:rsidRPr="006B2C30" w:rsidRDefault="006B2C30" w:rsidP="006B2C30">
      <w:pPr>
        <w:spacing w:before="120" w:after="120" w:line="360" w:lineRule="auto"/>
        <w:ind w:left="850" w:hanging="850"/>
        <w:rPr>
          <w:szCs w:val="24"/>
        </w:rPr>
      </w:pPr>
      <w:r w:rsidRPr="006B2C30">
        <w:t>3.</w:t>
      </w:r>
      <w:r w:rsidRPr="006B2C30">
        <w:tab/>
        <w:t>Šių tyrimų rezultatus vertina Komisija (Eurostatas), bendradarbiaudama su valstybėmis narėmis. Komisija (Eurostatas), bendradarbiaudama su valstybėmis narėmis, parengia šių tyrimų rezultatų ataskaitas.</w:t>
      </w:r>
    </w:p>
    <w:p w:rsidR="006B2C30" w:rsidRPr="006B2C30" w:rsidRDefault="006B2C30" w:rsidP="006B2C30">
      <w:pPr>
        <w:spacing w:before="120" w:after="120" w:line="360" w:lineRule="auto"/>
        <w:jc w:val="center"/>
        <w:rPr>
          <w:szCs w:val="24"/>
        </w:rPr>
      </w:pPr>
      <w:r w:rsidRPr="006B2C30">
        <w:t>15 straipsnis</w:t>
      </w:r>
      <w:r w:rsidRPr="006B2C30">
        <w:br/>
        <w:t>Finansavimas</w:t>
      </w:r>
    </w:p>
    <w:p w:rsidR="006B2C30" w:rsidRPr="006B2C30" w:rsidRDefault="006B2C30" w:rsidP="006B2C30">
      <w:pPr>
        <w:spacing w:before="120" w:after="120" w:line="360" w:lineRule="auto"/>
        <w:ind w:left="850" w:hanging="850"/>
        <w:rPr>
          <w:szCs w:val="24"/>
        </w:rPr>
      </w:pPr>
      <w:r w:rsidRPr="006B2C30">
        <w:lastRenderedPageBreak/>
        <w:t>1.</w:t>
      </w:r>
      <w:r w:rsidRPr="006B2C30">
        <w:tab/>
      </w:r>
      <w:r w:rsidRPr="006B2C30">
        <w:rPr>
          <w:b/>
          <w:bCs/>
          <w:i/>
          <w:iCs/>
        </w:rPr>
        <w:t>Įgyvendinant šį reglamentą,</w:t>
      </w:r>
      <w:r w:rsidRPr="006B2C30">
        <w:t xml:space="preserve"> nacionalinėms statistikos institucijoms ▌, nurodytoms Reglamento (EB) Nr. 223/2009 5 straipsnio 2 dalyje, </w:t>
      </w:r>
      <w:r w:rsidRPr="006B2C30">
        <w:rPr>
          <w:b/>
          <w:bCs/>
          <w:i/>
          <w:iCs/>
        </w:rPr>
        <w:t>pagal Reglamentą (ES, Euratomas) 2018/1046</w:t>
      </w:r>
      <w:r w:rsidRPr="006B2C30">
        <w:t xml:space="preserve"> </w:t>
      </w:r>
      <w:r w:rsidRPr="006B2C30">
        <w:rPr>
          <w:b/>
          <w:bCs/>
          <w:i/>
          <w:iCs/>
        </w:rPr>
        <w:t>iš Bendrosios rinkos programos, nustatytos Reglamentu (ES) 2021/690,</w:t>
      </w:r>
      <w:r w:rsidRPr="006B2C30">
        <w:t xml:space="preserve"> skiriamas finansinis įnašas</w:t>
      </w:r>
      <w:r w:rsidRPr="006B2C30">
        <w:rPr>
          <w:b/>
          <w:bCs/>
          <w:i/>
          <w:iCs/>
        </w:rPr>
        <w:t xml:space="preserve"> </w:t>
      </w:r>
      <w:r w:rsidRPr="006B2C30">
        <w:t>šiems tikslams:</w:t>
      </w:r>
    </w:p>
    <w:p w:rsidR="006B2C30" w:rsidRPr="006B2C30" w:rsidRDefault="006B2C30" w:rsidP="006B2C30">
      <w:pPr>
        <w:spacing w:before="120" w:after="120" w:line="360" w:lineRule="auto"/>
        <w:ind w:left="1416" w:hanging="566"/>
        <w:rPr>
          <w:szCs w:val="24"/>
        </w:rPr>
      </w:pPr>
      <w:r w:rsidRPr="006B2C30">
        <w:t>a)</w:t>
      </w:r>
      <w:r w:rsidRPr="006B2C30">
        <w:tab/>
      </w:r>
      <w:r w:rsidRPr="006B2C30">
        <w:rPr>
          <w:b/>
          <w:bCs/>
          <w:i/>
          <w:iCs/>
        </w:rPr>
        <w:t>pritaikyti</w:t>
      </w:r>
      <w:r w:rsidRPr="006B2C30">
        <w:t xml:space="preserve"> </w:t>
      </w:r>
      <w:r w:rsidRPr="006B2C30">
        <w:rPr>
          <w:b/>
          <w:bCs/>
          <w:i/>
          <w:iCs/>
        </w:rPr>
        <w:t>infrastruktūrą ir mokymus nacionalinėje statistikos sistemoje, būtinus norint</w:t>
      </w:r>
      <w:r w:rsidRPr="006B2C30">
        <w:t xml:space="preserve"> rengti ir diegti naujus ar patobulintus duomenų šaltinius, metodikas, būdus dalytis duomenimis, statistinius vienetus, temas, potemes, kintamuosius ir jų suskirstymą;</w:t>
      </w:r>
    </w:p>
    <w:p w:rsidR="006B2C30" w:rsidRPr="006B2C30" w:rsidRDefault="006B2C30" w:rsidP="006B2C30">
      <w:pPr>
        <w:spacing w:before="120" w:after="120" w:line="360" w:lineRule="auto"/>
        <w:ind w:left="1416" w:hanging="566"/>
        <w:rPr>
          <w:szCs w:val="24"/>
        </w:rPr>
      </w:pPr>
      <w:r w:rsidRPr="006B2C30">
        <w:rPr>
          <w:b/>
          <w:i/>
        </w:rPr>
        <w:t>aa)</w:t>
      </w:r>
      <w:r w:rsidRPr="006B2C30">
        <w:tab/>
      </w:r>
      <w:r w:rsidRPr="006B2C30">
        <w:rPr>
          <w:b/>
          <w:bCs/>
          <w:i/>
          <w:iCs/>
        </w:rPr>
        <w:t>parengti ir įgyvendinti ad hoc duomenų rinkimą, kaip nurodyta 7 straipsnyje;</w:t>
      </w:r>
    </w:p>
    <w:p w:rsidR="006B2C30" w:rsidRPr="006B2C30" w:rsidRDefault="006B2C30" w:rsidP="006B2C30">
      <w:pPr>
        <w:spacing w:before="120" w:after="120" w:line="360" w:lineRule="auto"/>
        <w:ind w:left="1416" w:hanging="566"/>
        <w:rPr>
          <w:szCs w:val="24"/>
        </w:rPr>
      </w:pPr>
      <w:r w:rsidRPr="006B2C30">
        <w:t>b)</w:t>
      </w:r>
      <w:r w:rsidRPr="006B2C30">
        <w:tab/>
        <w:t>valstybių narių dalyvavimui 14 straipsnyje nurodytuose reprezentatyviuose bandomuosiuose tyrimuose ir galimybių studijose.</w:t>
      </w:r>
    </w:p>
    <w:p w:rsidR="006B2C30" w:rsidRPr="006B2C30" w:rsidRDefault="006B2C30" w:rsidP="006B2C30">
      <w:pPr>
        <w:spacing w:before="120" w:after="120" w:line="360" w:lineRule="auto"/>
        <w:ind w:left="851" w:hanging="851"/>
        <w:rPr>
          <w:szCs w:val="24"/>
        </w:rPr>
      </w:pPr>
      <w:r w:rsidRPr="006B2C30">
        <w:rPr>
          <w:b/>
          <w:i/>
        </w:rPr>
        <w:t>1a.</w:t>
      </w:r>
      <w:r w:rsidRPr="006B2C30">
        <w:tab/>
      </w:r>
      <w:r w:rsidRPr="006B2C30">
        <w:rPr>
          <w:b/>
          <w:i/>
        </w:rPr>
        <w:t>Pagal šį straipsnį skiriamo Sąjungos finansinio įnašo suma nustatoma laikantis Bendrosios rinkos programos taisyklių vykdant metinę biudžeto procedūrą, atsižvelgiant į turimas lėšas.</w:t>
      </w:r>
    </w:p>
    <w:p w:rsidR="006B2C30" w:rsidRPr="006B2C30" w:rsidRDefault="006B2C30" w:rsidP="006B2C30">
      <w:pPr>
        <w:spacing w:before="120" w:after="120" w:line="360" w:lineRule="auto"/>
        <w:ind w:left="850"/>
        <w:rPr>
          <w:szCs w:val="24"/>
        </w:rPr>
      </w:pPr>
      <w:r w:rsidRPr="006B2C30">
        <w:rPr>
          <w:b/>
          <w:i/>
        </w:rPr>
        <w:t>Be to, nacionalinės statistikos institucijos, nurodytos Reglamento (EB) Nr. 223/2009 5 straipsnio 2 dalyje, gali prašyti paramos pagal kitas taikytinas Europos Sąjungos finansines programas, laikantis tokių programų taisyklių. Valstybės narės taip pat gali prašyti paramos pagal techninės paramos priemonę, kad pagerintų statistinių duomenų kokybę ir parengtų metodikas pagal šio reglamento reikalavimus, atsižvelgdamos į techninės paramos priemonės taisykles ir jos tikslą skatinti duomenų ir statistikos rengimą, teikimą ir kokybės stebėseną.</w:t>
      </w:r>
    </w:p>
    <w:p w:rsidR="006B2C30" w:rsidRPr="006B2C30" w:rsidRDefault="006B2C30" w:rsidP="006B2C30">
      <w:pPr>
        <w:spacing w:before="120" w:after="120" w:line="360" w:lineRule="auto"/>
        <w:ind w:left="850" w:hanging="850"/>
        <w:rPr>
          <w:szCs w:val="24"/>
        </w:rPr>
      </w:pPr>
      <w:r w:rsidRPr="006B2C30">
        <w:t>2.</w:t>
      </w:r>
      <w:r w:rsidRPr="006B2C30">
        <w:tab/>
        <w:t>Sąjungos finansinis įnašas turi neviršyti 90 proc. tinkamų finansuoti išlaidų.</w:t>
      </w:r>
    </w:p>
    <w:p w:rsidR="006B2C30" w:rsidRPr="006B2C30" w:rsidRDefault="006B2C30" w:rsidP="006B2C30">
      <w:pPr>
        <w:spacing w:before="120" w:after="120" w:line="360" w:lineRule="auto"/>
        <w:jc w:val="center"/>
        <w:rPr>
          <w:szCs w:val="24"/>
        </w:rPr>
      </w:pPr>
      <w:r w:rsidRPr="006B2C30">
        <w:t>16 straipsnis</w:t>
      </w:r>
      <w:r w:rsidRPr="006B2C30">
        <w:br/>
        <w:t>Sąjungos finansinių interesų apsauga</w:t>
      </w:r>
    </w:p>
    <w:p w:rsidR="006B2C30" w:rsidRPr="006B2C30" w:rsidRDefault="006B2C30" w:rsidP="006B2C30">
      <w:pPr>
        <w:spacing w:before="120" w:after="120" w:line="360" w:lineRule="auto"/>
        <w:rPr>
          <w:szCs w:val="24"/>
        </w:rPr>
      </w:pPr>
      <w:r w:rsidRPr="006B2C30">
        <w:t>Jei pagal šį reglamentą finansuojamoje veikloje pagal tarptautinį susitarimą priimto sprendimo arba kitos teisinės priemonės pagrindu dalyvauja trečioji valstybė, ji suteikia būtinas teises ir prieigą, reikalingas atsakingam leidimus suteikiančiam pareigūnui, Europos kovos su sukčiavimu tarnybai (OLAF), Audito Rūmams ir EPPO, kad jie galėtų visapusiškai veikti pagal savo atitinkamą kompetenciją. OLAF atveju tokios teisės apima teisę atlikti tyrimus, įskaitant patikrinimus ir inspektavimus vietoje, pagal Europos Parlamento ir Tarybos reglamentą (ES, Euratomas) Nr. 883/2013.</w:t>
      </w:r>
    </w:p>
    <w:p w:rsidR="006B2C30" w:rsidRPr="006B2C30" w:rsidRDefault="006B2C30" w:rsidP="006B2C30">
      <w:pPr>
        <w:spacing w:before="120" w:after="120" w:line="360" w:lineRule="auto"/>
        <w:jc w:val="center"/>
        <w:rPr>
          <w:szCs w:val="24"/>
        </w:rPr>
      </w:pPr>
      <w:r w:rsidRPr="006B2C30">
        <w:lastRenderedPageBreak/>
        <w:t>17 straipsnis</w:t>
      </w:r>
      <w:r w:rsidRPr="006B2C30">
        <w:br/>
        <w:t>Įgaliojimų delegavimas</w:t>
      </w:r>
    </w:p>
    <w:p w:rsidR="006B2C30" w:rsidRPr="006B2C30" w:rsidRDefault="006B2C30" w:rsidP="006B2C30">
      <w:pPr>
        <w:spacing w:before="120" w:after="120" w:line="360" w:lineRule="auto"/>
        <w:ind w:left="850" w:hanging="850"/>
        <w:rPr>
          <w:szCs w:val="24"/>
        </w:rPr>
      </w:pPr>
      <w:r w:rsidRPr="006B2C30">
        <w:t>1.</w:t>
      </w:r>
      <w:r w:rsidRPr="006B2C30">
        <w:tab/>
        <w:t>Įgaliojimai priimti deleguotuosius aktus Komisijai suteikiami šiame straipsnyje nustatytomis sąlygomis.</w:t>
      </w:r>
    </w:p>
    <w:p w:rsidR="006B2C30" w:rsidRPr="006B2C30" w:rsidRDefault="006B2C30" w:rsidP="006B2C30">
      <w:pPr>
        <w:spacing w:before="120" w:after="120" w:line="360" w:lineRule="auto"/>
        <w:ind w:left="850" w:hanging="850"/>
        <w:rPr>
          <w:szCs w:val="24"/>
        </w:rPr>
      </w:pPr>
      <w:r w:rsidRPr="006B2C30">
        <w:t>2.</w:t>
      </w:r>
      <w:r w:rsidRPr="006B2C30">
        <w:tab/>
        <w:t>5 straipsnio 3 dalyje, 6 straipsnio 6 dalyje ir 7 straipsnio 2 dalyje nurodyti įgaliojimai priimti deleguotuosius aktus Komisijai suteikiami neribotam laikotarpiui nuo [OL: prašom įrašyti šio reglamento įsigaliojimo datą].</w:t>
      </w:r>
    </w:p>
    <w:p w:rsidR="006B2C30" w:rsidRPr="006B2C30" w:rsidRDefault="006B2C30" w:rsidP="006B2C30">
      <w:pPr>
        <w:spacing w:before="120" w:after="120" w:line="360" w:lineRule="auto"/>
        <w:ind w:left="850" w:hanging="850"/>
        <w:rPr>
          <w:szCs w:val="24"/>
        </w:rPr>
      </w:pPr>
      <w:r w:rsidRPr="006B2C30">
        <w:t>3.</w:t>
      </w:r>
      <w:r w:rsidRPr="006B2C30">
        <w:tab/>
        <w:t xml:space="preserve">Europos Parlamentas arba Taryba gali bet kada atšaukti 5 straipsnio 3 dalyje, 6 straipsnio 6 dalyje ir 7 straipsnio 2 dalyje nurodytus deleguotuosius įgaliojimus. Sprendimu dėl įgaliojimų atšaukimo nutraukiami tame sprendime nurodyti įgaliojimai priimti deleguotuosius aktus. Sprendimas įsigalioja kitą dieną po jo paskelbimo </w:t>
      </w:r>
      <w:r w:rsidRPr="006B2C30">
        <w:rPr>
          <w:i/>
          <w:iCs/>
        </w:rPr>
        <w:t>Europos Sąjungos oficialiajame leidinyje</w:t>
      </w:r>
      <w:r w:rsidRPr="006B2C30">
        <w:t xml:space="preserve"> arba vėlesnę jame nurodytą dieną. Jis nedaro poveikio jau galiojančių deleguotųjų aktų galiojimui.</w:t>
      </w:r>
    </w:p>
    <w:p w:rsidR="006B2C30" w:rsidRPr="006B2C30" w:rsidRDefault="006B2C30" w:rsidP="006B2C30">
      <w:pPr>
        <w:spacing w:before="120" w:after="120" w:line="360" w:lineRule="auto"/>
        <w:ind w:left="850" w:hanging="850"/>
        <w:rPr>
          <w:szCs w:val="24"/>
        </w:rPr>
      </w:pPr>
      <w:r w:rsidRPr="006B2C30">
        <w:t>4.</w:t>
      </w:r>
      <w:r w:rsidRPr="006B2C30">
        <w:tab/>
        <w:t xml:space="preserve">Prieš priimdama deleguotąjį aktą Komisija konsultuojasi su kiekvienos valstybės narės paskirtais ekspertais vadovaudamasi 2016 m. balandžio 13 d. Tarpinstituciniame susitarime dėl geresnės teisėkūros nustatytais principais </w:t>
      </w:r>
      <w:r w:rsidRPr="006B2C30">
        <w:rPr>
          <w:b/>
          <w:bCs/>
          <w:i/>
          <w:iCs/>
        </w:rPr>
        <w:t>ir nuolat informuoja Europos Parlamentą apie vykdomą parengiamąjį darbą</w:t>
      </w:r>
      <w:r w:rsidRPr="006B2C30">
        <w:t>.</w:t>
      </w:r>
    </w:p>
    <w:p w:rsidR="006B2C30" w:rsidRPr="006B2C30" w:rsidRDefault="006B2C30" w:rsidP="006B2C30">
      <w:pPr>
        <w:spacing w:before="120" w:after="120" w:line="360" w:lineRule="auto"/>
        <w:ind w:left="850" w:hanging="850"/>
        <w:rPr>
          <w:szCs w:val="24"/>
        </w:rPr>
      </w:pPr>
      <w:r w:rsidRPr="006B2C30">
        <w:t>5.</w:t>
      </w:r>
      <w:r w:rsidRPr="006B2C30">
        <w:tab/>
        <w:t>Apie priimtą deleguotąjį aktą Komisija nedelsdama vienu metu praneša Europos Parlamentui ir Tarybai.</w:t>
      </w:r>
    </w:p>
    <w:p w:rsidR="006B2C30" w:rsidRPr="006B2C30" w:rsidRDefault="006B2C30" w:rsidP="006B2C30">
      <w:pPr>
        <w:spacing w:before="120" w:after="120" w:line="360" w:lineRule="auto"/>
        <w:ind w:left="850" w:hanging="850"/>
        <w:rPr>
          <w:szCs w:val="24"/>
        </w:rPr>
      </w:pPr>
      <w:r w:rsidRPr="006B2C30">
        <w:t>6.</w:t>
      </w:r>
      <w:r w:rsidRPr="006B2C30">
        <w:tab/>
        <w:t>Pagal 5 straipsnio 3 dalį, 6 straipsnio 6 dalį ir 7 straipsnio 2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rsidR="006B2C30" w:rsidRPr="006B2C30" w:rsidRDefault="006B2C30" w:rsidP="006B2C30">
      <w:pPr>
        <w:spacing w:before="120" w:after="120" w:line="360" w:lineRule="auto"/>
        <w:jc w:val="center"/>
        <w:rPr>
          <w:szCs w:val="24"/>
        </w:rPr>
      </w:pPr>
      <w:r w:rsidRPr="006B2C30">
        <w:t>18 straipsnis</w:t>
      </w:r>
      <w:r w:rsidRPr="006B2C30">
        <w:br/>
        <w:t>Komiteto procedūra</w:t>
      </w:r>
    </w:p>
    <w:p w:rsidR="006B2C30" w:rsidRPr="006B2C30" w:rsidRDefault="006B2C30" w:rsidP="006B2C30">
      <w:pPr>
        <w:spacing w:before="120" w:after="120" w:line="360" w:lineRule="auto"/>
        <w:ind w:left="850" w:hanging="850"/>
        <w:rPr>
          <w:szCs w:val="24"/>
        </w:rPr>
      </w:pPr>
      <w:r w:rsidRPr="006B2C30">
        <w:t>1.</w:t>
      </w:r>
      <w:r w:rsidRPr="006B2C30">
        <w:tab/>
        <w:t>Komisijai padeda Europos statistikos sistemos (ESS) komitetas, įsteigtas Reglamento (EB) Nr. 223/2009 7 straipsniu. Tas komitetas – tai komitetas, kaip nustatyta Reglamente (ES) Nr. 182/2011.</w:t>
      </w:r>
    </w:p>
    <w:p w:rsidR="006B2C30" w:rsidRPr="006B2C30" w:rsidRDefault="006B2C30" w:rsidP="006B2C30">
      <w:pPr>
        <w:spacing w:before="120" w:after="120" w:line="360" w:lineRule="auto"/>
        <w:ind w:left="850" w:hanging="850"/>
        <w:rPr>
          <w:szCs w:val="24"/>
        </w:rPr>
      </w:pPr>
      <w:r w:rsidRPr="006B2C30">
        <w:t>2.</w:t>
      </w:r>
      <w:r w:rsidRPr="006B2C30">
        <w:tab/>
        <w:t>Kai daroma nuoroda į šią dalį, taikomas Reglamento (ES) Nr. 182/2011 5 straipsnis.</w:t>
      </w:r>
    </w:p>
    <w:p w:rsidR="006B2C30" w:rsidRPr="006B2C30" w:rsidRDefault="006B2C30" w:rsidP="006B2C30">
      <w:pPr>
        <w:spacing w:before="120" w:after="120" w:line="360" w:lineRule="auto"/>
        <w:jc w:val="center"/>
        <w:rPr>
          <w:szCs w:val="24"/>
        </w:rPr>
      </w:pPr>
      <w:r w:rsidRPr="006B2C30">
        <w:lastRenderedPageBreak/>
        <w:t>19 straipsnis</w:t>
      </w:r>
      <w:r w:rsidRPr="006B2C30">
        <w:br/>
        <w:t>Nukrypti leidžiančios nuostatos</w:t>
      </w:r>
    </w:p>
    <w:p w:rsidR="006B2C30" w:rsidRPr="006B2C30" w:rsidRDefault="006B2C30" w:rsidP="006B2C30">
      <w:pPr>
        <w:spacing w:before="120" w:after="120" w:line="360" w:lineRule="auto"/>
        <w:ind w:left="850" w:hanging="850"/>
        <w:rPr>
          <w:szCs w:val="24"/>
        </w:rPr>
      </w:pPr>
      <w:r w:rsidRPr="006B2C30">
        <w:t>1.</w:t>
      </w:r>
      <w:r w:rsidRPr="006B2C30">
        <w:tab/>
        <w:t xml:space="preserve">Jei taikant šį reglamentą ▌reikia iš esmės pritaikyti valstybės narės nacionalinę statistikos sistemą, Komisija gali įgyvendinimo aktais leisti </w:t>
      </w:r>
      <w:r w:rsidRPr="006B2C30">
        <w:rPr>
          <w:b/>
          <w:bCs/>
          <w:i/>
          <w:iCs/>
        </w:rPr>
        <w:t>tai</w:t>
      </w:r>
      <w:r w:rsidRPr="006B2C30">
        <w:rPr>
          <w:i/>
          <w:iCs/>
        </w:rPr>
        <w:t xml:space="preserve"> </w:t>
      </w:r>
      <w:r w:rsidRPr="006B2C30">
        <w:t xml:space="preserve">valstybei narei ne ilgesnį kaip </w:t>
      </w:r>
      <w:r w:rsidRPr="006B2C30">
        <w:rPr>
          <w:b/>
          <w:bCs/>
          <w:i/>
          <w:iCs/>
        </w:rPr>
        <w:t>septynerių</w:t>
      </w:r>
      <w:r w:rsidRPr="006B2C30">
        <w:t xml:space="preserve"> metų laikotarpį taikyti nukrypti leidžiančias nuostatas.</w:t>
      </w:r>
    </w:p>
    <w:p w:rsidR="006B2C30" w:rsidRPr="006B2C30" w:rsidRDefault="006B2C30" w:rsidP="006B2C30">
      <w:pPr>
        <w:spacing w:before="120" w:after="120" w:line="360" w:lineRule="auto"/>
        <w:ind w:left="850" w:hanging="850"/>
        <w:rPr>
          <w:szCs w:val="24"/>
        </w:rPr>
      </w:pPr>
      <w:r w:rsidRPr="006B2C30">
        <w:rPr>
          <w:b/>
          <w:i/>
        </w:rPr>
        <w:t>1a.</w:t>
      </w:r>
      <w:r w:rsidRPr="006B2C30">
        <w:tab/>
      </w:r>
      <w:r w:rsidRPr="006B2C30">
        <w:rPr>
          <w:b/>
          <w:i/>
        </w:rPr>
        <w:t xml:space="preserve">Jei taikant pagal šį reglamentą priimtus deleguotuosius arba įgyvendinimo aktus reikia esminių valstybės narės nacionalinės statistikos sistemos pakeitimų, Komisija gali įgyvendinimo aktais leisti tai valstybei narei ne ilgesnį kaip trejų metų laikotarpį taikyti nukrypti leidžiančias nuostatas. </w:t>
      </w:r>
    </w:p>
    <w:p w:rsidR="006B2C30" w:rsidRPr="006B2C30" w:rsidRDefault="006B2C30" w:rsidP="006B2C30">
      <w:pPr>
        <w:spacing w:before="120" w:after="120" w:line="360" w:lineRule="auto"/>
        <w:ind w:left="850" w:hanging="850"/>
        <w:rPr>
          <w:szCs w:val="24"/>
        </w:rPr>
      </w:pPr>
      <w:r w:rsidRPr="006B2C30">
        <w:t>2.</w:t>
      </w:r>
      <w:r w:rsidRPr="006B2C30">
        <w:tab/>
        <w:t>Leisdama taikyti nukrypti leidžiančias nuostatas pagal šio straipsnio 1 dalį Komisija atsižvelgia į valstybių narių statistinių duomenų palyginamumą ir reikiamų reprezentatyvių ir patikimų Europos suvestinių rodiklių apskaičiavimą laiku. Leisdama taikyti tas nukrypti leidžiančias nuostatas Komisija taip pat užtikrina, kad reikalavimai, susiję su statistika, metaduomenimis ir kokybe, kuriems taikomas šis reglamentas ir kuriems anksčiau buvo taikomas Reglamentas (ES) Nr. 1260/2013 arba Reglamento (EB) Nr. 862/2007 3 straipsnis, būtų taikomi nepertraukiamai.</w:t>
      </w:r>
    </w:p>
    <w:p w:rsidR="006B2C30" w:rsidRPr="006B2C30" w:rsidRDefault="006B2C30" w:rsidP="006B2C30">
      <w:pPr>
        <w:spacing w:before="120" w:after="120" w:line="360" w:lineRule="auto"/>
        <w:ind w:left="850" w:hanging="850"/>
        <w:rPr>
          <w:szCs w:val="24"/>
        </w:rPr>
      </w:pPr>
      <w:r w:rsidRPr="006B2C30">
        <w:t>3.</w:t>
      </w:r>
      <w:r w:rsidRPr="006B2C30">
        <w:tab/>
        <w:t>Per du mėnesius nuo atitinkamo akto įsigaliojimo dienos valstybė narė pateikia Komisijai tinkamai pagrįstą prašymą dėl nukrypti leidžiančios nuostatos.</w:t>
      </w:r>
    </w:p>
    <w:p w:rsidR="006B2C30" w:rsidRPr="006B2C30" w:rsidRDefault="006B2C30" w:rsidP="006B2C30">
      <w:pPr>
        <w:spacing w:before="120" w:after="120" w:line="360" w:lineRule="auto"/>
        <w:ind w:left="850" w:hanging="850"/>
        <w:rPr>
          <w:szCs w:val="24"/>
        </w:rPr>
      </w:pPr>
      <w:r w:rsidRPr="006B2C30">
        <w:t>4.</w:t>
      </w:r>
      <w:r w:rsidRPr="006B2C30">
        <w:tab/>
        <w:t>Šio straipsnio 1</w:t>
      </w:r>
      <w:r w:rsidRPr="006B2C30">
        <w:rPr>
          <w:b/>
          <w:bCs/>
          <w:i/>
          <w:iCs/>
        </w:rPr>
        <w:t>, 1a ir 3 dalyse</w:t>
      </w:r>
      <w:r w:rsidRPr="006B2C30">
        <w:t xml:space="preserve"> nurodytus įgyvendinimo aktus Komisija priima laikydamasi 18 straipsnio 2 dalyje nurodytos nagrinėjimo procedūros.</w:t>
      </w:r>
    </w:p>
    <w:p w:rsidR="006B2C30" w:rsidRPr="006B2C30" w:rsidRDefault="006B2C30" w:rsidP="006B2C30">
      <w:pPr>
        <w:spacing w:before="120" w:after="120" w:line="360" w:lineRule="auto"/>
        <w:jc w:val="center"/>
        <w:rPr>
          <w:szCs w:val="24"/>
        </w:rPr>
      </w:pPr>
      <w:r w:rsidRPr="006B2C30">
        <w:t>20 straipsnis</w:t>
      </w:r>
      <w:r w:rsidRPr="006B2C30">
        <w:br/>
        <w:t>Reglamento (EB) Nr. 862/2007 daliniai pakeitimai</w:t>
      </w:r>
    </w:p>
    <w:p w:rsidR="006B2C30" w:rsidRPr="006B2C30" w:rsidRDefault="006B2C30" w:rsidP="006B2C30">
      <w:pPr>
        <w:spacing w:before="120" w:after="120" w:line="360" w:lineRule="auto"/>
        <w:rPr>
          <w:szCs w:val="24"/>
        </w:rPr>
      </w:pPr>
      <w:r w:rsidRPr="006B2C30">
        <w:t>Reglamentas (EB) Nr. 862/2007 iš dalies keičiamas taip:</w:t>
      </w:r>
    </w:p>
    <w:p w:rsidR="006B2C30" w:rsidRPr="006B2C30" w:rsidRDefault="006B2C30" w:rsidP="006B2C30">
      <w:pPr>
        <w:spacing w:before="120" w:after="120" w:line="360" w:lineRule="auto"/>
        <w:ind w:left="850" w:hanging="850"/>
        <w:rPr>
          <w:szCs w:val="24"/>
        </w:rPr>
      </w:pPr>
      <w:r w:rsidRPr="006B2C30">
        <w:t>1)</w:t>
      </w:r>
      <w:r w:rsidRPr="006B2C30">
        <w:tab/>
        <w:t>pavadinimas pakeičiamas taip: „2007 m. liepos 11 d. Reglamentas (EB) Nr. 862/2007 dėl Europos prieglobsčio statistikos ir administracinių bei teisminių procedūrų, susijusių su imigracijos teisės aktais, kuriuo panaikinamas Tarybos reglamentas (EEB) Nr. 311/76 dėl statistinių duomenų rinkimo apie darbuotojus užsieniečius“;</w:t>
      </w:r>
    </w:p>
    <w:p w:rsidR="006B2C30" w:rsidRPr="006B2C30" w:rsidRDefault="006B2C30" w:rsidP="006B2C30">
      <w:pPr>
        <w:spacing w:before="120" w:after="120" w:line="360" w:lineRule="auto"/>
        <w:ind w:left="850" w:hanging="850"/>
        <w:rPr>
          <w:szCs w:val="24"/>
        </w:rPr>
      </w:pPr>
      <w:r w:rsidRPr="006B2C30">
        <w:t>2)</w:t>
      </w:r>
      <w:r w:rsidRPr="006B2C30">
        <w:tab/>
        <w:t>1 straipsnio a ir b punktai išbraukiami;</w:t>
      </w:r>
    </w:p>
    <w:p w:rsidR="006B2C30" w:rsidRPr="006B2C30" w:rsidRDefault="006B2C30" w:rsidP="006B2C30">
      <w:pPr>
        <w:spacing w:before="120" w:after="120" w:line="360" w:lineRule="auto"/>
        <w:ind w:left="850" w:hanging="850"/>
        <w:rPr>
          <w:szCs w:val="24"/>
        </w:rPr>
      </w:pPr>
      <w:r w:rsidRPr="006B2C30">
        <w:t>3)</w:t>
      </w:r>
      <w:r w:rsidRPr="006B2C30">
        <w:tab/>
        <w:t>2 straipsnio 1 dalies a, b, c, f ir g punktai išbraukiami;</w:t>
      </w:r>
    </w:p>
    <w:p w:rsidR="006B2C30" w:rsidRPr="006B2C30" w:rsidRDefault="006B2C30" w:rsidP="006B2C30">
      <w:pPr>
        <w:spacing w:before="120" w:after="120" w:line="360" w:lineRule="auto"/>
        <w:ind w:left="850" w:hanging="850"/>
        <w:rPr>
          <w:b/>
          <w:i/>
          <w:szCs w:val="24"/>
        </w:rPr>
      </w:pPr>
      <w:r w:rsidRPr="006B2C30">
        <w:rPr>
          <w:b/>
          <w:i/>
        </w:rPr>
        <w:lastRenderedPageBreak/>
        <w:t>3a)</w:t>
      </w:r>
      <w:r w:rsidRPr="006B2C30">
        <w:tab/>
      </w:r>
      <w:r w:rsidRPr="006B2C30">
        <w:rPr>
          <w:b/>
          <w:i/>
        </w:rPr>
        <w:t xml:space="preserve">2 straipsnio 1 dalies d punktas pakeičiamas taip: </w:t>
      </w:r>
    </w:p>
    <w:p w:rsidR="006B2C30" w:rsidRPr="006B2C30" w:rsidRDefault="006B2C30" w:rsidP="006B2C30">
      <w:pPr>
        <w:spacing w:before="120" w:after="120" w:line="360" w:lineRule="auto"/>
        <w:ind w:left="850"/>
        <w:rPr>
          <w:szCs w:val="24"/>
        </w:rPr>
      </w:pPr>
      <w:r w:rsidRPr="006B2C30">
        <w:rPr>
          <w:b/>
          <w:i/>
        </w:rPr>
        <w:t>„d)</w:t>
      </w:r>
      <w:r w:rsidRPr="006B2C30">
        <w:rPr>
          <w:b/>
          <w:i/>
        </w:rPr>
        <w:tab/>
      </w:r>
      <w:r w:rsidRPr="006B2C30">
        <w:t>„</w:t>
      </w:r>
      <w:r w:rsidRPr="006B2C30">
        <w:rPr>
          <w:b/>
          <w:bCs/>
          <w:i/>
          <w:iCs/>
        </w:rPr>
        <w:t>pilietybė“ – pilietybė, kaip apibrėžta Europos Parlamento ir Tarybos reglamento (ES) .../...</w:t>
      </w:r>
      <w:r w:rsidRPr="006B2C30">
        <w:rPr>
          <w:b/>
          <w:bCs/>
          <w:i/>
          <w:iCs/>
          <w:vertAlign w:val="superscript"/>
        </w:rPr>
        <w:t>*</w:t>
      </w:r>
      <w:r w:rsidRPr="006B2C30">
        <w:rPr>
          <w:noProof/>
          <w:w w:val="0"/>
          <w:szCs w:val="24"/>
          <w:vertAlign w:val="superscript"/>
          <w:lang w:eastAsia="en-US"/>
        </w:rPr>
        <w:footnoteReference w:customMarkFollows="1" w:id="33"/>
        <w:t>+</w:t>
      </w:r>
      <w:r w:rsidRPr="006B2C30">
        <w:rPr>
          <w:b/>
          <w:bCs/>
          <w:i/>
          <w:iCs/>
        </w:rPr>
        <w:t xml:space="preserve"> 2 straipsnio 1 punkte“;</w:t>
      </w:r>
    </w:p>
    <w:p w:rsidR="006B2C30" w:rsidRPr="006B2C30" w:rsidRDefault="006B2C30" w:rsidP="006B2C30">
      <w:pPr>
        <w:spacing w:before="120" w:after="120" w:line="360" w:lineRule="auto"/>
        <w:ind w:left="850" w:hanging="850"/>
        <w:rPr>
          <w:szCs w:val="24"/>
        </w:rPr>
      </w:pPr>
      <w:r w:rsidRPr="006B2C30">
        <w:t>4)</w:t>
      </w:r>
      <w:r w:rsidRPr="006B2C30">
        <w:tab/>
        <w:t>3 straipsnis išbraukiamas;</w:t>
      </w:r>
    </w:p>
    <w:p w:rsidR="006B2C30" w:rsidRPr="006B2C30" w:rsidRDefault="006B2C30" w:rsidP="006B2C30">
      <w:pPr>
        <w:spacing w:before="120" w:after="120" w:line="360" w:lineRule="auto"/>
        <w:ind w:left="850" w:hanging="850"/>
        <w:rPr>
          <w:szCs w:val="24"/>
        </w:rPr>
      </w:pPr>
      <w:r w:rsidRPr="006B2C30">
        <w:t>5)</w:t>
      </w:r>
      <w:r w:rsidRPr="006B2C30">
        <w:tab/>
        <w:t>įterpiamas šis straipsnis:</w:t>
      </w:r>
    </w:p>
    <w:p w:rsidR="006B2C30" w:rsidRPr="006B2C30" w:rsidRDefault="006B2C30" w:rsidP="006B2C30">
      <w:pPr>
        <w:spacing w:before="120" w:after="120" w:line="360" w:lineRule="auto"/>
        <w:ind w:left="850"/>
        <w:rPr>
          <w:szCs w:val="24"/>
        </w:rPr>
      </w:pPr>
      <w:r w:rsidRPr="006B2C30">
        <w:t>„9c straipsnis</w:t>
      </w:r>
      <w:r w:rsidR="00235383">
        <w:br/>
      </w:r>
      <w:r w:rsidRPr="006B2C30">
        <w:t>Savalaikė prieiga prie administracinių duomenų ir pakartotinis jų naudojimas</w:t>
      </w:r>
    </w:p>
    <w:p w:rsidR="006B2C30" w:rsidRPr="006B2C30" w:rsidRDefault="006B2C30" w:rsidP="006B2C30">
      <w:pPr>
        <w:spacing w:before="120" w:after="120" w:line="360" w:lineRule="auto"/>
        <w:ind w:left="1416" w:hanging="566"/>
        <w:rPr>
          <w:szCs w:val="24"/>
        </w:rPr>
      </w:pPr>
      <w:r w:rsidRPr="006B2C30">
        <w:t>1.</w:t>
      </w:r>
      <w:r w:rsidRPr="006B2C30">
        <w:tab/>
      </w:r>
      <w:r w:rsidRPr="006B2C30">
        <w:rPr>
          <w:b/>
          <w:bCs/>
          <w:i/>
          <w:iCs/>
        </w:rPr>
        <w:t>Pagal Reglamento (ES) Nr. 223/2009 17a straipsnį</w:t>
      </w:r>
      <w:r w:rsidRPr="006B2C30">
        <w:t xml:space="preserve"> nacionalinės institucijos, atsakingos už administracinių duomenų šaltinius, svarbius šio reglamento tikslams, leidžia pakartotinai naudoti tuos duomenis tokiu laiku ir dažnumu, kad būtų galima parengti ir pateikti statistinius duomenis laikantis terminų ir konkrečių kokybės reikalavimų, nustatytų šiame reglamente. </w:t>
      </w:r>
      <w:r w:rsidRPr="006B2C30">
        <w:rPr>
          <w:b/>
          <w:bCs/>
          <w:i/>
          <w:iCs/>
        </w:rPr>
        <w:t xml:space="preserve">Nacionalinės statistikos institucijos ir už administracinius įrašus atsakingos nacionalinės institucijos nustato būtinus </w:t>
      </w:r>
      <w:r w:rsidRPr="006B2C30">
        <w:t>bendradarbiavimo</w:t>
      </w:r>
      <w:r w:rsidRPr="006B2C30">
        <w:rPr>
          <w:b/>
          <w:bCs/>
          <w:i/>
          <w:iCs/>
        </w:rPr>
        <w:t xml:space="preserve"> mechanizmus, skirtus savalaikei ir nemokamai prieigai prie tų įrašų</w:t>
      </w:r>
      <w:r w:rsidRPr="006B2C30">
        <w:t>.</w:t>
      </w:r>
    </w:p>
    <w:p w:rsidR="006B2C30" w:rsidRPr="006B2C30" w:rsidRDefault="006B2C30" w:rsidP="006B2C30">
      <w:pPr>
        <w:spacing w:before="120" w:after="120" w:line="360" w:lineRule="auto"/>
        <w:ind w:left="1416" w:hanging="566"/>
        <w:rPr>
          <w:szCs w:val="24"/>
        </w:rPr>
      </w:pPr>
      <w:r w:rsidRPr="006B2C30">
        <w:t>2.</w:t>
      </w:r>
      <w:r w:rsidRPr="006B2C30">
        <w:tab/>
        <w:t xml:space="preserve">Šio reglamento tikslais Komisijai (Eurostatui), pateikus prašymą, suteikiama savalaikė prieiga prie Sąjungos įstaigų ir agentūrų tvarkomų duomenų bazių ir sąveikumo sistemų atitinkamų duomenų ir metaduomenų, be kita ko, pagal reglamentus (ES) Nr. 910/2014 ir (ES) 2018/1724, ir prie centrinėje ataskaitų ir statistinių duomenų saugykloje (CASS) saugomų statistinių duomenų </w:t>
      </w:r>
      <w:r w:rsidRPr="006B2C30">
        <w:rPr>
          <w:b/>
          <w:bCs/>
          <w:i/>
          <w:iCs/>
        </w:rPr>
        <w:t>ir leidžiama juos pakartotinai naudoti.</w:t>
      </w:r>
      <w:r w:rsidRPr="006B2C30">
        <w:rPr>
          <w:b/>
          <w:i/>
        </w:rPr>
        <w:t xml:space="preserve"> </w:t>
      </w:r>
      <w:r w:rsidRPr="006B2C30">
        <w:rPr>
          <w:b/>
          <w:bCs/>
          <w:i/>
          <w:iCs/>
        </w:rPr>
        <w:t xml:space="preserve">Visų pirma Komisija (Eurostatas) per CASS turi prieigą prie sąveikių didelės apimties IT sistemų laisvės, saugumo ir teisingumo erdvėje duomenų, </w:t>
      </w:r>
      <w:r w:rsidRPr="006B2C30">
        <w:t>laikantis reglamentų (ES) 2019/817 ir (ES) 2019/818 ir reglamentų, kuriais nustatomos sistemos, kurių statistiniai duomenys saugomi CASS. Tuo tikslu Komisija (Eurostatas) taip pat bendradarbiauja su atitinkamomis Sąjungos įstaigomis ir agentūromis, kad būtų nustatyti specialūs statistiniai duomenys ir metaduomenys, reikalingi, kai tai įmanoma pagal Sąjungos teisę, Europos gyventojų ir būstų statistikai rengti, jų teikimo sąlygos ir būtinos fizinės bei loginės apsaugos priemonės.“;</w:t>
      </w:r>
    </w:p>
    <w:p w:rsidR="006B2C30" w:rsidRPr="006B2C30" w:rsidRDefault="006B2C30" w:rsidP="006B2C30">
      <w:pPr>
        <w:spacing w:before="120" w:after="120" w:line="360" w:lineRule="auto"/>
        <w:ind w:left="850" w:hanging="850"/>
        <w:rPr>
          <w:szCs w:val="24"/>
        </w:rPr>
      </w:pPr>
      <w:r w:rsidRPr="006B2C30">
        <w:lastRenderedPageBreak/>
        <w:t>6)</w:t>
      </w:r>
      <w:r w:rsidRPr="006B2C30">
        <w:tab/>
        <w:t>įterpiamas šis straipsnis:</w:t>
      </w:r>
    </w:p>
    <w:p w:rsidR="006B2C30" w:rsidRPr="006B2C30" w:rsidRDefault="006B2C30" w:rsidP="006B2C30">
      <w:pPr>
        <w:spacing w:before="120" w:after="120" w:line="360" w:lineRule="auto"/>
        <w:ind w:left="850"/>
        <w:rPr>
          <w:szCs w:val="24"/>
        </w:rPr>
      </w:pPr>
      <w:r w:rsidRPr="006B2C30">
        <w:t>„10 straipsnis</w:t>
      </w:r>
      <w:r w:rsidR="00EA4CC2">
        <w:br/>
      </w:r>
      <w:r w:rsidRPr="006B2C30">
        <w:t>Šalių ir teritorijų sąrašai</w:t>
      </w:r>
    </w:p>
    <w:p w:rsidR="006B2C30" w:rsidRPr="006B2C30" w:rsidRDefault="006B2C30" w:rsidP="006B2C30">
      <w:pPr>
        <w:spacing w:before="120" w:after="120" w:line="360" w:lineRule="auto"/>
        <w:ind w:left="850"/>
        <w:rPr>
          <w:szCs w:val="24"/>
        </w:rPr>
      </w:pPr>
      <w:r w:rsidRPr="006B2C30">
        <w:t>Siekiant užtikrinti, kad visoje Europos statistikoje konkreti šalių ir teritorijų informacija būtų palyginama, rengiant statistinius duomenis pagal šį reglamentą taikomi Reglamento (ES) .../...</w:t>
      </w:r>
      <w:r w:rsidRPr="006B2C30">
        <w:rPr>
          <w:vertAlign w:val="superscript"/>
        </w:rPr>
        <w:t>*</w:t>
      </w:r>
      <w:r w:rsidRPr="006B2C30">
        <w:rPr>
          <w:noProof/>
          <w:w w:val="0"/>
          <w:szCs w:val="24"/>
          <w:vertAlign w:val="superscript"/>
          <w:lang w:eastAsia="en-US"/>
        </w:rPr>
        <w:footnoteReference w:customMarkFollows="1" w:id="34"/>
        <w:t>+</w:t>
      </w:r>
      <w:r w:rsidRPr="006B2C30">
        <w:t xml:space="preserve"> 11 straipsnyje nurodyti šalių ir teritorijų sąrašai. Valstybės narės šiuos sąrašus pirmą kartą taiko pagal šį reglamentą perduotiniems 2026 ataskaitinių metų statistiniams duomenims.</w:t>
      </w:r>
    </w:p>
    <w:p w:rsidR="006B2C30" w:rsidRPr="006B2C30" w:rsidRDefault="006B2C30" w:rsidP="006B2C30">
      <w:pPr>
        <w:spacing w:before="120" w:after="120" w:line="360" w:lineRule="auto"/>
        <w:ind w:left="1418" w:hanging="567"/>
        <w:rPr>
          <w:szCs w:val="24"/>
        </w:rPr>
      </w:pPr>
      <w:r w:rsidRPr="006B2C30">
        <w:t>________</w:t>
      </w:r>
    </w:p>
    <w:p w:rsidR="006B2C30" w:rsidRPr="006B2C30" w:rsidDel="0009248B" w:rsidRDefault="006B2C30" w:rsidP="006B2C30">
      <w:pPr>
        <w:spacing w:before="120" w:after="120" w:line="360" w:lineRule="auto"/>
        <w:ind w:left="1418" w:hanging="567"/>
        <w:rPr>
          <w:szCs w:val="24"/>
        </w:rPr>
      </w:pPr>
      <w:r w:rsidRPr="006B2C30">
        <w:rPr>
          <w:vertAlign w:val="superscript"/>
        </w:rPr>
        <w:t>*</w:t>
      </w:r>
      <w:r w:rsidRPr="006B2C30">
        <w:tab/>
        <w:t>Europos Parlamento ir Tarybos reglamentas (ES) .../... dėl Europos gyventojų ir būstų statistikos, kuriuo iš dalies keičiamas Reglamentas (EB) Nr. 862/2007 ir panaikinami reglamentai (EB) Nr. 763/2008 ir (ES) Nr. 1260/2013 (OL ...).“.</w:t>
      </w:r>
    </w:p>
    <w:p w:rsidR="006B2C30" w:rsidRPr="006B2C30" w:rsidRDefault="006B2C30" w:rsidP="006B2C30">
      <w:pPr>
        <w:spacing w:before="120" w:after="120" w:line="360" w:lineRule="auto"/>
        <w:jc w:val="center"/>
        <w:rPr>
          <w:szCs w:val="24"/>
        </w:rPr>
      </w:pPr>
      <w:r w:rsidRPr="006B2C30">
        <w:t>21 straipsnis</w:t>
      </w:r>
      <w:r w:rsidRPr="006B2C30">
        <w:br/>
        <w:t>Panaikinimas</w:t>
      </w:r>
    </w:p>
    <w:p w:rsidR="006B2C30" w:rsidRPr="006B2C30" w:rsidRDefault="006B2C30" w:rsidP="006B2C30">
      <w:pPr>
        <w:spacing w:before="120" w:after="120" w:line="360" w:lineRule="auto"/>
        <w:rPr>
          <w:szCs w:val="24"/>
        </w:rPr>
      </w:pPr>
      <w:r w:rsidRPr="006B2C30">
        <w:t>Reglamentai (EB) Nr. 763/2008 ir (ES) Nr. 1260/2013 panaikinami nuo 2026 m. sausio 1 d., nedarant poveikio tuose teisės aktuose nustatytoms pareigoms, susijusioms su ataskaitiniais laikotarpiais, kurie yra ankstesni arba iš dalies ankstesni nei ta data.</w:t>
      </w:r>
    </w:p>
    <w:p w:rsidR="006B2C30" w:rsidRPr="006B2C30" w:rsidRDefault="006B2C30" w:rsidP="006B2C30">
      <w:pPr>
        <w:spacing w:before="120" w:after="120" w:line="360" w:lineRule="auto"/>
        <w:rPr>
          <w:szCs w:val="24"/>
        </w:rPr>
      </w:pPr>
      <w:r w:rsidRPr="006B2C30">
        <w:t>Nuorodos į panaikintus reglamentus laikomos nuorodomis į šį reglamentą.</w:t>
      </w:r>
    </w:p>
    <w:p w:rsidR="006B2C30" w:rsidRPr="006B2C30" w:rsidRDefault="006B2C30" w:rsidP="006B2C30">
      <w:pPr>
        <w:spacing w:before="120" w:after="120" w:line="360" w:lineRule="auto"/>
        <w:jc w:val="center"/>
        <w:rPr>
          <w:szCs w:val="24"/>
        </w:rPr>
      </w:pPr>
      <w:r w:rsidRPr="006B2C30">
        <w:t>22 straipsnis</w:t>
      </w:r>
      <w:r w:rsidRPr="006B2C30">
        <w:br/>
        <w:t>Įsigaliojimas ir taikymas</w:t>
      </w:r>
    </w:p>
    <w:p w:rsidR="006B2C30" w:rsidRPr="006B2C30" w:rsidRDefault="006B2C30" w:rsidP="006B2C30">
      <w:pPr>
        <w:spacing w:before="120" w:after="120" w:line="360" w:lineRule="auto"/>
        <w:rPr>
          <w:szCs w:val="24"/>
        </w:rPr>
      </w:pPr>
      <w:r w:rsidRPr="006B2C30">
        <w:t xml:space="preserve">Šis reglamentas įsigalioja dvidešimtą dieną po jo paskelbimo </w:t>
      </w:r>
      <w:bookmarkStart w:id="9" w:name="_GoBack"/>
      <w:r w:rsidRPr="006B2C30">
        <w:rPr>
          <w:i/>
          <w:iCs/>
        </w:rPr>
        <w:t>Europos Sąjungos oficialiajame leidinyje</w:t>
      </w:r>
      <w:bookmarkEnd w:id="9"/>
      <w:r w:rsidRPr="006B2C30">
        <w:t>.</w:t>
      </w:r>
    </w:p>
    <w:p w:rsidR="006B2C30" w:rsidRPr="006B2C30" w:rsidRDefault="006B2C30" w:rsidP="006B2C30">
      <w:pPr>
        <w:spacing w:before="120" w:after="120" w:line="360" w:lineRule="auto"/>
        <w:rPr>
          <w:szCs w:val="24"/>
        </w:rPr>
      </w:pPr>
      <w:r w:rsidRPr="006B2C30">
        <w:t>Jis taikomas nuo 2026 m. sausio 1 d.</w:t>
      </w:r>
    </w:p>
    <w:p w:rsidR="006B2C30" w:rsidRPr="006B2C30" w:rsidRDefault="006B2C30" w:rsidP="006B2C30">
      <w:pPr>
        <w:spacing w:before="120" w:after="120" w:line="360" w:lineRule="auto"/>
        <w:rPr>
          <w:szCs w:val="24"/>
        </w:rPr>
      </w:pPr>
      <w:r w:rsidRPr="006B2C30">
        <w:t>Šis reglamentas privalomas visas ir tiesiogiai taikomas visose valstybėse narėse.</w:t>
      </w:r>
    </w:p>
    <w:p w:rsidR="006B2C30" w:rsidRPr="006B2C30" w:rsidRDefault="006B2C30" w:rsidP="006B2C30">
      <w:pPr>
        <w:keepNext/>
        <w:widowControl/>
        <w:spacing w:before="120" w:line="360" w:lineRule="auto"/>
        <w:rPr>
          <w:szCs w:val="24"/>
        </w:rPr>
      </w:pPr>
      <w:r w:rsidRPr="006B2C30">
        <w:lastRenderedPageBreak/>
        <w:t>Priimta ...</w:t>
      </w:r>
    </w:p>
    <w:p w:rsidR="006B2C30" w:rsidRPr="006B2C30" w:rsidRDefault="006B2C30" w:rsidP="006B2C30">
      <w:pPr>
        <w:keepNext/>
        <w:widowControl/>
        <w:tabs>
          <w:tab w:val="left" w:pos="4252"/>
        </w:tabs>
        <w:spacing w:before="720" w:after="100" w:line="360" w:lineRule="auto"/>
        <w:jc w:val="both"/>
        <w:rPr>
          <w:i/>
          <w:szCs w:val="24"/>
        </w:rPr>
      </w:pPr>
      <w:r w:rsidRPr="006B2C30">
        <w:rPr>
          <w:i/>
        </w:rPr>
        <w:t>Europos Parlamento vardu</w:t>
      </w:r>
      <w:r w:rsidRPr="006B2C30">
        <w:rPr>
          <w:i/>
        </w:rPr>
        <w:tab/>
        <w:t>Tarybos vardu</w:t>
      </w:r>
    </w:p>
    <w:p w:rsidR="006B2C30" w:rsidRPr="006B2C30" w:rsidRDefault="006B2C30" w:rsidP="006B2C30">
      <w:pPr>
        <w:widowControl/>
        <w:tabs>
          <w:tab w:val="left" w:pos="4252"/>
        </w:tabs>
        <w:spacing w:line="360" w:lineRule="auto"/>
        <w:rPr>
          <w:i/>
          <w:szCs w:val="24"/>
        </w:rPr>
      </w:pPr>
      <w:r w:rsidRPr="006B2C30">
        <w:rPr>
          <w:i/>
        </w:rPr>
        <w:t>Pirmininkė</w:t>
      </w:r>
      <w:r w:rsidRPr="006B2C30">
        <w:rPr>
          <w:i/>
        </w:rPr>
        <w:tab/>
        <w:t>Pirmininkas / Pirmininkė</w:t>
      </w:r>
    </w:p>
    <w:p w:rsidR="006B2C30" w:rsidRPr="006B2C30" w:rsidRDefault="006B2C30" w:rsidP="006B2C30">
      <w:pPr>
        <w:widowControl/>
        <w:spacing w:before="120" w:after="120"/>
        <w:jc w:val="center"/>
        <w:rPr>
          <w:rFonts w:eastAsia="Calibri"/>
          <w:b/>
          <w:noProof/>
          <w:szCs w:val="22"/>
          <w:u w:val="single"/>
        </w:rPr>
      </w:pPr>
      <w:r w:rsidRPr="006B2C30">
        <w:br w:type="page"/>
      </w:r>
      <w:r w:rsidRPr="006B2C30">
        <w:rPr>
          <w:b/>
          <w:u w:val="single"/>
        </w:rPr>
        <w:lastRenderedPageBreak/>
        <w:t>PRIEDAS</w:t>
      </w:r>
    </w:p>
    <w:p w:rsidR="006B2C30" w:rsidRPr="006B2C30" w:rsidRDefault="006B2C30" w:rsidP="006B2C30">
      <w:pPr>
        <w:keepNext/>
        <w:widowControl/>
        <w:tabs>
          <w:tab w:val="left" w:pos="850"/>
        </w:tabs>
        <w:spacing w:before="120" w:after="120"/>
        <w:ind w:left="850" w:hanging="850"/>
        <w:jc w:val="center"/>
        <w:outlineLvl w:val="1"/>
        <w:rPr>
          <w:rFonts w:eastAsia="Calibri"/>
          <w:b/>
          <w:noProof/>
          <w:szCs w:val="22"/>
        </w:rPr>
      </w:pPr>
      <w:r w:rsidRPr="006B2C30">
        <w:rPr>
          <w:b/>
        </w:rPr>
        <w:t>Sritys, temos ir potemės, potemių periodiškumas ir ataskaitinis laikas</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6B2C30" w:rsidRPr="006B2C30" w:rsidTr="00235383">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b/>
                <w:noProof/>
                <w:sz w:val="20"/>
                <w:szCs w:val="24"/>
              </w:rPr>
            </w:pPr>
            <w:r w:rsidRPr="006B2C30">
              <w:rPr>
                <w:b/>
                <w:sz w:val="20"/>
              </w:rPr>
              <w:t>Sritis</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b/>
                <w:noProof/>
                <w:sz w:val="20"/>
                <w:szCs w:val="24"/>
              </w:rPr>
            </w:pPr>
            <w:r w:rsidRPr="006B2C30">
              <w:rPr>
                <w:b/>
                <w:sz w:val="20"/>
              </w:rPr>
              <w:t>Tema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b/>
                <w:noProof/>
                <w:sz w:val="20"/>
                <w:szCs w:val="24"/>
              </w:rPr>
            </w:pPr>
            <w:r w:rsidRPr="006B2C30">
              <w:rPr>
                <w:b/>
                <w:sz w:val="20"/>
              </w:rPr>
              <w:t>Potemė</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b/>
                <w:noProof/>
                <w:sz w:val="20"/>
                <w:szCs w:val="24"/>
              </w:rPr>
            </w:pPr>
            <w:r w:rsidRPr="006B2C30">
              <w:rPr>
                <w:b/>
                <w:sz w:val="20"/>
              </w:rPr>
              <w:t xml:space="preserve">Periodiškumas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b/>
                <w:noProof/>
                <w:sz w:val="20"/>
                <w:szCs w:val="24"/>
              </w:rPr>
            </w:pPr>
            <w:r w:rsidRPr="006B2C30">
              <w:rPr>
                <w:b/>
                <w:sz w:val="20"/>
              </w:rPr>
              <w:t>Ataskaitinis laikas (data arba laikotarpis)</w:t>
            </w:r>
          </w:p>
        </w:tc>
      </w:tr>
      <w:tr w:rsidR="006B2C30" w:rsidRPr="006B2C30" w:rsidTr="00235383">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6B2C30" w:rsidRPr="006B2C30" w:rsidRDefault="006B2C30" w:rsidP="006B2C30">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6B2C30" w:rsidRPr="006B2C30" w:rsidRDefault="006B2C30" w:rsidP="006B2C30">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6B2C30" w:rsidRPr="006B2C30" w:rsidRDefault="006B2C30" w:rsidP="006B2C30">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6B2C30" w:rsidRPr="006B2C30" w:rsidRDefault="006B2C30" w:rsidP="006B2C30">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6B2C30" w:rsidRPr="006B2C30" w:rsidRDefault="006B2C30" w:rsidP="006B2C30">
            <w:pPr>
              <w:spacing w:before="120" w:after="120" w:line="276" w:lineRule="auto"/>
              <w:rPr>
                <w:b/>
                <w:noProof/>
                <w:sz w:val="20"/>
                <w:szCs w:val="22"/>
              </w:rPr>
            </w:pPr>
          </w:p>
        </w:tc>
      </w:tr>
      <w:tr w:rsidR="006B2C30" w:rsidRPr="006B2C30" w:rsidTr="00235383">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Demografija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Gyventojų skaičius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Pagrindinės asmens charakteristikos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 xml:space="preserve">MM 06 30 ir </w:t>
            </w:r>
          </w:p>
          <w:p w:rsidR="006B2C30" w:rsidRPr="006B2C30" w:rsidRDefault="006B2C30" w:rsidP="006B2C30">
            <w:pPr>
              <w:spacing w:after="120" w:line="276" w:lineRule="auto"/>
              <w:rPr>
                <w:sz w:val="20"/>
              </w:rPr>
            </w:pPr>
            <w:r w:rsidRPr="006B2C30">
              <w:rPr>
                <w:sz w:val="20"/>
              </w:rPr>
              <w:t>MM 12 31</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MM 12 31</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MM 12 31</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MM 12 31</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Asmens socialinės ir ekonominės charakteristikos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before="120" w:after="120" w:line="360"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MM 12 31</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MM 12 31</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MM 12 31</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Gimstamumas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Gimusių kūdikių skaičius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Mėnuo</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Dirbtiniai abortai</w:t>
            </w:r>
            <w:r w:rsidRPr="006B2C30">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Mirtingumas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Mirusių asmenų skaičius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Mėnuo, savaitė</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Mirusių kūdikių skaičius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Negyvais gimusių kūdikių skaičius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Partnerystės</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Santuokos ir registruotos partnerystės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6B2C30" w:rsidRPr="006B2C30" w:rsidRDefault="006B2C30" w:rsidP="006B2C30">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Asmenų, sudariusių santuoką ar registruotą partnerystę, charakteristikos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6B2C30" w:rsidRPr="006B2C30" w:rsidRDefault="006B2C30" w:rsidP="006B2C30">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Ištuokos ir registruotos partnerystės nutraukimas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Migracija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Imigrantai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Mėnuo</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Emigrantai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b/>
                <w:i/>
                <w:sz w:val="20"/>
              </w:rPr>
            </w:pPr>
            <w:r w:rsidRPr="006B2C30">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b/>
                <w:i/>
                <w:sz w:val="20"/>
              </w:rPr>
            </w:pPr>
            <w:r w:rsidRPr="006B2C30">
              <w:rPr>
                <w:b/>
                <w:i/>
                <w:sz w:val="20"/>
              </w:rPr>
              <w:t>Mėnuo</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Vidaus migracija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 xml:space="preserve">ES valstybių </w:t>
            </w:r>
            <w:r w:rsidRPr="006B2C30">
              <w:rPr>
                <w:sz w:val="20"/>
              </w:rPr>
              <w:lastRenderedPageBreak/>
              <w:t>narių ir Sąjungos pilietybės įgijimas ir praradimas</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lastRenderedPageBreak/>
              <w:t>Pilietybę įgiję asmenys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Pilietybę praradę / pilietybės atsisakę asmenys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Metai</w:t>
            </w:r>
          </w:p>
        </w:tc>
      </w:tr>
      <w:tr w:rsidR="006B2C30" w:rsidRPr="006B2C30" w:rsidTr="00235383">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Būstai</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Gyvenamosios patalpos</w:t>
            </w:r>
          </w:p>
        </w:tc>
        <w:tc>
          <w:tcPr>
            <w:tcW w:w="3402"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Gyvenamųjų patalpų charakteristikos</w:t>
            </w:r>
          </w:p>
        </w:tc>
        <w:tc>
          <w:tcPr>
            <w:tcW w:w="1276"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360" w:lineRule="auto"/>
              <w:jc w:val="center"/>
              <w:rPr>
                <w:noProof/>
                <w:sz w:val="20"/>
                <w:szCs w:val="24"/>
              </w:rPr>
            </w:pPr>
            <w:r w:rsidRPr="006B2C30">
              <w:rPr>
                <w:sz w:val="20"/>
              </w:rPr>
              <w:t>Tradiciniai būstai</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Pagrindinės pastatų charakteristikos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360" w:lineRule="auto"/>
              <w:jc w:val="center"/>
              <w:rPr>
                <w:noProof/>
                <w:sz w:val="20"/>
                <w:szCs w:val="24"/>
              </w:rPr>
            </w:pPr>
            <w:r w:rsidRPr="006B2C30">
              <w:rPr>
                <w:sz w:val="20"/>
              </w:rPr>
              <w:t>Su energija susijusios pastatų charakteristikos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 xml:space="preserve">MA </w:t>
            </w:r>
            <w:r w:rsidRPr="006B2C30">
              <w:rPr>
                <w:sz w:val="20"/>
              </w:rPr>
              <w:br/>
              <w:t>(A nuo 2031 m.)</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Apgyvendinti tradiciniai būstai</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Apgyvendintų tradicinių būstų charakteristikos</w:t>
            </w:r>
          </w:p>
        </w:tc>
        <w:tc>
          <w:tcPr>
            <w:tcW w:w="1276"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Apgyvendintų tradicinių būstų naudojimas</w:t>
            </w:r>
          </w:p>
        </w:tc>
        <w:tc>
          <w:tcPr>
            <w:tcW w:w="1276"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Šeimos ir namų ūkiai</w:t>
            </w:r>
          </w:p>
        </w:tc>
        <w:tc>
          <w:tcPr>
            <w:tcW w:w="1701"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Šeimos</w:t>
            </w:r>
          </w:p>
        </w:tc>
        <w:tc>
          <w:tcPr>
            <w:tcW w:w="3402"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Šeimų charakteristikos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Namų ūkiai</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Namų ūkių charakteristikos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Asmens padėtis namų ūkyje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6B2C30" w:rsidRPr="006B2C30" w:rsidRDefault="006B2C30" w:rsidP="006B2C30">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MM 12 31</w:t>
            </w:r>
          </w:p>
        </w:tc>
      </w:tr>
      <w:tr w:rsidR="006B2C30" w:rsidRPr="006B2C30" w:rsidTr="00235383">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rPr>
              <w:t>_______________________________________</w:t>
            </w:r>
          </w:p>
        </w:tc>
      </w:tr>
      <w:tr w:rsidR="006B2C30" w:rsidRPr="006B2C30" w:rsidTr="00235383">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6B2C30" w:rsidRPr="006B2C30" w:rsidRDefault="006B2C30" w:rsidP="006B2C30">
            <w:pPr>
              <w:spacing w:after="120" w:line="276" w:lineRule="auto"/>
              <w:rPr>
                <w:sz w:val="20"/>
                <w:lang w:eastAsia="en-US"/>
              </w:rPr>
            </w:pPr>
          </w:p>
        </w:tc>
      </w:tr>
      <w:tr w:rsidR="006B2C30" w:rsidRPr="006B2C30" w:rsidTr="00235383">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B2C30" w:rsidRPr="006B2C30" w:rsidRDefault="006B2C30" w:rsidP="006B2C30">
            <w:pPr>
              <w:spacing w:after="120" w:line="276" w:lineRule="auto"/>
              <w:rPr>
                <w:sz w:val="20"/>
              </w:rPr>
            </w:pPr>
            <w:r w:rsidRPr="006B2C30">
              <w:rPr>
                <w:sz w:val="20"/>
                <w:vertAlign w:val="superscript"/>
              </w:rPr>
              <w:t>1</w:t>
            </w:r>
            <w:r w:rsidRPr="006B2C30">
              <w:rPr>
                <w:sz w:val="20"/>
              </w:rPr>
              <w:t xml:space="preserve"> Teikiama savanoriškai.</w:t>
            </w:r>
          </w:p>
        </w:tc>
      </w:tr>
    </w:tbl>
    <w:p w:rsidR="006B2C30" w:rsidRPr="006B2C30" w:rsidRDefault="006B2C30" w:rsidP="006B2C30">
      <w:pPr>
        <w:spacing w:before="120" w:after="120" w:line="360" w:lineRule="auto"/>
        <w:outlineLvl w:val="0"/>
        <w:rPr>
          <w:b/>
          <w:i/>
          <w:iCs/>
          <w:noProof/>
          <w:szCs w:val="24"/>
          <w:lang w:eastAsia="en-US"/>
        </w:rPr>
      </w:pPr>
    </w:p>
    <w:p w:rsidR="006B2C30" w:rsidRPr="006B2C30" w:rsidRDefault="006B2C30" w:rsidP="006B2C30">
      <w:pPr>
        <w:keepNext/>
        <w:widowControl/>
        <w:tabs>
          <w:tab w:val="left" w:pos="850"/>
        </w:tabs>
        <w:spacing w:before="120" w:after="120"/>
        <w:ind w:left="850" w:hanging="850"/>
        <w:jc w:val="both"/>
        <w:outlineLvl w:val="1"/>
        <w:rPr>
          <w:rFonts w:eastAsia="Calibri"/>
          <w:b/>
          <w:noProof/>
          <w:szCs w:val="22"/>
        </w:rPr>
      </w:pPr>
      <w:r w:rsidRPr="006B2C30">
        <w:rPr>
          <w:b/>
        </w:rPr>
        <w:lastRenderedPageBreak/>
        <w:t>Paaiškinimai</w:t>
      </w:r>
    </w:p>
    <w:tbl>
      <w:tblPr>
        <w:tblW w:w="5660" w:type="dxa"/>
        <w:tblLook w:val="04A0" w:firstRow="1" w:lastRow="0" w:firstColumn="1" w:lastColumn="0" w:noHBand="0" w:noVBand="1"/>
      </w:tblPr>
      <w:tblGrid>
        <w:gridCol w:w="4644"/>
        <w:gridCol w:w="1016"/>
      </w:tblGrid>
      <w:tr w:rsidR="006B2C30" w:rsidRPr="006B2C30" w:rsidTr="00235383">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6B2C30" w:rsidRPr="006B2C30" w:rsidRDefault="006B2C30" w:rsidP="006B2C30">
            <w:pPr>
              <w:keepNext/>
              <w:widowControl/>
              <w:tabs>
                <w:tab w:val="left" w:pos="850"/>
              </w:tabs>
              <w:spacing w:before="120" w:after="120"/>
              <w:ind w:left="850" w:hanging="850"/>
              <w:jc w:val="center"/>
              <w:outlineLvl w:val="1"/>
              <w:rPr>
                <w:rFonts w:eastAsia="Calibri"/>
                <w:b/>
                <w:noProof/>
                <w:sz w:val="20"/>
                <w:szCs w:val="22"/>
              </w:rPr>
            </w:pPr>
            <w:r w:rsidRPr="006B2C30">
              <w:rPr>
                <w:b/>
                <w:sz w:val="20"/>
              </w:rPr>
              <w:t>Periodiškumas</w:t>
            </w:r>
          </w:p>
        </w:tc>
      </w:tr>
      <w:tr w:rsidR="006B2C30" w:rsidRPr="006B2C30" w:rsidTr="00235383">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Ketvirtinis</w:t>
            </w:r>
          </w:p>
        </w:tc>
        <w:tc>
          <w:tcPr>
            <w:tcW w:w="1016" w:type="dxa"/>
            <w:tcBorders>
              <w:top w:val="nil"/>
              <w:left w:val="nil"/>
              <w:bottom w:val="single" w:sz="4" w:space="0" w:color="auto"/>
              <w:right w:val="single" w:sz="8"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Q</w:t>
            </w:r>
          </w:p>
        </w:tc>
      </w:tr>
      <w:tr w:rsidR="006B2C30" w:rsidRPr="006B2C30" w:rsidTr="00235383">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Kas 6 mėnesius</w:t>
            </w:r>
          </w:p>
        </w:tc>
        <w:tc>
          <w:tcPr>
            <w:tcW w:w="1016" w:type="dxa"/>
            <w:tcBorders>
              <w:top w:val="nil"/>
              <w:left w:val="nil"/>
              <w:bottom w:val="single" w:sz="4" w:space="0" w:color="auto"/>
              <w:right w:val="single" w:sz="8"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6M</w:t>
            </w:r>
          </w:p>
        </w:tc>
      </w:tr>
      <w:tr w:rsidR="006B2C30" w:rsidRPr="006B2C30" w:rsidTr="00235383">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Kasmetinis</w:t>
            </w:r>
          </w:p>
        </w:tc>
        <w:tc>
          <w:tcPr>
            <w:tcW w:w="1016" w:type="dxa"/>
            <w:tcBorders>
              <w:top w:val="nil"/>
              <w:left w:val="nil"/>
              <w:bottom w:val="single" w:sz="4" w:space="0" w:color="auto"/>
              <w:right w:val="single" w:sz="8"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A</w:t>
            </w:r>
          </w:p>
        </w:tc>
      </w:tr>
      <w:tr w:rsidR="006B2C30" w:rsidRPr="006B2C30" w:rsidTr="00235383">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Daugiametis (metais, kurie baigiasi skaitmenimis „1“, „5“ ir „8“)</w:t>
            </w:r>
          </w:p>
        </w:tc>
        <w:tc>
          <w:tcPr>
            <w:tcW w:w="1016" w:type="dxa"/>
            <w:tcBorders>
              <w:top w:val="nil"/>
              <w:left w:val="nil"/>
              <w:bottom w:val="single" w:sz="4" w:space="0" w:color="auto"/>
              <w:right w:val="single" w:sz="8"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MA</w:t>
            </w:r>
          </w:p>
        </w:tc>
      </w:tr>
      <w:tr w:rsidR="006B2C30" w:rsidRPr="006B2C30" w:rsidTr="00235383">
        <w:tc>
          <w:tcPr>
            <w:tcW w:w="4644" w:type="dxa"/>
            <w:tcBorders>
              <w:top w:val="nil"/>
              <w:left w:val="single" w:sz="8" w:space="0" w:color="auto"/>
              <w:bottom w:val="single" w:sz="8" w:space="0" w:color="auto"/>
              <w:right w:val="single" w:sz="4"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Kas dešimt metų (metais, kurie baigiasi skaitmeniu „1“)</w:t>
            </w:r>
          </w:p>
        </w:tc>
        <w:tc>
          <w:tcPr>
            <w:tcW w:w="1016" w:type="dxa"/>
            <w:tcBorders>
              <w:top w:val="nil"/>
              <w:left w:val="nil"/>
              <w:bottom w:val="single" w:sz="8" w:space="0" w:color="auto"/>
              <w:right w:val="single" w:sz="8" w:space="0" w:color="auto"/>
            </w:tcBorders>
            <w:shd w:val="clear" w:color="000000" w:fill="FFFFFF"/>
            <w:vAlign w:val="center"/>
            <w:hideMark/>
          </w:tcPr>
          <w:p w:rsidR="006B2C30" w:rsidRPr="006B2C30" w:rsidRDefault="006B2C30" w:rsidP="006B2C30">
            <w:pPr>
              <w:spacing w:before="120" w:after="120" w:line="360" w:lineRule="auto"/>
              <w:jc w:val="center"/>
              <w:rPr>
                <w:noProof/>
                <w:sz w:val="20"/>
                <w:szCs w:val="24"/>
              </w:rPr>
            </w:pPr>
            <w:r w:rsidRPr="006B2C30">
              <w:rPr>
                <w:sz w:val="20"/>
              </w:rPr>
              <w:t>D</w:t>
            </w:r>
          </w:p>
        </w:tc>
      </w:tr>
    </w:tbl>
    <w:p w:rsidR="00E365E1" w:rsidRPr="004653B1" w:rsidRDefault="00E365E1" w:rsidP="00F843C3"/>
    <w:sectPr w:rsidR="00E365E1" w:rsidRPr="004653B1" w:rsidSect="004653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383" w:rsidRPr="004653B1" w:rsidRDefault="00235383">
      <w:r w:rsidRPr="004653B1">
        <w:separator/>
      </w:r>
    </w:p>
  </w:endnote>
  <w:endnote w:type="continuationSeparator" w:id="0">
    <w:p w:rsidR="00235383" w:rsidRPr="004653B1" w:rsidRDefault="00235383">
      <w:r w:rsidRPr="004653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383" w:rsidRPr="004653B1" w:rsidRDefault="0023538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383" w:rsidRPr="004653B1" w:rsidRDefault="0023538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383" w:rsidRPr="004653B1" w:rsidRDefault="0023538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383" w:rsidRPr="004653B1" w:rsidRDefault="00235383">
      <w:r w:rsidRPr="004653B1">
        <w:separator/>
      </w:r>
    </w:p>
  </w:footnote>
  <w:footnote w:type="continuationSeparator" w:id="0">
    <w:p w:rsidR="00235383" w:rsidRPr="004653B1" w:rsidRDefault="00235383">
      <w:r w:rsidRPr="004653B1">
        <w:continuationSeparator/>
      </w:r>
    </w:p>
  </w:footnote>
  <w:footnote w:id="1">
    <w:p w:rsidR="00235383" w:rsidRPr="0011079E" w:rsidRDefault="00235383" w:rsidP="006E25C9">
      <w:pPr>
        <w:pStyle w:val="FootnoteText"/>
        <w:ind w:left="567" w:hanging="567"/>
        <w:rPr>
          <w:sz w:val="24"/>
          <w:szCs w:val="24"/>
          <w:lang w:val="lt-LT"/>
        </w:rPr>
      </w:pPr>
      <w:r w:rsidRPr="0011079E">
        <w:rPr>
          <w:rStyle w:val="FootnoteReference"/>
          <w:sz w:val="24"/>
          <w:szCs w:val="24"/>
          <w:lang w:val="lt-LT"/>
        </w:rPr>
        <w:footnoteRef/>
      </w:r>
      <w:r w:rsidRPr="0011079E">
        <w:rPr>
          <w:sz w:val="24"/>
          <w:szCs w:val="24"/>
          <w:lang w:val="lt-LT"/>
        </w:rPr>
        <w:t xml:space="preserve"> </w:t>
      </w:r>
      <w:r w:rsidRPr="0011079E">
        <w:rPr>
          <w:sz w:val="24"/>
          <w:szCs w:val="24"/>
          <w:lang w:val="lt-LT"/>
        </w:rPr>
        <w:tab/>
        <w:t>OL C 228, 2023 6 29, p. 148.</w:t>
      </w:r>
    </w:p>
  </w:footnote>
  <w:footnote w:id="2">
    <w:p w:rsidR="00235383" w:rsidRPr="00ED33B0" w:rsidRDefault="00235383" w:rsidP="002662EE">
      <w:pPr>
        <w:pStyle w:val="FootnoteText"/>
        <w:ind w:left="567" w:hanging="567"/>
        <w:rPr>
          <w:sz w:val="24"/>
          <w:lang w:val="lt-LT"/>
        </w:rPr>
      </w:pPr>
      <w:r w:rsidRPr="00ED33B0">
        <w:rPr>
          <w:rStyle w:val="FootnoteReference"/>
          <w:sz w:val="24"/>
          <w:lang w:val="lt-LT"/>
        </w:rPr>
        <w:t>*</w:t>
      </w:r>
      <w:r w:rsidRPr="00ED33B0">
        <w:rPr>
          <w:sz w:val="24"/>
          <w:lang w:val="lt-LT"/>
        </w:rPr>
        <w:t xml:space="preserve"> </w:t>
      </w:r>
      <w:r w:rsidRPr="00ED33B0">
        <w:rPr>
          <w:sz w:val="24"/>
          <w:lang w:val="lt-LT"/>
        </w:rPr>
        <w:tab/>
      </w:r>
      <w:r w:rsidRPr="00E22DDE">
        <w:rPr>
          <w:sz w:val="24"/>
          <w:lang w:val="lt-LT"/>
        </w:rPr>
        <w:t xml:space="preserve">Visame tekste padarytų pakeitimų pagrindas – </w:t>
      </w:r>
      <w:r w:rsidR="009F04B9">
        <w:rPr>
          <w:sz w:val="24"/>
          <w:lang w:val="lt-LT"/>
        </w:rPr>
        <w:t>56</w:t>
      </w:r>
      <w:r w:rsidRPr="00E22DDE">
        <w:rPr>
          <w:sz w:val="24"/>
          <w:lang w:val="lt-LT"/>
        </w:rPr>
        <w:t xml:space="preserve"> pakeitimo priėmimas</w:t>
      </w:r>
      <w:r>
        <w:rPr>
          <w:sz w:val="24"/>
          <w:lang w:val="lt-LT"/>
        </w:rPr>
        <w:t>.</w:t>
      </w:r>
      <w:r w:rsidRPr="00ED33B0">
        <w:rPr>
          <w:sz w:val="24"/>
          <w:lang w:val="lt-LT"/>
        </w:rPr>
        <w:t xml:space="preserve"> </w:t>
      </w:r>
      <w:r>
        <w:rPr>
          <w:sz w:val="24"/>
          <w:lang w:val="lt-LT"/>
        </w:rPr>
        <w:t>N</w:t>
      </w:r>
      <w:r w:rsidRPr="00ED33B0">
        <w:rPr>
          <w:sz w:val="24"/>
          <w:lang w:val="lt-LT"/>
        </w:rPr>
        <w:t>aujos arba iš dalies pakeistos teksto dalys žymimos pusjuodžiu kursyvu; išbrauktas tekstas nurodomas simboliu ▌.</w:t>
      </w:r>
    </w:p>
  </w:footnote>
  <w:footnote w:id="3">
    <w:p w:rsidR="00235383" w:rsidRPr="00A909A9" w:rsidRDefault="00235383" w:rsidP="006B2C30">
      <w:pPr>
        <w:pStyle w:val="FootnoteTextForceStyle"/>
        <w:ind w:left="709" w:hanging="709"/>
        <w:rPr>
          <w:szCs w:val="24"/>
        </w:rPr>
      </w:pPr>
      <w:r w:rsidRPr="00A909A9">
        <w:rPr>
          <w:szCs w:val="24"/>
          <w:vertAlign w:val="superscript"/>
        </w:rPr>
        <w:footnoteRef/>
      </w:r>
      <w:r w:rsidRPr="00A909A9">
        <w:rPr>
          <w:szCs w:val="24"/>
        </w:rPr>
        <w:tab/>
        <w:t>OL C ..., …, p. ....</w:t>
      </w:r>
    </w:p>
  </w:footnote>
  <w:footnote w:id="4">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OL C ..., …, p. ....</w:t>
      </w:r>
    </w:p>
  </w:footnote>
  <w:footnote w:id="5">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2019 m. spalio 10 d. Europos Parlamento ir Tarybos reglamentas (ES) 2019/1700, kuriuo nustatoma bendra Europos statistikos, susijusios su asmenimis ir namų ūkiais ir pagrįstos iš imčių surinktais individualaus lygmens duomenimis, sistema, iš dalies keičiami Europos Parlamento ir Tarybos reglamentai (EB) Nr. 808/2004, (EB) Nr. 452/2008 ir (EB) Nr. 1338/2008 ir panaikinami Europos Parlamento ir Tarybos reglamentas (EB) Nr. 1177/2003 ir Tarybos reglamentas (EB) Nr. 577/98 (OL L 261I, 2019 10 14, p. 1).</w:t>
      </w:r>
    </w:p>
  </w:footnote>
  <w:footnote w:id="6">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2013 m. lapkričio 20 d. Europos Parlamento ir Tarybos reglamentas (ES) Nr. 1260/2013 dėl Europos demografinės statistikos (OL L 330, 2013 12 10, p. 39).</w:t>
      </w:r>
    </w:p>
  </w:footnote>
  <w:footnote w:id="7">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2009 m. kovo 11 d. Europos Parlamento ir Tarybos reglamentas (EB) Nr. 223/2009 dėl Europos statistikos, panaikinantis Europos Parlamento ir Tarybos reglamentą (EB, Euratomas) Nr. 1101/2008 dėl konfidencialių statistinių duomenų perdavimo Europos Bendrijų statistikos tarnybai, Tarybos reglamentą (EB) Nr. 322/97 dėl Bendrijos statistikos ir Tarybos sprendimą 89/382/EEB, Euratomas, įsteigiantį Europos Bendrijų statistikos programų komitetą (OL L 87, 2009 3 31, p. 164).</w:t>
      </w:r>
    </w:p>
  </w:footnote>
  <w:footnote w:id="8">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SWD(2023)13.</w:t>
      </w:r>
    </w:p>
  </w:footnote>
  <w:footnote w:id="9">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2007 m. liepos 11 d. Europos Parlamento ir Tarybos reglamentas (EB) Nr. 862/2007 dėl Bendrijos migracijos statistikos ir tarptautinės apsaugos statistikos ir panaikinantis Tarybos reglamentą (EEB) Nr. 311/76 dėl statistinių duomenų rinkimo apie darbuotojus užsieniečius (OL L 199, 2007 7 31, p. 23).</w:t>
      </w:r>
    </w:p>
  </w:footnote>
  <w:footnote w:id="10">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2008 m. liepos 9 d. Europos Parlamento ir Tarybos reglamentas (EB) Nr. 763/2008 dėl gyventojų ir būstų surašymo (OL L 218, 2008 8 13, p. 14).</w:t>
      </w:r>
    </w:p>
  </w:footnote>
  <w:footnote w:id="11">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2003 m. gegužės 26 d. Europos Parlamento ir Tarybos reglamentas (EB) Nr. 1059/2003 dėl bendro teritorinių statistinių vienetų klasifikatoriaus (NUTS) nustatymo (OL L 154, 2003 6 21, p. 1).</w:t>
      </w:r>
    </w:p>
  </w:footnote>
  <w:footnote w:id="12">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2018 m. lapkričio 21 d. Komisijos įgyvendinimo reglamentas (ES) 2018/1799 dėl laikinos tiesioginės statistinio pobūdžio priemonės tam tikroms 2021 m. gyventojų ir būstų surašymo duomenų, geokoduotų 1 km</w:t>
      </w:r>
      <w:r w:rsidRPr="0011079E">
        <w:rPr>
          <w:szCs w:val="24"/>
          <w:vertAlign w:val="superscript"/>
        </w:rPr>
        <w:t>2</w:t>
      </w:r>
      <w:r w:rsidRPr="0011079E">
        <w:rPr>
          <w:szCs w:val="24"/>
        </w:rPr>
        <w:t xml:space="preserve"> gardelių tinklelyje, temoms skleisti (OL L 296, 2018 11 22, p. 19).</w:t>
      </w:r>
    </w:p>
  </w:footnote>
  <w:footnote w:id="13">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2007 m. kovo 14 d. Europos Parlamento ir Tarybos direktyva 2007/2/EB, sukurianti Europos bendrijos erdvinės informacijos infrastruktūrą (INSPIRE) (OL L 108, 2007 4 25, p. 1).</w:t>
      </w:r>
    </w:p>
  </w:footnote>
  <w:footnote w:id="14">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2010 m. gegužės 19 d. Europos Parlamento ir Tarybos direktyva 2010/31/ES dėl pastatų energinio naudingumo (OL L 153, 2010 6 18, p. 13).</w:t>
      </w:r>
    </w:p>
  </w:footnote>
  <w:footnote w:id="15">
    <w:p w:rsidR="00235383" w:rsidRPr="0011079E" w:rsidRDefault="00235383" w:rsidP="006B2C30">
      <w:pPr>
        <w:pStyle w:val="FootnoteTextForceStyle"/>
        <w:ind w:left="709" w:hanging="709"/>
        <w:rPr>
          <w:szCs w:val="24"/>
        </w:rPr>
      </w:pPr>
      <w:r w:rsidRPr="0011079E">
        <w:rPr>
          <w:rStyle w:val="FootnoteReference"/>
          <w:szCs w:val="24"/>
        </w:rPr>
        <w:footnoteRef/>
      </w:r>
      <w:r w:rsidRPr="0011079E">
        <w:rPr>
          <w:szCs w:val="24"/>
        </w:rPr>
        <w:tab/>
      </w:r>
      <w:r>
        <w:rPr>
          <w:szCs w:val="24"/>
        </w:rPr>
        <w:t>2024</w:t>
      </w:r>
      <w:r w:rsidRPr="0011079E">
        <w:rPr>
          <w:szCs w:val="24"/>
        </w:rPr>
        <w:t xml:space="preserve"> m. </w:t>
      </w:r>
      <w:r>
        <w:rPr>
          <w:szCs w:val="24"/>
        </w:rPr>
        <w:t>balandžio 24</w:t>
      </w:r>
      <w:r w:rsidRPr="0011079E">
        <w:rPr>
          <w:szCs w:val="24"/>
        </w:rPr>
        <w:t> d. Europos Parlamento ir Tarybos direktyva (ES) </w:t>
      </w:r>
      <w:r>
        <w:rPr>
          <w:szCs w:val="24"/>
        </w:rPr>
        <w:t>2024</w:t>
      </w:r>
      <w:r w:rsidRPr="0011079E">
        <w:rPr>
          <w:szCs w:val="24"/>
        </w:rPr>
        <w:t>/</w:t>
      </w:r>
      <w:r>
        <w:rPr>
          <w:szCs w:val="24"/>
        </w:rPr>
        <w:t>1275</w:t>
      </w:r>
      <w:r w:rsidRPr="0011079E">
        <w:rPr>
          <w:szCs w:val="24"/>
        </w:rPr>
        <w:t xml:space="preserve"> dėl pastatų energinio naudingumo (nauja redakcija) (OL L </w:t>
      </w:r>
      <w:r>
        <w:rPr>
          <w:szCs w:val="24"/>
        </w:rPr>
        <w:t>2024/1275</w:t>
      </w:r>
      <w:r w:rsidRPr="0011079E">
        <w:rPr>
          <w:szCs w:val="24"/>
        </w:rPr>
        <w:t xml:space="preserve">, </w:t>
      </w:r>
      <w:r>
        <w:rPr>
          <w:szCs w:val="24"/>
        </w:rPr>
        <w:t>2024</w:t>
      </w:r>
      <w:r w:rsidRPr="006B2C30">
        <w:t> </w:t>
      </w:r>
      <w:r>
        <w:rPr>
          <w:szCs w:val="24"/>
        </w:rPr>
        <w:t>5</w:t>
      </w:r>
      <w:r w:rsidRPr="006B2C30">
        <w:t> </w:t>
      </w:r>
      <w:r>
        <w:rPr>
          <w:szCs w:val="24"/>
        </w:rPr>
        <w:t>8</w:t>
      </w:r>
      <w:r w:rsidRPr="0011079E">
        <w:rPr>
          <w:szCs w:val="24"/>
        </w:rPr>
        <w:t>, ELI: </w:t>
      </w:r>
      <w:r w:rsidRPr="00D82399">
        <w:rPr>
          <w:szCs w:val="24"/>
        </w:rPr>
        <w:t>http://data.europa.eu/eli/dir/2024/1275/oj</w:t>
      </w:r>
      <w:r w:rsidRPr="0011079E">
        <w:rPr>
          <w:szCs w:val="24"/>
        </w:rPr>
        <w:t>).</w:t>
      </w:r>
    </w:p>
  </w:footnote>
  <w:footnote w:id="16">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2014 m. liepos 23 d. Europos Parlamento ir Tarybos reglamentas (ES) Nr. 910/2014 dėl elektroninės atpažinties ir elektroninių operacijų patikimumo užtikrinimo paslaugų vidaus rinkoje, kuriuo panaikinama Direktyva 1999/93/EB (OL L 257, 2014 8 28, p. 73).</w:t>
      </w:r>
    </w:p>
  </w:footnote>
  <w:footnote w:id="17">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w:t>
      </w:r>
    </w:p>
  </w:footnote>
  <w:footnote w:id="18">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p>
  </w:footnote>
  <w:footnote w:id="19">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p. 85).</w:t>
      </w:r>
    </w:p>
  </w:footnote>
  <w:footnote w:id="20">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21">
    <w:p w:rsidR="00235383" w:rsidRPr="0011079E" w:rsidRDefault="00235383" w:rsidP="006B2C30">
      <w:pPr>
        <w:pStyle w:val="FootnoteTextForceStyle"/>
        <w:ind w:left="709" w:hanging="709"/>
        <w:rPr>
          <w:szCs w:val="24"/>
        </w:rPr>
      </w:pPr>
      <w:r w:rsidRPr="0011079E">
        <w:rPr>
          <w:rStyle w:val="FootnoteReference"/>
          <w:szCs w:val="24"/>
        </w:rPr>
        <w:footnoteRef/>
      </w:r>
      <w:r w:rsidRPr="0011079E">
        <w:rPr>
          <w:szCs w:val="24"/>
        </w:rPr>
        <w:tab/>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22">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2002 m. liepos 12 d. Europos Parlamento ir Tarybos direktyva 2002/58/EB dėl asmens duomenų tvarkymo ir privatumo apsaugos elektroninių ryšių sektoriuje (Direktyva dėl privatumo ir elektroninių ryšių) (OL L 201, 2002 7 31, p. 37).</w:t>
      </w:r>
    </w:p>
  </w:footnote>
  <w:footnote w:id="23">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OL L 123, 2016 5 12, p. 1.</w:t>
      </w:r>
    </w:p>
  </w:footnote>
  <w:footnote w:id="24">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2021 m. balandžio 28 d. Europos Parlamento ir Tarybos reglamentas (ES) 2021/690, kuriuo nustatoma vidaus rinkos, įmonių, įskaitant mažąsias ir vidutines įmones, konkurencingumo, augalų, gyvūnų, maisto bei pašarų srities ir Europos statistikos programa (Bendrosios rinkos programa) ir panaikinami reglamentai (ES) Nr. 99/2013, (ES) Nr. 1287/2013, (ES) Nr. 254/2014 bei (ES) Nr. 652/2014 (OL L 153, 2021 5 3, p. 1).</w:t>
      </w:r>
    </w:p>
  </w:footnote>
  <w:footnote w:id="25">
    <w:p w:rsidR="00235383" w:rsidRPr="0011079E" w:rsidRDefault="00235383" w:rsidP="006B2C30">
      <w:pPr>
        <w:pStyle w:val="FootnoteTextForceStyle"/>
        <w:ind w:left="709" w:hanging="709"/>
        <w:rPr>
          <w:szCs w:val="24"/>
        </w:rPr>
      </w:pPr>
      <w:r w:rsidRPr="0011079E">
        <w:rPr>
          <w:rStyle w:val="FootnoteReference"/>
          <w:szCs w:val="24"/>
        </w:rPr>
        <w:footnoteRef/>
      </w:r>
      <w:r w:rsidRPr="0011079E">
        <w:rPr>
          <w:szCs w:val="24"/>
        </w:rPr>
        <w:tab/>
        <w:t>2021 m. vasario 10 d. Europos Parlamento ir Tarybos reglamentas (ES) 2021/240, kuriuo nustatoma techninės paramos priemonė (OL L 57, 2021 2 18, p. 1).</w:t>
      </w:r>
    </w:p>
  </w:footnote>
  <w:footnote w:id="26">
    <w:p w:rsidR="00235383" w:rsidRPr="0011079E" w:rsidRDefault="00235383" w:rsidP="006B2C30">
      <w:pPr>
        <w:pStyle w:val="FootnoteTextForceStyle"/>
        <w:ind w:left="709" w:hanging="709"/>
        <w:rPr>
          <w:szCs w:val="24"/>
        </w:rPr>
      </w:pPr>
      <w:r w:rsidRPr="0011079E">
        <w:rPr>
          <w:rStyle w:val="FootnoteReference"/>
          <w:szCs w:val="24"/>
        </w:rPr>
        <w:footnoteRef/>
      </w:r>
      <w:r w:rsidRPr="0011079E">
        <w:rPr>
          <w:szCs w:val="24"/>
        </w:rPr>
        <w:tab/>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w:t>
      </w:r>
      <w:r w:rsidRPr="006B2C30">
        <w:t> </w:t>
      </w:r>
      <w:r w:rsidRPr="0011079E">
        <w:rPr>
          <w:szCs w:val="24"/>
        </w:rPr>
        <w:t>L</w:t>
      </w:r>
      <w:r w:rsidRPr="006B2C30">
        <w:t> </w:t>
      </w:r>
      <w:r w:rsidRPr="0011079E">
        <w:rPr>
          <w:szCs w:val="24"/>
        </w:rPr>
        <w:t>193, 2018</w:t>
      </w:r>
      <w:r w:rsidRPr="006B2C30">
        <w:t> </w:t>
      </w:r>
      <w:r w:rsidRPr="0011079E">
        <w:rPr>
          <w:szCs w:val="24"/>
        </w:rPr>
        <w:t>7</w:t>
      </w:r>
      <w:r w:rsidRPr="006B2C30">
        <w:t> </w:t>
      </w:r>
      <w:r w:rsidRPr="0011079E">
        <w:rPr>
          <w:szCs w:val="24"/>
        </w:rPr>
        <w:t>30, p. 1).</w:t>
      </w:r>
    </w:p>
  </w:footnote>
  <w:footnote w:id="27">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2013 m. rugsėjo 11 d. Europos Parlamento ir Tarybos reglamentas (ES, Euratomas) Nr. 883/2013 dėl Europos kovos su sukčiavimu tarnybos (OLAF) atliekamų tyrimų ir kuriuo panaikinami Europos Parlamento ir Tarybos reglamentas (EB) Nr. 1073/1999 ir Tarybos reglamentas (Euratomas) Nr. 1074/1999 (OL</w:t>
      </w:r>
      <w:r w:rsidRPr="006B2C30">
        <w:t> </w:t>
      </w:r>
      <w:r w:rsidRPr="0011079E">
        <w:rPr>
          <w:szCs w:val="24"/>
        </w:rPr>
        <w:t>L</w:t>
      </w:r>
      <w:r w:rsidRPr="006B2C30">
        <w:t> </w:t>
      </w:r>
      <w:r w:rsidRPr="0011079E">
        <w:rPr>
          <w:szCs w:val="24"/>
        </w:rPr>
        <w:t>248, 2013</w:t>
      </w:r>
      <w:r w:rsidRPr="006B2C30">
        <w:t> </w:t>
      </w:r>
      <w:r w:rsidRPr="0011079E">
        <w:rPr>
          <w:szCs w:val="24"/>
        </w:rPr>
        <w:t>9</w:t>
      </w:r>
      <w:r w:rsidRPr="006B2C30">
        <w:t> </w:t>
      </w:r>
      <w:r w:rsidRPr="0011079E">
        <w:rPr>
          <w:szCs w:val="24"/>
        </w:rPr>
        <w:t>18, p. 1).</w:t>
      </w:r>
    </w:p>
  </w:footnote>
  <w:footnote w:id="28">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1995 m. gruodžio 18 d. Tarybos reglamentas (EB, Euratomas) Nr. 2988/95 dėl Europos Bendrijų finansinių interesų apsaugos (OL L 312, 1995 12 23, p. 1).</w:t>
      </w:r>
    </w:p>
  </w:footnote>
  <w:footnote w:id="29">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1996 m. lapkričio 11 d. Tarybos reglamentas (Euratomas, EB) Nr. 2185/96 dėl Komisijos atliekamų patikrinimų ir inspektavimų vietoje siekiant apsaugoti Europos Bendrijų finansinius interesus nuo sukčiavimo ir kitų pažeidimų (OL L 292, 1996 11 15, p. 2).</w:t>
      </w:r>
    </w:p>
  </w:footnote>
  <w:footnote w:id="30">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2017 m. spalio 12 d. Tarybos reglamentas (ES) 2017/1939, kuriuo įgyvendinamas tvirtesnis bendradarbiavimas Europos prokuratūros įsteigimo srityje (OL L 283, 2017 10 31, p. 1).</w:t>
      </w:r>
    </w:p>
  </w:footnote>
  <w:footnote w:id="31">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2017 m. liepos 5 d. Europos Parlamento ir Tarybos direktyva (ES) 2017/1371 dėl kovos su Sąjungos finansiniams interesams kenkiančiu sukčiavimu baudžiamosios teisės priemonėmis (OL L 198, 2017 7 28, p. 29).</w:t>
      </w:r>
    </w:p>
  </w:footnote>
  <w:footnote w:id="32">
    <w:p w:rsidR="00235383" w:rsidRPr="0011079E" w:rsidRDefault="00235383" w:rsidP="006B2C30">
      <w:pPr>
        <w:pStyle w:val="FootnoteTextForceStyle"/>
        <w:ind w:left="709" w:hanging="709"/>
        <w:rPr>
          <w:szCs w:val="24"/>
        </w:rPr>
      </w:pPr>
      <w:r w:rsidRPr="0011079E">
        <w:rPr>
          <w:szCs w:val="24"/>
          <w:vertAlign w:val="superscript"/>
        </w:rPr>
        <w:footnoteRef/>
      </w:r>
      <w:r w:rsidRPr="0011079E">
        <w:rPr>
          <w:szCs w:val="24"/>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33">
    <w:p w:rsidR="00235383" w:rsidRPr="0011079E" w:rsidRDefault="00235383" w:rsidP="006B2C30">
      <w:pPr>
        <w:pStyle w:val="FootnoteText"/>
        <w:ind w:left="709" w:hanging="709"/>
        <w:rPr>
          <w:sz w:val="24"/>
          <w:szCs w:val="24"/>
          <w:lang w:val="lt-LT"/>
        </w:rPr>
      </w:pPr>
      <w:r w:rsidRPr="0011079E">
        <w:rPr>
          <w:rStyle w:val="FootnoteReference"/>
          <w:sz w:val="24"/>
          <w:szCs w:val="24"/>
          <w:lang w:val="lt-LT"/>
        </w:rPr>
        <w:t>+</w:t>
      </w:r>
      <w:r w:rsidRPr="0011079E">
        <w:rPr>
          <w:sz w:val="24"/>
          <w:szCs w:val="24"/>
          <w:lang w:val="lt-LT"/>
        </w:rPr>
        <w:tab/>
      </w:r>
      <w:bookmarkStart w:id="8" w:name="_Hlk159427958"/>
      <w:r w:rsidRPr="0011079E">
        <w:rPr>
          <w:sz w:val="24"/>
          <w:szCs w:val="24"/>
          <w:lang w:val="lt-LT"/>
        </w:rPr>
        <w:t>OL: prašom tekste įrašyti dokumente (2023/0008(COD)) pateikiamo reglamento numerį</w:t>
      </w:r>
      <w:bookmarkEnd w:id="8"/>
      <w:r w:rsidRPr="0011079E">
        <w:rPr>
          <w:sz w:val="24"/>
          <w:szCs w:val="24"/>
          <w:lang w:val="lt-LT"/>
        </w:rPr>
        <w:t>, o išnašoje – to reglamento numerį, datą, pavadinimą ir OL nuorodą.</w:t>
      </w:r>
    </w:p>
  </w:footnote>
  <w:footnote w:id="34">
    <w:p w:rsidR="00235383" w:rsidRPr="0011079E" w:rsidRDefault="00235383" w:rsidP="006B2C30">
      <w:pPr>
        <w:pStyle w:val="FootnoteText"/>
        <w:ind w:left="709" w:hanging="709"/>
        <w:rPr>
          <w:sz w:val="24"/>
          <w:szCs w:val="24"/>
          <w:lang w:val="lt-LT"/>
        </w:rPr>
      </w:pPr>
      <w:r w:rsidRPr="0011079E">
        <w:rPr>
          <w:rStyle w:val="FootnoteReference"/>
          <w:sz w:val="24"/>
          <w:szCs w:val="24"/>
          <w:lang w:val="lt-LT"/>
        </w:rPr>
        <w:t>+</w:t>
      </w:r>
      <w:r w:rsidRPr="0011079E">
        <w:rPr>
          <w:sz w:val="24"/>
          <w:szCs w:val="24"/>
          <w:lang w:val="lt-LT"/>
        </w:rPr>
        <w:tab/>
        <w:t>OL: prašom tekste įrašyti dokumente (2023/0008(COD)) pateikiamo reglamento numerį, o išnašoje – to reglamento numerį, datą, pavadinimą ir OL nuorodą.</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383" w:rsidRPr="004653B1" w:rsidRDefault="002353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383" w:rsidRPr="004653B1" w:rsidRDefault="0023538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383" w:rsidRPr="004653B1" w:rsidRDefault="0023538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54023346">
      <w:start w:val="1"/>
      <w:numFmt w:val="decimal"/>
      <w:lvlText w:val="%1."/>
      <w:lvlJc w:val="left"/>
      <w:pPr>
        <w:ind w:left="930" w:hanging="570"/>
      </w:pPr>
      <w:rPr>
        <w:rFonts w:hint="default"/>
      </w:rPr>
    </w:lvl>
    <w:lvl w:ilvl="1" w:tplc="68A29C48" w:tentative="1">
      <w:start w:val="1"/>
      <w:numFmt w:val="lowerLetter"/>
      <w:lvlText w:val="%2."/>
      <w:lvlJc w:val="left"/>
      <w:pPr>
        <w:ind w:left="1440" w:hanging="360"/>
      </w:pPr>
    </w:lvl>
    <w:lvl w:ilvl="2" w:tplc="F336FB96" w:tentative="1">
      <w:start w:val="1"/>
      <w:numFmt w:val="lowerRoman"/>
      <w:lvlText w:val="%3."/>
      <w:lvlJc w:val="right"/>
      <w:pPr>
        <w:ind w:left="2160" w:hanging="180"/>
      </w:pPr>
    </w:lvl>
    <w:lvl w:ilvl="3" w:tplc="73FADB16" w:tentative="1">
      <w:start w:val="1"/>
      <w:numFmt w:val="decimal"/>
      <w:lvlText w:val="%4."/>
      <w:lvlJc w:val="left"/>
      <w:pPr>
        <w:ind w:left="2880" w:hanging="360"/>
      </w:pPr>
    </w:lvl>
    <w:lvl w:ilvl="4" w:tplc="6E2C10DE" w:tentative="1">
      <w:start w:val="1"/>
      <w:numFmt w:val="lowerLetter"/>
      <w:lvlText w:val="%5."/>
      <w:lvlJc w:val="left"/>
      <w:pPr>
        <w:ind w:left="3600" w:hanging="360"/>
      </w:pPr>
    </w:lvl>
    <w:lvl w:ilvl="5" w:tplc="5E1CE24C" w:tentative="1">
      <w:start w:val="1"/>
      <w:numFmt w:val="lowerRoman"/>
      <w:lvlText w:val="%6."/>
      <w:lvlJc w:val="right"/>
      <w:pPr>
        <w:ind w:left="4320" w:hanging="180"/>
      </w:pPr>
    </w:lvl>
    <w:lvl w:ilvl="6" w:tplc="19D6A878" w:tentative="1">
      <w:start w:val="1"/>
      <w:numFmt w:val="decimal"/>
      <w:lvlText w:val="%7."/>
      <w:lvlJc w:val="left"/>
      <w:pPr>
        <w:ind w:left="5040" w:hanging="360"/>
      </w:pPr>
    </w:lvl>
    <w:lvl w:ilvl="7" w:tplc="8C3AF2DA" w:tentative="1">
      <w:start w:val="1"/>
      <w:numFmt w:val="lowerLetter"/>
      <w:lvlText w:val="%8."/>
      <w:lvlJc w:val="left"/>
      <w:pPr>
        <w:ind w:left="5760" w:hanging="360"/>
      </w:pPr>
    </w:lvl>
    <w:lvl w:ilvl="8" w:tplc="2B3E68E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LT"/>
    <w:docVar w:name="dvnumam" w:val="0"/>
    <w:docVar w:name="dvpe" w:val="746.665"/>
    <w:docVar w:name="dvrapporteur" w:val="Pranešėja: "/>
    <w:docVar w:name="dvstar" w:val="***I"/>
    <w:docVar w:name="dvtitre" w:val="2024 m. balandzio XX d. Europos Parlamento teisėkūros rezoliucija dėl pasiūlymo dėl Europos Parlamento ir Tarybos reglamento dėl Europos gyventojų ir būstų statistikos, kuriuo iš dalies keičiamas Reglamentas (EB) Nr. 862/2007 ir panaikinami reglamentai (EB) Nr. 763/2008 ir (ES) Nr. 1260/2013(COM(2023)0031 – C9-0010/2023 – 2023/0008(COD))"/>
  </w:docVars>
  <w:rsids>
    <w:rsidRoot w:val="0020242F"/>
    <w:rsid w:val="00002272"/>
    <w:rsid w:val="00064002"/>
    <w:rsid w:val="00066F9D"/>
    <w:rsid w:val="000677B9"/>
    <w:rsid w:val="000831BA"/>
    <w:rsid w:val="0009567D"/>
    <w:rsid w:val="000A42CC"/>
    <w:rsid w:val="000E7DD9"/>
    <w:rsid w:val="0010095E"/>
    <w:rsid w:val="0011079E"/>
    <w:rsid w:val="00111681"/>
    <w:rsid w:val="00125B37"/>
    <w:rsid w:val="00163419"/>
    <w:rsid w:val="00187494"/>
    <w:rsid w:val="001B37DB"/>
    <w:rsid w:val="001F32AE"/>
    <w:rsid w:val="0020242F"/>
    <w:rsid w:val="00235383"/>
    <w:rsid w:val="00260AD5"/>
    <w:rsid w:val="002662EE"/>
    <w:rsid w:val="002767FF"/>
    <w:rsid w:val="002B18FE"/>
    <w:rsid w:val="002B5493"/>
    <w:rsid w:val="003417C8"/>
    <w:rsid w:val="00343214"/>
    <w:rsid w:val="00361C00"/>
    <w:rsid w:val="00395170"/>
    <w:rsid w:val="00395FA1"/>
    <w:rsid w:val="003E15D4"/>
    <w:rsid w:val="00411CCE"/>
    <w:rsid w:val="0041666E"/>
    <w:rsid w:val="00421060"/>
    <w:rsid w:val="004608A8"/>
    <w:rsid w:val="004653B1"/>
    <w:rsid w:val="00466A4C"/>
    <w:rsid w:val="00471C19"/>
    <w:rsid w:val="004867E3"/>
    <w:rsid w:val="00494A28"/>
    <w:rsid w:val="004C0004"/>
    <w:rsid w:val="004C5D52"/>
    <w:rsid w:val="0050519A"/>
    <w:rsid w:val="005072A1"/>
    <w:rsid w:val="00514517"/>
    <w:rsid w:val="00545827"/>
    <w:rsid w:val="00553542"/>
    <w:rsid w:val="00560270"/>
    <w:rsid w:val="005C2568"/>
    <w:rsid w:val="006037C0"/>
    <w:rsid w:val="0064769B"/>
    <w:rsid w:val="006631B6"/>
    <w:rsid w:val="00680577"/>
    <w:rsid w:val="006956FD"/>
    <w:rsid w:val="006B2C30"/>
    <w:rsid w:val="006E25C9"/>
    <w:rsid w:val="006F74FA"/>
    <w:rsid w:val="00731ADD"/>
    <w:rsid w:val="00734777"/>
    <w:rsid w:val="00747932"/>
    <w:rsid w:val="00751A4A"/>
    <w:rsid w:val="00756632"/>
    <w:rsid w:val="00762C74"/>
    <w:rsid w:val="00786EC0"/>
    <w:rsid w:val="007D1690"/>
    <w:rsid w:val="007E22AD"/>
    <w:rsid w:val="007E5FBB"/>
    <w:rsid w:val="00817416"/>
    <w:rsid w:val="00842779"/>
    <w:rsid w:val="00865F67"/>
    <w:rsid w:val="00881A7B"/>
    <w:rsid w:val="008840E5"/>
    <w:rsid w:val="00887B3E"/>
    <w:rsid w:val="008974B9"/>
    <w:rsid w:val="008C2AC6"/>
    <w:rsid w:val="008D0F34"/>
    <w:rsid w:val="00930C23"/>
    <w:rsid w:val="0093193B"/>
    <w:rsid w:val="009509D8"/>
    <w:rsid w:val="00950B64"/>
    <w:rsid w:val="00952E17"/>
    <w:rsid w:val="00981893"/>
    <w:rsid w:val="00982C0C"/>
    <w:rsid w:val="009D339B"/>
    <w:rsid w:val="009E782C"/>
    <w:rsid w:val="009F04B9"/>
    <w:rsid w:val="00A152EF"/>
    <w:rsid w:val="00A1687D"/>
    <w:rsid w:val="00A43E52"/>
    <w:rsid w:val="00A4678D"/>
    <w:rsid w:val="00A778C7"/>
    <w:rsid w:val="00A909A9"/>
    <w:rsid w:val="00AB441E"/>
    <w:rsid w:val="00AB6293"/>
    <w:rsid w:val="00AE0928"/>
    <w:rsid w:val="00AF3B82"/>
    <w:rsid w:val="00B12E95"/>
    <w:rsid w:val="00B22876"/>
    <w:rsid w:val="00B558F0"/>
    <w:rsid w:val="00B82D24"/>
    <w:rsid w:val="00BD48FE"/>
    <w:rsid w:val="00BD7BD8"/>
    <w:rsid w:val="00BE6ADC"/>
    <w:rsid w:val="00C05BFE"/>
    <w:rsid w:val="00C23CD4"/>
    <w:rsid w:val="00C61C0C"/>
    <w:rsid w:val="00C941CB"/>
    <w:rsid w:val="00CC2357"/>
    <w:rsid w:val="00CF071A"/>
    <w:rsid w:val="00D058B8"/>
    <w:rsid w:val="00D43C60"/>
    <w:rsid w:val="00D56C11"/>
    <w:rsid w:val="00D82399"/>
    <w:rsid w:val="00D834A0"/>
    <w:rsid w:val="00D872DF"/>
    <w:rsid w:val="00D91E21"/>
    <w:rsid w:val="00DA7FCD"/>
    <w:rsid w:val="00E365E1"/>
    <w:rsid w:val="00E80ED6"/>
    <w:rsid w:val="00E820A4"/>
    <w:rsid w:val="00EA4CC2"/>
    <w:rsid w:val="00EB006A"/>
    <w:rsid w:val="00EB0CE4"/>
    <w:rsid w:val="00EB4772"/>
    <w:rsid w:val="00ED169E"/>
    <w:rsid w:val="00ED4235"/>
    <w:rsid w:val="00F04346"/>
    <w:rsid w:val="00F075DC"/>
    <w:rsid w:val="00F149E9"/>
    <w:rsid w:val="00F5134D"/>
    <w:rsid w:val="00F72216"/>
    <w:rsid w:val="00F74202"/>
    <w:rsid w:val="00F843C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BFC9CA-BE9C-4307-9847-CAE02E345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82D24"/>
    <w:rPr>
      <w:b/>
      <w:kern w:val="28"/>
      <w:sz w:val="28"/>
      <w:lang w:val="fr-FR" w:eastAsia="fr-FR"/>
    </w:rPr>
  </w:style>
  <w:style w:type="character" w:customStyle="1" w:styleId="Heading2Char">
    <w:name w:val="Heading 2 Char"/>
    <w:basedOn w:val="DefaultParagraphFont"/>
    <w:link w:val="Heading2"/>
    <w:semiHidden/>
    <w:rsid w:val="00B82D24"/>
    <w:rPr>
      <w:sz w:val="24"/>
      <w:lang w:val="fr-FR" w:eastAsia="fr-FR"/>
    </w:rPr>
  </w:style>
  <w:style w:type="character" w:customStyle="1" w:styleId="Heading3Char">
    <w:name w:val="Heading 3 Char"/>
    <w:basedOn w:val="DefaultParagraphFont"/>
    <w:link w:val="Heading3"/>
    <w:semiHidden/>
    <w:rsid w:val="00B82D24"/>
    <w:rPr>
      <w:rFonts w:ascii="Arial" w:hAnsi="Arial"/>
      <w:sz w:val="24"/>
      <w:lang w:val="fr-FR" w:eastAsia="fr-FR"/>
    </w:rPr>
  </w:style>
  <w:style w:type="character" w:customStyle="1" w:styleId="Heading4Char">
    <w:name w:val="Heading 4 Char"/>
    <w:basedOn w:val="DefaultParagraphFont"/>
    <w:link w:val="Heading4"/>
    <w:semiHidden/>
    <w:rsid w:val="00B82D24"/>
    <w:rPr>
      <w:sz w:val="24"/>
      <w:lang w:val="en-US" w:eastAsia="fr-FR"/>
    </w:rPr>
  </w:style>
  <w:style w:type="character" w:customStyle="1" w:styleId="Heading5Char">
    <w:name w:val="Heading 5 Char"/>
    <w:basedOn w:val="DefaultParagraphFont"/>
    <w:link w:val="Heading5"/>
    <w:semiHidden/>
    <w:rsid w:val="00B82D24"/>
    <w:rPr>
      <w:sz w:val="24"/>
      <w:lang w:val="en-US" w:eastAsia="fr-FR"/>
    </w:rPr>
  </w:style>
  <w:style w:type="character" w:customStyle="1" w:styleId="Heading6Char">
    <w:name w:val="Heading 6 Char"/>
    <w:basedOn w:val="DefaultParagraphFont"/>
    <w:link w:val="Heading6"/>
    <w:semiHidden/>
    <w:rsid w:val="00B82D24"/>
    <w:rPr>
      <w:i/>
      <w:sz w:val="22"/>
      <w:lang w:val="lt-LT"/>
    </w:rPr>
  </w:style>
  <w:style w:type="character" w:customStyle="1" w:styleId="Heading7Char">
    <w:name w:val="Heading 7 Char"/>
    <w:basedOn w:val="DefaultParagraphFont"/>
    <w:link w:val="Heading7"/>
    <w:semiHidden/>
    <w:rsid w:val="00B82D24"/>
    <w:rPr>
      <w:rFonts w:ascii="Arial" w:hAnsi="Arial"/>
      <w:sz w:val="24"/>
      <w:lang w:val="lt-LT"/>
    </w:rPr>
  </w:style>
  <w:style w:type="character" w:customStyle="1" w:styleId="Heading8Char">
    <w:name w:val="Heading 8 Char"/>
    <w:basedOn w:val="DefaultParagraphFont"/>
    <w:link w:val="Heading8"/>
    <w:semiHidden/>
    <w:rsid w:val="00B82D24"/>
    <w:rPr>
      <w:rFonts w:ascii="Arial" w:hAnsi="Arial"/>
      <w:i/>
      <w:sz w:val="24"/>
      <w:lang w:val="lt-LT"/>
    </w:rPr>
  </w:style>
  <w:style w:type="character" w:customStyle="1" w:styleId="Heading9Char">
    <w:name w:val="Heading 9 Char"/>
    <w:basedOn w:val="DefaultParagraphFont"/>
    <w:link w:val="Heading9"/>
    <w:semiHidden/>
    <w:rsid w:val="00B82D24"/>
    <w:rPr>
      <w:rFonts w:ascii="Arial" w:hAnsi="Arial"/>
      <w:b/>
      <w:i/>
      <w:sz w:val="18"/>
      <w:lang w:val="lt-LT"/>
    </w:rPr>
  </w:style>
  <w:style w:type="paragraph" w:styleId="TOCHeading">
    <w:name w:val="TOC Heading"/>
    <w:basedOn w:val="Normal"/>
    <w:next w:val="Normal"/>
    <w:unhideWhenUsed/>
    <w:qFormat/>
    <w:rsid w:val="00B82D24"/>
    <w:pPr>
      <w:widowControl/>
      <w:spacing w:after="240"/>
    </w:pPr>
    <w:rPr>
      <w:lang w:val="en-GB"/>
    </w:rPr>
  </w:style>
  <w:style w:type="paragraph" w:customStyle="1" w:styleId="EPFooter2">
    <w:name w:val="EPFooter2"/>
    <w:basedOn w:val="Normal"/>
    <w:next w:val="Normal"/>
    <w:rsid w:val="00B82D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82D24"/>
    <w:pPr>
      <w:keepNext/>
      <w:spacing w:after="240"/>
      <w:jc w:val="right"/>
    </w:pPr>
    <w:rPr>
      <w:rFonts w:ascii="Arial" w:hAnsi="Arial"/>
      <w:b/>
    </w:rPr>
  </w:style>
  <w:style w:type="paragraph" w:customStyle="1" w:styleId="Normal6a">
    <w:name w:val="Normal6a"/>
    <w:basedOn w:val="Normal"/>
    <w:rsid w:val="00B82D24"/>
    <w:pPr>
      <w:spacing w:after="120"/>
    </w:pPr>
  </w:style>
  <w:style w:type="paragraph" w:customStyle="1" w:styleId="PageHeading">
    <w:name w:val="PageHeading"/>
    <w:basedOn w:val="Normal"/>
    <w:rsid w:val="00B82D24"/>
    <w:pPr>
      <w:keepNext/>
      <w:spacing w:after="480"/>
      <w:jc w:val="center"/>
    </w:pPr>
    <w:rPr>
      <w:rFonts w:ascii="Arial" w:hAnsi="Arial" w:cs="Arial"/>
      <w:b/>
    </w:rPr>
  </w:style>
  <w:style w:type="paragraph" w:customStyle="1" w:styleId="NormalBold">
    <w:name w:val="NormalBold"/>
    <w:basedOn w:val="Normal"/>
    <w:link w:val="NormalBoldChar"/>
    <w:rsid w:val="00B82D24"/>
    <w:rPr>
      <w:b/>
    </w:rPr>
  </w:style>
  <w:style w:type="paragraph" w:customStyle="1" w:styleId="NormalBold12a">
    <w:name w:val="NormalBold12a"/>
    <w:basedOn w:val="Normal"/>
    <w:rsid w:val="00B82D24"/>
    <w:pPr>
      <w:spacing w:after="240"/>
    </w:pPr>
    <w:rPr>
      <w:b/>
    </w:rPr>
  </w:style>
  <w:style w:type="paragraph" w:customStyle="1" w:styleId="AmJustText">
    <w:name w:val="AmJustText"/>
    <w:basedOn w:val="Normal"/>
    <w:rsid w:val="00B82D24"/>
    <w:pPr>
      <w:spacing w:after="240"/>
    </w:pPr>
    <w:rPr>
      <w:i/>
    </w:rPr>
  </w:style>
  <w:style w:type="paragraph" w:customStyle="1" w:styleId="NormalHanging12a">
    <w:name w:val="NormalHanging12a"/>
    <w:basedOn w:val="Normal"/>
    <w:rsid w:val="00B82D24"/>
    <w:pPr>
      <w:spacing w:after="240"/>
      <w:ind w:left="567" w:hanging="567"/>
    </w:pPr>
  </w:style>
  <w:style w:type="paragraph" w:customStyle="1" w:styleId="CoverNormal24a">
    <w:name w:val="CoverNormal24a"/>
    <w:basedOn w:val="Normal"/>
    <w:rsid w:val="00B82D24"/>
    <w:pPr>
      <w:spacing w:after="480"/>
      <w:ind w:left="1417"/>
    </w:pPr>
  </w:style>
  <w:style w:type="paragraph" w:customStyle="1" w:styleId="CoverNormal">
    <w:name w:val="CoverNormal"/>
    <w:basedOn w:val="Normal"/>
    <w:rsid w:val="00B82D24"/>
    <w:pPr>
      <w:ind w:left="1418"/>
    </w:pPr>
  </w:style>
  <w:style w:type="paragraph" w:customStyle="1" w:styleId="AmCrossRef">
    <w:name w:val="AmCrossRef"/>
    <w:basedOn w:val="Normal"/>
    <w:rsid w:val="00B82D24"/>
    <w:pPr>
      <w:spacing w:before="240" w:after="240"/>
      <w:jc w:val="center"/>
    </w:pPr>
    <w:rPr>
      <w:i/>
    </w:rPr>
  </w:style>
  <w:style w:type="paragraph" w:customStyle="1" w:styleId="AmJustTitle">
    <w:name w:val="AmJustTitle"/>
    <w:basedOn w:val="Normal"/>
    <w:next w:val="AmJustText"/>
    <w:rsid w:val="00B82D24"/>
    <w:pPr>
      <w:keepNext/>
      <w:spacing w:before="240" w:after="240"/>
      <w:jc w:val="center"/>
    </w:pPr>
    <w:rPr>
      <w:i/>
    </w:rPr>
  </w:style>
  <w:style w:type="paragraph" w:customStyle="1" w:styleId="CoverReference">
    <w:name w:val="CoverReference"/>
    <w:basedOn w:val="Normal"/>
    <w:rsid w:val="00B82D24"/>
    <w:pPr>
      <w:spacing w:before="1080"/>
      <w:jc w:val="right"/>
    </w:pPr>
    <w:rPr>
      <w:rFonts w:ascii="Arial" w:hAnsi="Arial" w:cs="Arial"/>
      <w:b/>
    </w:rPr>
  </w:style>
  <w:style w:type="paragraph" w:customStyle="1" w:styleId="CoverDocType">
    <w:name w:val="CoverDocType"/>
    <w:basedOn w:val="Normal"/>
    <w:rsid w:val="00B82D24"/>
    <w:pPr>
      <w:ind w:left="1418"/>
    </w:pPr>
    <w:rPr>
      <w:rFonts w:ascii="Arial" w:hAnsi="Arial"/>
      <w:b/>
      <w:sz w:val="48"/>
    </w:rPr>
  </w:style>
  <w:style w:type="paragraph" w:customStyle="1" w:styleId="CoverDocType24a">
    <w:name w:val="CoverDocType24a"/>
    <w:basedOn w:val="Normal"/>
    <w:rsid w:val="00B82D24"/>
    <w:pPr>
      <w:spacing w:after="480"/>
      <w:ind w:left="1418"/>
    </w:pPr>
    <w:rPr>
      <w:rFonts w:ascii="Arial" w:hAnsi="Arial"/>
      <w:b/>
      <w:sz w:val="48"/>
    </w:rPr>
  </w:style>
  <w:style w:type="paragraph" w:customStyle="1" w:styleId="CoverDate">
    <w:name w:val="CoverDate"/>
    <w:basedOn w:val="Normal"/>
    <w:rsid w:val="00B82D24"/>
    <w:pPr>
      <w:spacing w:before="240" w:after="1200"/>
    </w:pPr>
  </w:style>
  <w:style w:type="paragraph" w:styleId="Header">
    <w:name w:val="header"/>
    <w:basedOn w:val="Normal"/>
    <w:link w:val="HeaderChar"/>
    <w:rsid w:val="00B82D24"/>
    <w:pPr>
      <w:tabs>
        <w:tab w:val="center" w:pos="4513"/>
        <w:tab w:val="right" w:pos="9026"/>
      </w:tabs>
    </w:pPr>
  </w:style>
  <w:style w:type="character" w:customStyle="1" w:styleId="HeaderChar">
    <w:name w:val="Header Char"/>
    <w:basedOn w:val="DefaultParagraphFont"/>
    <w:link w:val="Header"/>
    <w:rsid w:val="00B82D24"/>
    <w:rPr>
      <w:sz w:val="24"/>
      <w:lang w:val="lt-LT"/>
    </w:rPr>
  </w:style>
  <w:style w:type="paragraph" w:customStyle="1" w:styleId="AmOrLang">
    <w:name w:val="AmOrLang"/>
    <w:basedOn w:val="Normal"/>
    <w:rsid w:val="00B82D24"/>
    <w:pPr>
      <w:spacing w:before="240" w:after="240"/>
      <w:jc w:val="right"/>
    </w:pPr>
  </w:style>
  <w:style w:type="paragraph" w:customStyle="1" w:styleId="AmColumnHeading">
    <w:name w:val="AmColumnHeading"/>
    <w:basedOn w:val="Normal"/>
    <w:rsid w:val="00B82D24"/>
    <w:pPr>
      <w:spacing w:after="240"/>
      <w:jc w:val="center"/>
    </w:pPr>
    <w:rPr>
      <w:i/>
    </w:rPr>
  </w:style>
  <w:style w:type="paragraph" w:customStyle="1" w:styleId="AmNumberTabs">
    <w:name w:val="AmNumberTabs"/>
    <w:basedOn w:val="Normal"/>
    <w:rsid w:val="00B82D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2D24"/>
    <w:pPr>
      <w:spacing w:before="240"/>
    </w:pPr>
    <w:rPr>
      <w:b/>
    </w:rPr>
  </w:style>
  <w:style w:type="paragraph" w:customStyle="1" w:styleId="EPBody">
    <w:name w:val="EPBody"/>
    <w:basedOn w:val="Normal"/>
    <w:rsid w:val="00B82D24"/>
    <w:pPr>
      <w:jc w:val="center"/>
    </w:pPr>
    <w:rPr>
      <w:rFonts w:ascii="Arial" w:hAnsi="Arial" w:cs="Arial"/>
      <w:i/>
      <w:sz w:val="22"/>
      <w:szCs w:val="22"/>
    </w:rPr>
  </w:style>
  <w:style w:type="paragraph" w:customStyle="1" w:styleId="EPFooter">
    <w:name w:val="EPFooter"/>
    <w:basedOn w:val="Normal"/>
    <w:rsid w:val="00B82D24"/>
    <w:pPr>
      <w:tabs>
        <w:tab w:val="center" w:pos="4535"/>
        <w:tab w:val="right" w:pos="9071"/>
      </w:tabs>
      <w:spacing w:before="240" w:after="240"/>
    </w:pPr>
    <w:rPr>
      <w:color w:val="010000"/>
      <w:sz w:val="22"/>
    </w:rPr>
  </w:style>
  <w:style w:type="paragraph" w:customStyle="1" w:styleId="EPComma">
    <w:name w:val="EPComma"/>
    <w:basedOn w:val="Normal"/>
    <w:rsid w:val="00B82D24"/>
    <w:pPr>
      <w:spacing w:before="480" w:after="240"/>
    </w:pPr>
  </w:style>
  <w:style w:type="paragraph" w:customStyle="1" w:styleId="Lgendesigne">
    <w:name w:val="Légende signe"/>
    <w:basedOn w:val="Normal"/>
    <w:rsid w:val="00B82D24"/>
    <w:pPr>
      <w:tabs>
        <w:tab w:val="right" w:pos="454"/>
        <w:tab w:val="left" w:pos="737"/>
      </w:tabs>
      <w:ind w:left="737" w:hanging="737"/>
    </w:pPr>
    <w:rPr>
      <w:snapToGrid w:val="0"/>
      <w:sz w:val="18"/>
      <w:lang w:eastAsia="en-US"/>
    </w:rPr>
  </w:style>
  <w:style w:type="paragraph" w:customStyle="1" w:styleId="Lgendetitre">
    <w:name w:val="Légende titre"/>
    <w:basedOn w:val="Normal"/>
    <w:rsid w:val="00B82D24"/>
    <w:pPr>
      <w:spacing w:before="240" w:after="240"/>
    </w:pPr>
    <w:rPr>
      <w:b/>
      <w:i/>
      <w:snapToGrid w:val="0"/>
      <w:lang w:eastAsia="en-US"/>
    </w:rPr>
  </w:style>
  <w:style w:type="paragraph" w:customStyle="1" w:styleId="Lgendestandard">
    <w:name w:val="Légende standard"/>
    <w:basedOn w:val="Normal"/>
    <w:rsid w:val="00B82D24"/>
    <w:rPr>
      <w:sz w:val="18"/>
    </w:rPr>
  </w:style>
  <w:style w:type="character" w:customStyle="1" w:styleId="Normal6Char">
    <w:name w:val="Normal6 Char"/>
    <w:link w:val="Normal6"/>
    <w:locked/>
    <w:rsid w:val="00B82D24"/>
    <w:rPr>
      <w:sz w:val="24"/>
      <w:lang w:val="lt-LT"/>
    </w:rPr>
  </w:style>
  <w:style w:type="paragraph" w:customStyle="1" w:styleId="Normal6">
    <w:name w:val="Normal6"/>
    <w:basedOn w:val="Normal"/>
    <w:link w:val="Normal6Char"/>
    <w:rsid w:val="00B82D24"/>
    <w:pPr>
      <w:spacing w:after="120"/>
    </w:pPr>
  </w:style>
  <w:style w:type="character" w:customStyle="1" w:styleId="NormalBoldChar">
    <w:name w:val="NormalBold Char"/>
    <w:link w:val="NormalBold"/>
    <w:locked/>
    <w:rsid w:val="00B82D24"/>
    <w:rPr>
      <w:b/>
      <w:sz w:val="24"/>
      <w:lang w:val="lt-LT"/>
    </w:rPr>
  </w:style>
  <w:style w:type="paragraph" w:customStyle="1" w:styleId="Normal12Italic">
    <w:name w:val="Normal12Italic"/>
    <w:basedOn w:val="Normal"/>
    <w:rsid w:val="00B82D24"/>
    <w:pPr>
      <w:spacing w:after="240"/>
    </w:pPr>
    <w:rPr>
      <w:i/>
      <w:noProof/>
    </w:rPr>
  </w:style>
  <w:style w:type="paragraph" w:customStyle="1" w:styleId="JustificationTitle">
    <w:name w:val="JustificationTitle"/>
    <w:basedOn w:val="Normal"/>
    <w:next w:val="Normal"/>
    <w:rsid w:val="00B82D24"/>
    <w:pPr>
      <w:keepNext/>
      <w:spacing w:before="240" w:after="240"/>
      <w:jc w:val="center"/>
    </w:pPr>
    <w:rPr>
      <w:i/>
      <w:noProof/>
    </w:rPr>
  </w:style>
  <w:style w:type="paragraph" w:customStyle="1" w:styleId="ColumnHeading">
    <w:name w:val="ColumnHeading"/>
    <w:basedOn w:val="Normal"/>
    <w:rsid w:val="00B82D24"/>
    <w:pPr>
      <w:spacing w:after="240"/>
      <w:jc w:val="center"/>
    </w:pPr>
    <w:rPr>
      <w:i/>
    </w:rPr>
  </w:style>
  <w:style w:type="paragraph" w:customStyle="1" w:styleId="AMNumberTabs0">
    <w:name w:val="AMNumberTabs"/>
    <w:basedOn w:val="Normal"/>
    <w:rsid w:val="00B82D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82D24"/>
    <w:pPr>
      <w:jc w:val="right"/>
    </w:pPr>
    <w:rPr>
      <w:lang w:val="lt-LT"/>
    </w:rPr>
  </w:style>
  <w:style w:type="paragraph" w:styleId="Footer">
    <w:name w:val="footer"/>
    <w:basedOn w:val="Normal"/>
    <w:link w:val="FooterChar"/>
    <w:rsid w:val="00B82D24"/>
    <w:pPr>
      <w:tabs>
        <w:tab w:val="center" w:pos="4513"/>
        <w:tab w:val="right" w:pos="9026"/>
      </w:tabs>
    </w:pPr>
  </w:style>
  <w:style w:type="character" w:customStyle="1" w:styleId="FooterChar">
    <w:name w:val="Footer Char"/>
    <w:basedOn w:val="DefaultParagraphFont"/>
    <w:link w:val="Footer"/>
    <w:rsid w:val="00B82D24"/>
    <w:rPr>
      <w:sz w:val="24"/>
      <w:lang w:val="lt-LT"/>
    </w:rPr>
  </w:style>
  <w:style w:type="paragraph" w:styleId="BalloonText">
    <w:name w:val="Balloon Text"/>
    <w:basedOn w:val="Normal"/>
    <w:link w:val="BalloonTextChar"/>
    <w:unhideWhenUsed/>
    <w:rsid w:val="00B82D24"/>
    <w:rPr>
      <w:rFonts w:ascii="Segoe UI" w:hAnsi="Segoe UI" w:cs="Segoe UI"/>
      <w:sz w:val="18"/>
      <w:szCs w:val="18"/>
    </w:rPr>
  </w:style>
  <w:style w:type="character" w:customStyle="1" w:styleId="BalloonTextChar">
    <w:name w:val="Balloon Text Char"/>
    <w:basedOn w:val="DefaultParagraphFont"/>
    <w:link w:val="BalloonText"/>
    <w:rsid w:val="00B82D24"/>
    <w:rPr>
      <w:rFonts w:ascii="Segoe UI" w:hAnsi="Segoe UI" w:cs="Segoe UI"/>
      <w:sz w:val="18"/>
      <w:szCs w:val="18"/>
      <w:lang w:val="lt-LT"/>
    </w:rPr>
  </w:style>
  <w:style w:type="character" w:styleId="CommentReference">
    <w:name w:val="annotation reference"/>
    <w:basedOn w:val="DefaultParagraphFont"/>
    <w:rsid w:val="00B82D24"/>
    <w:rPr>
      <w:sz w:val="16"/>
      <w:szCs w:val="16"/>
    </w:rPr>
  </w:style>
  <w:style w:type="paragraph" w:styleId="CommentText">
    <w:name w:val="annotation text"/>
    <w:basedOn w:val="Normal"/>
    <w:link w:val="CommentTextChar"/>
    <w:rsid w:val="00B82D24"/>
    <w:rPr>
      <w:sz w:val="20"/>
    </w:rPr>
  </w:style>
  <w:style w:type="character" w:customStyle="1" w:styleId="CommentTextChar">
    <w:name w:val="Comment Text Char"/>
    <w:basedOn w:val="DefaultParagraphFont"/>
    <w:link w:val="CommentText"/>
    <w:rsid w:val="00B82D24"/>
    <w:rPr>
      <w:lang w:val="lt-LT"/>
    </w:rPr>
  </w:style>
  <w:style w:type="paragraph" w:styleId="CommentSubject">
    <w:name w:val="annotation subject"/>
    <w:basedOn w:val="CommentText"/>
    <w:next w:val="CommentText"/>
    <w:link w:val="CommentSubjectChar"/>
    <w:unhideWhenUsed/>
    <w:rsid w:val="00B82D24"/>
    <w:rPr>
      <w:b/>
      <w:bCs/>
    </w:rPr>
  </w:style>
  <w:style w:type="character" w:customStyle="1" w:styleId="CommentSubjectChar">
    <w:name w:val="Comment Subject Char"/>
    <w:basedOn w:val="CommentTextChar"/>
    <w:link w:val="CommentSubject"/>
    <w:rsid w:val="00B82D24"/>
    <w:rPr>
      <w:b/>
      <w:bCs/>
      <w:lang w:val="lt-LT"/>
    </w:rPr>
  </w:style>
  <w:style w:type="paragraph" w:customStyle="1" w:styleId="Memos">
    <w:name w:val="Memos"/>
    <w:basedOn w:val="NoSpacing"/>
    <w:link w:val="MemosChar"/>
    <w:autoRedefine/>
    <w:qFormat/>
    <w:rsid w:val="00B82D24"/>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B82D24"/>
    <w:rPr>
      <w:rFonts w:eastAsiaTheme="minorHAnsi"/>
      <w:sz w:val="28"/>
      <w:szCs w:val="32"/>
      <w:u w:val="single"/>
      <w:lang w:val="lt-LT" w:eastAsia="en-US"/>
    </w:rPr>
  </w:style>
  <w:style w:type="paragraph" w:customStyle="1" w:styleId="Normal12a">
    <w:name w:val="Normal12a"/>
    <w:basedOn w:val="Normal"/>
    <w:rsid w:val="00B82D24"/>
    <w:pPr>
      <w:spacing w:after="240"/>
    </w:pPr>
  </w:style>
  <w:style w:type="paragraph" w:customStyle="1" w:styleId="PageHeadingNotTOC">
    <w:name w:val="PageHeadingNotTOC"/>
    <w:basedOn w:val="Normal"/>
    <w:rsid w:val="00B82D24"/>
    <w:pPr>
      <w:keepNext/>
      <w:spacing w:after="480"/>
      <w:jc w:val="center"/>
    </w:pPr>
    <w:rPr>
      <w:rFonts w:ascii="Arial" w:hAnsi="Arial" w:cs="Arial"/>
      <w:b/>
    </w:rPr>
  </w:style>
  <w:style w:type="paragraph" w:customStyle="1" w:styleId="AmHeadingPA">
    <w:name w:val="AmHeadingPA"/>
    <w:basedOn w:val="Normal"/>
    <w:next w:val="Normal"/>
    <w:rsid w:val="00B82D2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B82D24"/>
    <w:pPr>
      <w:spacing w:after="480"/>
    </w:pPr>
  </w:style>
  <w:style w:type="character" w:customStyle="1" w:styleId="Normal24aChar">
    <w:name w:val="Normal24a Char"/>
    <w:basedOn w:val="DefaultParagraphFont"/>
    <w:link w:val="Normal24a"/>
    <w:rsid w:val="00B82D24"/>
    <w:rPr>
      <w:sz w:val="24"/>
      <w:lang w:val="lt-LT"/>
    </w:rPr>
  </w:style>
  <w:style w:type="paragraph" w:customStyle="1" w:styleId="RollCallSymbols14pt">
    <w:name w:val="RollCallSymbols14pt"/>
    <w:basedOn w:val="Normal"/>
    <w:rsid w:val="00B82D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82D24"/>
    <w:pPr>
      <w:tabs>
        <w:tab w:val="center" w:pos="284"/>
        <w:tab w:val="left" w:pos="426"/>
      </w:tabs>
    </w:pPr>
    <w:rPr>
      <w:snapToGrid w:val="0"/>
      <w:lang w:eastAsia="en-US"/>
    </w:rPr>
  </w:style>
  <w:style w:type="paragraph" w:customStyle="1" w:styleId="RollCallVotes">
    <w:name w:val="RollCallVotes"/>
    <w:basedOn w:val="Normal"/>
    <w:rsid w:val="00B82D24"/>
    <w:pPr>
      <w:spacing w:before="120" w:after="120"/>
      <w:jc w:val="center"/>
    </w:pPr>
    <w:rPr>
      <w:b/>
      <w:bCs/>
      <w:snapToGrid w:val="0"/>
      <w:sz w:val="16"/>
      <w:lang w:eastAsia="en-US"/>
    </w:rPr>
  </w:style>
  <w:style w:type="paragraph" w:customStyle="1" w:styleId="RollCallTable">
    <w:name w:val="RollCallTable"/>
    <w:basedOn w:val="Normal"/>
    <w:rsid w:val="00B82D24"/>
    <w:pPr>
      <w:spacing w:before="120" w:after="120"/>
    </w:pPr>
    <w:rPr>
      <w:snapToGrid w:val="0"/>
      <w:sz w:val="16"/>
      <w:lang w:eastAsia="en-US"/>
    </w:rPr>
  </w:style>
  <w:style w:type="paragraph" w:styleId="NoSpacing">
    <w:name w:val="No Spacing"/>
    <w:uiPriority w:val="1"/>
    <w:qFormat/>
    <w:rsid w:val="00B82D24"/>
    <w:pPr>
      <w:widowControl w:val="0"/>
    </w:pPr>
    <w:rPr>
      <w:sz w:val="24"/>
      <w:lang w:val="lt-LT"/>
    </w:rPr>
  </w:style>
  <w:style w:type="paragraph" w:customStyle="1" w:styleId="FootnoteTextForceStyle">
    <w:name w:val="Footnote Text ForceStyle"/>
    <w:rsid w:val="006B2C30"/>
    <w:pPr>
      <w:keepLines/>
      <w:widowControl w:val="0"/>
      <w:ind w:left="850" w:hanging="850"/>
    </w:pPr>
    <w:rPr>
      <w:sz w:val="24"/>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4FB7D-825F-493B-B3CB-FDB4BB856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9026</Words>
  <Characters>63606</Characters>
  <Application>Microsoft Office Word</Application>
  <DocSecurity>0</DocSecurity>
  <Lines>530</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LUKSITE Marija</cp:lastModifiedBy>
  <cp:revision>2</cp:revision>
  <cp:lastPrinted>2004-11-19T15:42:00Z</cp:lastPrinted>
  <dcterms:created xsi:type="dcterms:W3CDTF">2024-10-17T10:27:00Z</dcterms:created>
  <dcterms:modified xsi:type="dcterms:W3CDTF">2024-10-17T10:27:00Z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A9-0284/2023</vt:lpwstr>
  </property>
  <property fmtid="{D5CDD505-2E9C-101B-9397-08002B2CF9AE}" pid="4" name="&lt;Type&gt;">
    <vt:lpwstr>RR</vt:lpwstr>
  </property>
</Properties>
</file>