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3228" w:rsidTr="0010095E">
        <w:trPr>
          <w:trHeight w:hRule="exact" w:val="1418"/>
        </w:trPr>
        <w:tc>
          <w:tcPr>
            <w:tcW w:w="6804" w:type="dxa"/>
            <w:shd w:val="clear" w:color="auto" w:fill="auto"/>
            <w:vAlign w:val="center"/>
          </w:tcPr>
          <w:p w:rsidR="00751A4A" w:rsidRPr="00143228" w:rsidRDefault="008D01F9" w:rsidP="0010095E">
            <w:pPr>
              <w:pStyle w:val="EPName"/>
            </w:pPr>
            <w:r w:rsidRPr="00143228">
              <w:t>Eiropas Parlaments</w:t>
            </w:r>
          </w:p>
          <w:p w:rsidR="00751A4A" w:rsidRPr="00143228" w:rsidRDefault="00817416" w:rsidP="00756632">
            <w:pPr>
              <w:pStyle w:val="EPTerm"/>
              <w:rPr>
                <w:rStyle w:val="HideTWBExt"/>
                <w:noProof w:val="0"/>
                <w:vanish w:val="0"/>
                <w:color w:val="auto"/>
              </w:rPr>
            </w:pPr>
            <w:r w:rsidRPr="00143228">
              <w:t>2019-2024</w:t>
            </w:r>
          </w:p>
        </w:tc>
        <w:tc>
          <w:tcPr>
            <w:tcW w:w="2268" w:type="dxa"/>
            <w:shd w:val="clear" w:color="auto" w:fill="auto"/>
          </w:tcPr>
          <w:p w:rsidR="00751A4A" w:rsidRPr="00143228" w:rsidRDefault="00187494" w:rsidP="0010095E">
            <w:pPr>
              <w:pStyle w:val="EPLogo"/>
            </w:pPr>
            <w:r w:rsidRPr="001432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3228" w:rsidRDefault="00D058B8" w:rsidP="004C5D52">
      <w:pPr>
        <w:pStyle w:val="LineTop"/>
      </w:pPr>
    </w:p>
    <w:p w:rsidR="00680577" w:rsidRPr="00143228" w:rsidRDefault="008D01F9" w:rsidP="00680577">
      <w:pPr>
        <w:pStyle w:val="EPBodyTA1"/>
      </w:pPr>
      <w:r w:rsidRPr="00143228">
        <w:t>PIEŅEMTIE TEKSTI</w:t>
      </w:r>
    </w:p>
    <w:p w:rsidR="00D058B8" w:rsidRPr="00143228" w:rsidRDefault="00D058B8" w:rsidP="00D058B8">
      <w:pPr>
        <w:pStyle w:val="LineBottom"/>
      </w:pPr>
    </w:p>
    <w:p w:rsidR="008D01F9" w:rsidRPr="00143228" w:rsidRDefault="008D01F9" w:rsidP="008D01F9">
      <w:pPr>
        <w:pStyle w:val="ATHeading1"/>
      </w:pPr>
      <w:bookmarkStart w:id="0" w:name="TANumber"/>
      <w:r w:rsidRPr="00143228">
        <w:t>P9_TA(2024)0</w:t>
      </w:r>
      <w:r w:rsidR="00143228" w:rsidRPr="00143228">
        <w:t>361</w:t>
      </w:r>
      <w:bookmarkEnd w:id="0"/>
    </w:p>
    <w:p w:rsidR="008D01F9" w:rsidRPr="00143228" w:rsidRDefault="00097E65" w:rsidP="00097E65">
      <w:pPr>
        <w:pStyle w:val="ATHeading2"/>
      </w:pPr>
      <w:bookmarkStart w:id="1" w:name="title"/>
      <w:r w:rsidRPr="00143228">
        <w:t>Statistika par iedzīvotājiem un mājokļiem</w:t>
      </w:r>
      <w:bookmarkEnd w:id="1"/>
    </w:p>
    <w:p w:rsidR="008D01F9" w:rsidRPr="00143228" w:rsidRDefault="008D01F9" w:rsidP="008D01F9">
      <w:pPr>
        <w:rPr>
          <w:i/>
          <w:vanish/>
        </w:rPr>
      </w:pPr>
      <w:r w:rsidRPr="00143228">
        <w:rPr>
          <w:i/>
        </w:rPr>
        <w:fldChar w:fldCharType="begin"/>
      </w:r>
      <w:r w:rsidRPr="00143228">
        <w:rPr>
          <w:i/>
        </w:rPr>
        <w:instrText xml:space="preserve"> TC"(</w:instrText>
      </w:r>
      <w:bookmarkStart w:id="2" w:name="DocNumber"/>
      <w:proofErr w:type="spellStart"/>
      <w:r w:rsidRPr="00143228">
        <w:rPr>
          <w:i/>
        </w:rPr>
        <w:instrText>A9</w:instrText>
      </w:r>
      <w:proofErr w:type="spellEnd"/>
      <w:r w:rsidRPr="00143228">
        <w:rPr>
          <w:i/>
        </w:rPr>
        <w:instrText>-0284/2023</w:instrText>
      </w:r>
      <w:bookmarkEnd w:id="2"/>
      <w:r w:rsidRPr="00143228">
        <w:rPr>
          <w:i/>
        </w:rPr>
        <w:instrText xml:space="preserve"> - Referente: Irena </w:instrText>
      </w:r>
      <w:proofErr w:type="spellStart"/>
      <w:r w:rsidRPr="00143228">
        <w:rPr>
          <w:i/>
        </w:rPr>
        <w:instrText>Joveva</w:instrText>
      </w:r>
      <w:proofErr w:type="spellEnd"/>
      <w:r w:rsidRPr="00143228">
        <w:rPr>
          <w:i/>
        </w:rPr>
        <w:instrText>)"\</w:instrText>
      </w:r>
      <w:proofErr w:type="spellStart"/>
      <w:r w:rsidRPr="00143228">
        <w:rPr>
          <w:i/>
        </w:rPr>
        <w:instrText>l3</w:instrText>
      </w:r>
      <w:proofErr w:type="spellEnd"/>
      <w:r w:rsidRPr="00143228">
        <w:rPr>
          <w:i/>
        </w:rPr>
        <w:instrText xml:space="preserve"> \n&gt; \* MERGEFORMAT </w:instrText>
      </w:r>
      <w:r w:rsidRPr="00143228">
        <w:rPr>
          <w:i/>
        </w:rPr>
        <w:fldChar w:fldCharType="end"/>
      </w:r>
    </w:p>
    <w:p w:rsidR="008D01F9" w:rsidRPr="00143228" w:rsidRDefault="008D01F9" w:rsidP="008D01F9">
      <w:pPr>
        <w:rPr>
          <w:vanish/>
        </w:rPr>
      </w:pPr>
      <w:bookmarkStart w:id="3" w:name="Commission"/>
      <w:r w:rsidRPr="00143228">
        <w:rPr>
          <w:vanish/>
        </w:rPr>
        <w:t>Nodarbinātības un sociālo lietu komiteja</w:t>
      </w:r>
      <w:bookmarkEnd w:id="3"/>
    </w:p>
    <w:p w:rsidR="008D01F9" w:rsidRPr="00143228" w:rsidRDefault="008D01F9" w:rsidP="008D01F9">
      <w:pPr>
        <w:rPr>
          <w:vanish/>
        </w:rPr>
      </w:pPr>
      <w:bookmarkStart w:id="4" w:name="PE"/>
      <w:r w:rsidRPr="00143228">
        <w:rPr>
          <w:vanish/>
        </w:rPr>
        <w:t>PE746.665</w:t>
      </w:r>
      <w:bookmarkEnd w:id="4"/>
    </w:p>
    <w:p w:rsidR="008D01F9" w:rsidRPr="00143228" w:rsidRDefault="008D01F9" w:rsidP="008D01F9">
      <w:pPr>
        <w:pStyle w:val="ATHeading3"/>
      </w:pPr>
      <w:bookmarkStart w:id="5" w:name="Sujet"/>
      <w:r w:rsidRPr="00143228">
        <w:t xml:space="preserve">Eiropas Parlamenta 2024. gada </w:t>
      </w:r>
      <w:r w:rsidR="00097E65" w:rsidRPr="00143228">
        <w:t>24. aprīļa</w:t>
      </w:r>
      <w:r w:rsidRPr="00143228">
        <w:t xml:space="preserve"> normatīvā rezolūcija par priekšlikumu Eiropas Parlamenta un Padomes regulai par Eiropas statistiku par iedzīvotājiem un mājokļiem, ar ko groza Regulu (EK) Nr. 862/2007 un atceļ Regulas (EK) Nr. 763/2008 un (ES) Nr. 1260/2013</w:t>
      </w:r>
      <w:bookmarkEnd w:id="5"/>
      <w:r w:rsidRPr="00143228">
        <w:t xml:space="preserve"> </w:t>
      </w:r>
      <w:bookmarkStart w:id="6" w:name="References"/>
      <w:r w:rsidRPr="00143228">
        <w:t>(COM(2023)0031 – C9-0010/2023 – 2023/0008(COD))</w:t>
      </w:r>
      <w:bookmarkEnd w:id="6"/>
    </w:p>
    <w:p w:rsidR="00E208F3" w:rsidRPr="00143228" w:rsidRDefault="00E208F3" w:rsidP="00E208F3">
      <w:pPr>
        <w:pStyle w:val="NormalBold"/>
      </w:pPr>
      <w:bookmarkStart w:id="7" w:name="TextBodyBegin"/>
      <w:bookmarkEnd w:id="7"/>
      <w:r w:rsidRPr="00143228">
        <w:t>(Parastā likumdošanas procedūra: pirmais lasījums)</w:t>
      </w:r>
    </w:p>
    <w:p w:rsidR="00E208F3" w:rsidRPr="00143228" w:rsidRDefault="00E208F3" w:rsidP="00E208F3">
      <w:pPr>
        <w:pStyle w:val="EPComma"/>
      </w:pPr>
      <w:r w:rsidRPr="00143228">
        <w:rPr>
          <w:i/>
        </w:rPr>
        <w:t>Eiropas Parlaments</w:t>
      </w:r>
      <w:r w:rsidRPr="00143228">
        <w:t>,</w:t>
      </w:r>
    </w:p>
    <w:p w:rsidR="00E208F3" w:rsidRPr="00143228" w:rsidRDefault="00E208F3" w:rsidP="00E208F3">
      <w:pPr>
        <w:pStyle w:val="NormalHanging12a"/>
      </w:pPr>
      <w:r w:rsidRPr="00143228">
        <w:t>–</w:t>
      </w:r>
      <w:r w:rsidRPr="00143228">
        <w:tab/>
        <w:t>ņemot vērā Komisijas priekšlikumu Eiropas Parlamentam un Padomei (COM(2023)0031),</w:t>
      </w:r>
    </w:p>
    <w:p w:rsidR="00E208F3" w:rsidRPr="00143228" w:rsidRDefault="00E208F3" w:rsidP="00E208F3">
      <w:pPr>
        <w:pStyle w:val="NormalHanging12a"/>
      </w:pPr>
      <w:r w:rsidRPr="00143228">
        <w:t>–</w:t>
      </w:r>
      <w:r w:rsidRPr="00143228">
        <w:tab/>
        <w:t>ņemot vērā Līguma par Eiropas Savienības darbību 294. panta 2. punktu un 338. panta 1. punktu, saskaņā ar kuriem Komisija tam ir iesniegusi priekšlikumu (C9</w:t>
      </w:r>
      <w:r w:rsidRPr="00143228">
        <w:noBreakHyphen/>
        <w:t>0010/2023),</w:t>
      </w:r>
    </w:p>
    <w:p w:rsidR="00E208F3" w:rsidRPr="00143228" w:rsidRDefault="00E208F3" w:rsidP="00E208F3">
      <w:pPr>
        <w:pStyle w:val="NormalHanging12a"/>
      </w:pPr>
      <w:r w:rsidRPr="00143228">
        <w:t>–</w:t>
      </w:r>
      <w:r w:rsidRPr="00143228">
        <w:tab/>
        <w:t>ņemot vērā Līguma par Eiropas Savienības darbību 294. panta 3. punktu,</w:t>
      </w:r>
    </w:p>
    <w:p w:rsidR="00097E65" w:rsidRPr="00143228" w:rsidRDefault="00097E65" w:rsidP="00143228">
      <w:pPr>
        <w:pStyle w:val="NormalHanging12a"/>
        <w:rPr>
          <w:rFonts w:cs="Mangal"/>
          <w:lang w:bidi="sa-IN"/>
        </w:rPr>
      </w:pPr>
      <w:r w:rsidRPr="00143228">
        <w:rPr>
          <w:rFonts w:cs="Mangal"/>
          <w:lang w:bidi="sa-IN"/>
        </w:rPr>
        <w:t>–</w:t>
      </w:r>
      <w:r w:rsidRPr="00143228">
        <w:rPr>
          <w:rFonts w:cs="Mangal"/>
          <w:lang w:bidi="sa-IN"/>
        </w:rPr>
        <w:tab/>
        <w:t xml:space="preserve">ņemot </w:t>
      </w:r>
      <w:r w:rsidRPr="00143228">
        <w:t>vērā</w:t>
      </w:r>
      <w:r w:rsidRPr="00143228">
        <w:rPr>
          <w:rFonts w:cs="Mangal"/>
          <w:lang w:bidi="sa-IN"/>
        </w:rPr>
        <w:t xml:space="preserve"> Eiropas Ekonomikas un sociālo lietu komitejas 2023. gada 27. aprīļa </w:t>
      </w:r>
      <w:r w:rsidR="00F35FA7" w:rsidRPr="00143228">
        <w:rPr>
          <w:rFonts w:cs="Mangal"/>
          <w:lang w:bidi="sa-IN"/>
        </w:rPr>
        <w:t>a</w:t>
      </w:r>
      <w:r w:rsidRPr="00143228">
        <w:rPr>
          <w:rFonts w:cs="Mangal"/>
          <w:lang w:bidi="sa-IN"/>
        </w:rPr>
        <w:t>tzinumu</w:t>
      </w:r>
      <w:r w:rsidRPr="00143228">
        <w:rPr>
          <w:rStyle w:val="FootnoteReference"/>
          <w:rFonts w:cs="Mangal"/>
          <w:lang w:bidi="sa-IN"/>
        </w:rPr>
        <w:footnoteReference w:id="1"/>
      </w:r>
      <w:r w:rsidRPr="00143228">
        <w:rPr>
          <w:rFonts w:cs="Mangal"/>
          <w:lang w:bidi="sa-IN"/>
        </w:rPr>
        <w:t>,</w:t>
      </w:r>
    </w:p>
    <w:p w:rsidR="00E208F3" w:rsidRPr="00143228" w:rsidRDefault="00E208F3" w:rsidP="00E208F3">
      <w:pPr>
        <w:pStyle w:val="NormalHanging12a"/>
      </w:pPr>
      <w:r w:rsidRPr="00143228">
        <w:t>–</w:t>
      </w:r>
      <w:r w:rsidRPr="00143228">
        <w:tab/>
        <w:t>ņemot vērā Reglamenta 59. pantu,</w:t>
      </w:r>
    </w:p>
    <w:p w:rsidR="00E208F3" w:rsidRPr="00143228" w:rsidRDefault="00E208F3" w:rsidP="00E208F3">
      <w:pPr>
        <w:pStyle w:val="NormalHanging12a"/>
      </w:pPr>
      <w:r w:rsidRPr="00143228">
        <w:t>–</w:t>
      </w:r>
      <w:r w:rsidRPr="00143228">
        <w:tab/>
        <w:t xml:space="preserve">ņemot vērā Pilsoņu brīvību, tieslietu un </w:t>
      </w:r>
      <w:proofErr w:type="spellStart"/>
      <w:r w:rsidRPr="00143228">
        <w:t>iekšlietu</w:t>
      </w:r>
      <w:proofErr w:type="spellEnd"/>
      <w:r w:rsidRPr="00143228">
        <w:t xml:space="preserve"> komitejas un Reģionālās attīstības komitejas atzinumus,</w:t>
      </w:r>
    </w:p>
    <w:p w:rsidR="00E208F3" w:rsidRPr="00143228" w:rsidRDefault="00E208F3" w:rsidP="00E208F3">
      <w:pPr>
        <w:pStyle w:val="NormalHanging12a"/>
      </w:pPr>
      <w:r w:rsidRPr="00143228">
        <w:t>–</w:t>
      </w:r>
      <w:r w:rsidRPr="00143228">
        <w:tab/>
        <w:t>ņemot vērā Nodarbinātības un sociālo lietu komitejas ziņojumu (A9</w:t>
      </w:r>
      <w:r w:rsidRPr="00143228">
        <w:noBreakHyphen/>
        <w:t>0284/2023),</w:t>
      </w:r>
    </w:p>
    <w:p w:rsidR="00E208F3" w:rsidRPr="00143228" w:rsidRDefault="00E208F3" w:rsidP="00E208F3">
      <w:pPr>
        <w:pStyle w:val="NormalHanging12a"/>
      </w:pPr>
      <w:r w:rsidRPr="00143228">
        <w:t>1.</w:t>
      </w:r>
      <w:r w:rsidRPr="00143228">
        <w:tab/>
        <w:t>pieņem pirmajā lasījumā turpmāk izklāstīto nostāju;</w:t>
      </w:r>
    </w:p>
    <w:p w:rsidR="00E208F3" w:rsidRPr="00143228" w:rsidRDefault="00E208F3" w:rsidP="00E208F3">
      <w:pPr>
        <w:pStyle w:val="NormalHanging12a"/>
      </w:pPr>
      <w:r w:rsidRPr="00143228">
        <w:t>2.</w:t>
      </w:r>
      <w:r w:rsidRPr="00143228">
        <w:tab/>
        <w:t>prasa Komisijai priekšlikumu Parlamentam iesniegt vēlreiz, ja tā savu priekšlikumu aizstāj, būtiski groza vai ir paredzējusi to būtiski grozīt;</w:t>
      </w:r>
    </w:p>
    <w:p w:rsidR="00C37615" w:rsidRPr="00143228" w:rsidRDefault="00E208F3" w:rsidP="00E208F3">
      <w:pPr>
        <w:pStyle w:val="NormalHanging12a"/>
      </w:pPr>
      <w:r w:rsidRPr="00143228">
        <w:t>3.</w:t>
      </w:r>
      <w:r w:rsidRPr="00143228">
        <w:tab/>
        <w:t>uzdod priekšsēdētājai Parlamenta nostāju nosūtīt Padomei</w:t>
      </w:r>
      <w:r w:rsidR="00F35FA7" w:rsidRPr="00143228">
        <w:t xml:space="preserve"> un</w:t>
      </w:r>
      <w:r w:rsidRPr="00143228">
        <w:t xml:space="preserve"> Komisijai</w:t>
      </w:r>
      <w:r w:rsidR="00C37615" w:rsidRPr="00143228">
        <w:t>, kā arī</w:t>
      </w:r>
      <w:r w:rsidRPr="00143228">
        <w:t xml:space="preserve"> </w:t>
      </w:r>
      <w:r w:rsidRPr="00143228">
        <w:lastRenderedPageBreak/>
        <w:t>dalībvalstu parlamentiem.</w:t>
      </w:r>
    </w:p>
    <w:p w:rsidR="00C12891" w:rsidRDefault="00C12891">
      <w:pPr>
        <w:widowControl/>
        <w:sectPr w:rsidR="00C12891" w:rsidSect="002945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B2F58" w:rsidRPr="00C95A7D" w:rsidRDefault="003B2F58" w:rsidP="00C12891">
      <w:pPr>
        <w:pStyle w:val="Normal12Hanging"/>
        <w:tabs>
          <w:tab w:val="left" w:pos="357"/>
        </w:tabs>
        <w:ind w:left="0" w:firstLine="0"/>
        <w:rPr>
          <w:b/>
        </w:rPr>
      </w:pPr>
      <w:r w:rsidRPr="00C95A7D">
        <w:rPr>
          <w:b/>
        </w:rPr>
        <w:lastRenderedPageBreak/>
        <w:t>P9_TC1-COD(20</w:t>
      </w:r>
      <w:r>
        <w:rPr>
          <w:rFonts w:eastAsiaTheme="minorHAnsi"/>
          <w:b/>
          <w:szCs w:val="22"/>
          <w:lang w:eastAsia="en-US"/>
        </w:rPr>
        <w:t>23)0</w:t>
      </w:r>
      <w:r w:rsidR="00C12891">
        <w:rPr>
          <w:rFonts w:eastAsiaTheme="minorHAnsi"/>
          <w:b/>
          <w:szCs w:val="22"/>
          <w:lang w:eastAsia="en-US"/>
        </w:rPr>
        <w:t>008</w:t>
      </w:r>
    </w:p>
    <w:p w:rsidR="00C37615" w:rsidRPr="003B2F58" w:rsidRDefault="003B2F58" w:rsidP="003B2F58">
      <w:pPr>
        <w:pStyle w:val="Normal12Hanging"/>
        <w:ind w:left="0" w:firstLine="0"/>
        <w:rPr>
          <w:b/>
          <w:noProof/>
        </w:rPr>
      </w:pPr>
      <w:r w:rsidRPr="00C95A7D">
        <w:rPr>
          <w:b/>
        </w:rPr>
        <w:t xml:space="preserve">Eiropas Parlamenta nostāja, pieņemta pirmajā lasījumā 2024. gada </w:t>
      </w:r>
      <w:r>
        <w:rPr>
          <w:b/>
        </w:rPr>
        <w:t>24. aprīlī</w:t>
      </w:r>
      <w:r w:rsidRPr="00C95A7D">
        <w:rPr>
          <w:b/>
        </w:rPr>
        <w:t>, lai pieņemtu Eiropas Parlamenta un Padomes Regulu (ES) 2024/...</w:t>
      </w:r>
      <w:r>
        <w:rPr>
          <w:b/>
        </w:rPr>
        <w:t xml:space="preserve"> </w:t>
      </w:r>
      <w:r w:rsidRPr="00143228">
        <w:rPr>
          <w:b/>
        </w:rPr>
        <w:t>par Eiropas statistiku par iedzīvotājiem un mājokļiem, ar ko groza Regulu (EK) Nr. 862/2007 un atceļ Regulas (EK) Nr. 763/2008 un (ES) Nr. 1260/2013</w:t>
      </w:r>
      <w:r w:rsidRPr="00107BF2">
        <w:rPr>
          <w:rStyle w:val="FootnoteReference"/>
          <w:rFonts w:eastAsia="Calibri"/>
          <w:b/>
          <w:noProof/>
          <w:szCs w:val="22"/>
        </w:rPr>
        <w:footnoteReference w:customMarkFollows="1" w:id="2"/>
        <w:sym w:font="Symbol" w:char="F02A"/>
      </w:r>
    </w:p>
    <w:p w:rsidR="00C37615" w:rsidRPr="00143228" w:rsidRDefault="00C37615" w:rsidP="00C37615">
      <w:pPr>
        <w:widowControl/>
        <w:spacing w:before="360" w:after="240" w:line="360" w:lineRule="auto"/>
        <w:jc w:val="center"/>
        <w:rPr>
          <w:szCs w:val="24"/>
        </w:rPr>
      </w:pPr>
      <w:r w:rsidRPr="00143228">
        <w:t>(Dokuments attiecas uz EEZ)</w:t>
      </w:r>
    </w:p>
    <w:p w:rsidR="00C37615" w:rsidRPr="00143228" w:rsidRDefault="00C37615" w:rsidP="00C37615">
      <w:pPr>
        <w:keepNext/>
        <w:spacing w:before="600" w:after="120" w:line="360" w:lineRule="auto"/>
        <w:rPr>
          <w:szCs w:val="24"/>
        </w:rPr>
      </w:pPr>
      <w:r w:rsidRPr="00143228">
        <w:t>EIROPAS PARLAMENTS UN EIROPAS SAVIENĪBAS PADOME,</w:t>
      </w:r>
    </w:p>
    <w:p w:rsidR="00C37615" w:rsidRPr="00143228" w:rsidRDefault="00C37615" w:rsidP="00C37615">
      <w:pPr>
        <w:spacing w:before="120" w:after="120" w:line="360" w:lineRule="auto"/>
      </w:pPr>
      <w:r w:rsidRPr="00143228">
        <w:t>ņemot vērā Līgumu par Eiropas Savienības darbību un jo īpaši tā 338. panta 1. punktu,</w:t>
      </w:r>
    </w:p>
    <w:p w:rsidR="00C37615" w:rsidRPr="00143228" w:rsidRDefault="00C37615" w:rsidP="00C37615">
      <w:pPr>
        <w:spacing w:before="120" w:after="120" w:line="360" w:lineRule="auto"/>
      </w:pPr>
      <w:r w:rsidRPr="00143228">
        <w:t>ņemot vērā Eiropas Komisijas priekšlikumu,</w:t>
      </w:r>
    </w:p>
    <w:p w:rsidR="00C37615" w:rsidRPr="00143228" w:rsidRDefault="00C37615" w:rsidP="00C37615">
      <w:pPr>
        <w:spacing w:before="120" w:after="120" w:line="360" w:lineRule="auto"/>
      </w:pPr>
      <w:r w:rsidRPr="00143228">
        <w:t>pēc leģislatīvā akta projekta nosūtīšanas valstu parlamentiem,</w:t>
      </w:r>
    </w:p>
    <w:p w:rsidR="00C37615" w:rsidRPr="00143228" w:rsidRDefault="00C37615" w:rsidP="00C37615">
      <w:pPr>
        <w:spacing w:before="120" w:after="120" w:line="360" w:lineRule="auto"/>
      </w:pPr>
      <w:r w:rsidRPr="00143228">
        <w:t>ņemot vērā Eiropas Ekonomikas un sociālo lietu komitejas atzinumu</w:t>
      </w:r>
      <w:r w:rsidRPr="00143228">
        <w:rPr>
          <w:vertAlign w:val="superscript"/>
          <w:lang w:eastAsia="en-US"/>
        </w:rPr>
        <w:footnoteReference w:id="3"/>
      </w:r>
      <w:r w:rsidRPr="00143228">
        <w:t>,</w:t>
      </w:r>
    </w:p>
    <w:p w:rsidR="00C37615" w:rsidRPr="00143228" w:rsidRDefault="00C37615" w:rsidP="00C37615">
      <w:pPr>
        <w:spacing w:before="120" w:after="120" w:line="360" w:lineRule="auto"/>
      </w:pPr>
      <w:r w:rsidRPr="00143228">
        <w:t>ņemot vērā Reģionu komitejas atzinumu</w:t>
      </w:r>
      <w:r w:rsidRPr="00143228">
        <w:rPr>
          <w:vertAlign w:val="superscript"/>
          <w:lang w:eastAsia="en-US"/>
        </w:rPr>
        <w:footnoteReference w:id="4"/>
      </w:r>
      <w:r w:rsidRPr="00143228">
        <w:t>,</w:t>
      </w:r>
    </w:p>
    <w:p w:rsidR="00C37615" w:rsidRPr="00143228" w:rsidRDefault="00C37615" w:rsidP="00C37615">
      <w:pPr>
        <w:spacing w:before="120" w:after="120" w:line="360" w:lineRule="auto"/>
      </w:pPr>
      <w:r w:rsidRPr="00143228">
        <w:t>saskaņā ar parasto likumdošanas procedūru,</w:t>
      </w:r>
    </w:p>
    <w:p w:rsidR="00C37615" w:rsidRPr="00143228" w:rsidRDefault="00C37615" w:rsidP="00C37615">
      <w:pPr>
        <w:spacing w:before="120" w:after="120" w:line="360" w:lineRule="auto"/>
      </w:pPr>
      <w:r w:rsidRPr="00143228">
        <w:t>tā kā:</w:t>
      </w:r>
    </w:p>
    <w:p w:rsidR="00C37615" w:rsidRPr="00143228" w:rsidRDefault="00C37615" w:rsidP="00C37615">
      <w:pPr>
        <w:spacing w:before="120" w:after="120" w:line="360" w:lineRule="auto"/>
        <w:ind w:left="850" w:hanging="850"/>
        <w:rPr>
          <w:szCs w:val="24"/>
        </w:rPr>
      </w:pPr>
      <w:r w:rsidRPr="00143228">
        <w:t>(1)</w:t>
      </w:r>
      <w:r w:rsidRPr="00143228">
        <w:tab/>
        <w:t xml:space="preserve">Eiropas </w:t>
      </w:r>
      <w:r w:rsidRPr="00143228">
        <w:rPr>
          <w:b/>
          <w:bCs/>
          <w:i/>
          <w:iCs/>
        </w:rPr>
        <w:t>statistikai</w:t>
      </w:r>
      <w:r w:rsidRPr="00143228">
        <w:t xml:space="preserve"> par iedzīvotājiem un mājokļiem ir </w:t>
      </w:r>
      <w:r w:rsidRPr="00143228">
        <w:rPr>
          <w:b/>
          <w:i/>
        </w:rPr>
        <w:t>būtiska loma politikas veidošanas un lēmumu pieņemšanas procesos, un tādējādi tā ir</w:t>
      </w:r>
      <w:r w:rsidRPr="00143228">
        <w:t xml:space="preserve"> vajadzīga, lai izstrādātu, īstenotu un izvērtētu Savienības politiku, jo īpaši to, kas vērsta uz demogrāfiskajām pārmaiņām, zaļo un digitālo pārveidi, energoefektivitātes, ekonomiskās, sociālās un teritoriālās kohēzijas </w:t>
      </w:r>
      <w:r w:rsidRPr="00143228">
        <w:rPr>
          <w:b/>
          <w:i/>
        </w:rPr>
        <w:t>veicināšanas satvaru, Eiropas sociālo tiesību pīlāra principu īstenošanu</w:t>
      </w:r>
      <w:r w:rsidRPr="00143228">
        <w:t xml:space="preserve"> un Apvienoto Nāciju Organizācijas (ANO) 2030. gada programmas ilgtspējīgas attīstības mērķu sasniegšanu</w:t>
      </w:r>
      <w:r w:rsidRPr="00143228">
        <w:rPr>
          <w:b/>
          <w:i/>
        </w:rPr>
        <w:t>, ciktāl tie ietilpst šīs regulas darbības jomā</w:t>
      </w:r>
      <w:r w:rsidRPr="00143228">
        <w:t>.</w:t>
      </w:r>
    </w:p>
    <w:p w:rsidR="00C37615" w:rsidRPr="00143228" w:rsidRDefault="00C37615" w:rsidP="00C37615">
      <w:pPr>
        <w:spacing w:before="120" w:after="120" w:line="360" w:lineRule="auto"/>
        <w:ind w:left="850" w:hanging="850"/>
        <w:rPr>
          <w:szCs w:val="24"/>
        </w:rPr>
      </w:pPr>
      <w:r w:rsidRPr="00143228">
        <w:t>(2)</w:t>
      </w:r>
      <w:r w:rsidRPr="00143228">
        <w:tab/>
        <w:t xml:space="preserve">Statistika par iedzīvotājiem ir svarīgs lielums plašam politikas rādītāju klāstam, ko izmanto kā atsauci visā Eiropas statistikā, jo īpaši, lai nodrošinātu izlases rāmjus personu un mājsaimniecību reprezentatīvu </w:t>
      </w:r>
      <w:proofErr w:type="spellStart"/>
      <w:r w:rsidRPr="00143228">
        <w:t>apsekojumu</w:t>
      </w:r>
      <w:proofErr w:type="spellEnd"/>
      <w:r w:rsidRPr="00143228">
        <w:t xml:space="preserve"> veikšanai saskaņā ar Eiropas </w:t>
      </w:r>
      <w:r w:rsidRPr="00143228">
        <w:lastRenderedPageBreak/>
        <w:t>Parlamenta un Padomes Regulu (ES) 2019/1700</w:t>
      </w:r>
      <w:r w:rsidRPr="00143228">
        <w:rPr>
          <w:szCs w:val="24"/>
          <w:vertAlign w:val="superscript"/>
          <w:lang w:eastAsia="en-US"/>
        </w:rPr>
        <w:footnoteReference w:id="5"/>
      </w:r>
      <w:r w:rsidRPr="00143228">
        <w:t>.</w:t>
      </w:r>
    </w:p>
    <w:p w:rsidR="00C37615" w:rsidRPr="00143228" w:rsidRDefault="00C37615" w:rsidP="00C37615">
      <w:pPr>
        <w:spacing w:before="120" w:after="120" w:line="360" w:lineRule="auto"/>
        <w:ind w:left="850" w:hanging="850"/>
        <w:rPr>
          <w:szCs w:val="24"/>
        </w:rPr>
      </w:pPr>
      <w:r w:rsidRPr="00143228">
        <w:t>(3)</w:t>
      </w:r>
      <w:r w:rsidRPr="00143228">
        <w:tab/>
        <w:t xml:space="preserve">Ekonomikas un finanšu padome regulāri pilnvaro Ekonomikas politikas komiteju ilgtermiņā novērtēt publisko finanšu ilgtspēju un kvalitāti, pamatojoties uz </w:t>
      </w:r>
      <w:proofErr w:type="spellStart"/>
      <w:r w:rsidRPr="00143228">
        <w:rPr>
          <w:i/>
          <w:iCs/>
        </w:rPr>
        <w:t>Eurostat</w:t>
      </w:r>
      <w:proofErr w:type="spellEnd"/>
      <w:r w:rsidRPr="00143228">
        <w:t xml:space="preserve"> sagatavotajām iedzīvotāju skaita prognozēm. Iedzīvotāju skaita prognozes izmanto arī politikas analīzei Eiropas pusgada kontekstā. Komisijas (</w:t>
      </w:r>
      <w:proofErr w:type="spellStart"/>
      <w:r w:rsidRPr="00143228">
        <w:rPr>
          <w:i/>
          <w:iCs/>
        </w:rPr>
        <w:t>Eurostat</w:t>
      </w:r>
      <w:proofErr w:type="spellEnd"/>
      <w:r w:rsidRPr="00143228">
        <w:t>) rīcībā vajadzētu būt visai statistikai, kas nepieciešama, lai sagatavotu un publicētu iedzīvotāju skaita prognozes atbilstoši Savienības vajadzībām pēc informācijas.</w:t>
      </w:r>
    </w:p>
    <w:p w:rsidR="00C37615" w:rsidRPr="00143228" w:rsidRDefault="00C37615" w:rsidP="00C37615">
      <w:pPr>
        <w:spacing w:before="120" w:after="120" w:line="360" w:lineRule="auto"/>
        <w:ind w:left="850" w:hanging="850"/>
        <w:rPr>
          <w:szCs w:val="24"/>
        </w:rPr>
      </w:pPr>
      <w:r w:rsidRPr="00143228">
        <w:t>(4)</w:t>
      </w:r>
      <w:r w:rsidRPr="00143228">
        <w:tab/>
        <w:t>Saskaņā ar Līguma par Eiropas Savienības darbību (LESD) 175. panta otro daļu Komisijai reizi trijos gados ir jāiesniedz ziņojums Eiropas Parlamentam, Padomei, Ekonomikas un sociālo lietu komitejai un Reģionu komitejai par panākumiem, kas gūti ekonomiskajā, sociālajā un teritoriālajā kohēzijā. Reģionālie un vietējie dati, tostarp par dažādiem teritoriālajiem veidiem, piemēram, pierobežas reģioniem, pilsētām un to funkcionālajām pilsētu teritorijām, lielpilsētu reģioniem, lauku reģioniem, kalnu un salu reģioniem, ir vajadzīgi, lai sagatavotu minētos ziņojumus un regulāri uzraudzītu demogrāfiskās norises un iespējamās turpmākās demogrāfiskās problēmas Savienības teritorijā.</w:t>
      </w:r>
    </w:p>
    <w:p w:rsidR="00C37615" w:rsidRPr="00143228" w:rsidRDefault="00C37615" w:rsidP="00C37615">
      <w:pPr>
        <w:spacing w:before="120" w:after="120" w:line="360" w:lineRule="auto"/>
        <w:ind w:left="850" w:hanging="850"/>
        <w:rPr>
          <w:szCs w:val="24"/>
        </w:rPr>
      </w:pPr>
      <w:r w:rsidRPr="00143228">
        <w:t>(5)</w:t>
      </w:r>
      <w:r w:rsidRPr="00143228">
        <w:tab/>
        <w:t xml:space="preserve">Saskaņā ar Līguma par Eiropas Savienību (LES) 16. panta 4. punktu Padomes locekļu kvalificēto balsu vairākumu definē, </w:t>
      </w:r>
      <w:proofErr w:type="spellStart"/>
      <w:r w:rsidRPr="00143228">
        <w:rPr>
          <w:i/>
          <w:iCs/>
        </w:rPr>
        <w:t>inter</w:t>
      </w:r>
      <w:proofErr w:type="spellEnd"/>
      <w:r w:rsidRPr="00143228">
        <w:rPr>
          <w:i/>
          <w:iCs/>
        </w:rPr>
        <w:t xml:space="preserve"> </w:t>
      </w:r>
      <w:proofErr w:type="spellStart"/>
      <w:r w:rsidRPr="00143228">
        <w:rPr>
          <w:i/>
          <w:iCs/>
        </w:rPr>
        <w:t>alia</w:t>
      </w:r>
      <w:proofErr w:type="spellEnd"/>
      <w:r w:rsidRPr="00143228">
        <w:t>, pamatojoties uz dalībvalstu iedzīvotāju skaitu. Šajā nolūkā saskaņā ar Eiropas Parlamenta un Padomes Regulas (ES) Nr. 1260/2013</w:t>
      </w:r>
      <w:r w:rsidRPr="00143228">
        <w:rPr>
          <w:szCs w:val="24"/>
          <w:vertAlign w:val="superscript"/>
          <w:lang w:eastAsia="en-US"/>
        </w:rPr>
        <w:footnoteReference w:id="6"/>
      </w:r>
      <w:r w:rsidRPr="00143228">
        <w:t xml:space="preserve"> 4. panta 1. punktu dalībvalstīm pašlaik ir pienākums sniegt Komisijai (</w:t>
      </w:r>
      <w:proofErr w:type="spellStart"/>
      <w:r w:rsidRPr="00143228">
        <w:rPr>
          <w:i/>
          <w:iCs/>
        </w:rPr>
        <w:t>Eurostat</w:t>
      </w:r>
      <w:proofErr w:type="spellEnd"/>
      <w:r w:rsidRPr="00143228">
        <w:t>) datus par iedzīvotāju kopskaitu valsts līmenī.</w:t>
      </w:r>
    </w:p>
    <w:p w:rsidR="00C37615" w:rsidRPr="00143228" w:rsidRDefault="00C37615" w:rsidP="00C37615">
      <w:pPr>
        <w:spacing w:before="120" w:after="120" w:line="360" w:lineRule="auto"/>
        <w:ind w:left="850" w:hanging="850"/>
        <w:rPr>
          <w:szCs w:val="24"/>
        </w:rPr>
      </w:pPr>
      <w:r w:rsidRPr="00143228">
        <w:t>(6)</w:t>
      </w:r>
      <w:r w:rsidRPr="00143228">
        <w:tab/>
        <w:t xml:space="preserve">Eiropas Statistikas sistēmas komiteja (ESSK) 2017. gadā apstiprināja Budapeštas memorandu, kurā norādīts, ka ir vajadzīga ikgadēja statistika par iedzīvotāju skaitu un konkrētiem sociālajiem, ekonomiskajiem un demogrāfiskajiem raksturlielumiem, kā arī uzlabota statistika par migrāciju. Lai visās darbībās ievērotu pilsoņu vienlīdzības un </w:t>
      </w:r>
      <w:proofErr w:type="spellStart"/>
      <w:r w:rsidRPr="00143228">
        <w:t>nediskriminācijas</w:t>
      </w:r>
      <w:proofErr w:type="spellEnd"/>
      <w:r w:rsidRPr="00143228">
        <w:t xml:space="preserve"> principus un pilsoņu tiesības, kas noteiktas Eiropas </w:t>
      </w:r>
      <w:r w:rsidRPr="00143228">
        <w:lastRenderedPageBreak/>
        <w:t xml:space="preserve">Savienības </w:t>
      </w:r>
      <w:proofErr w:type="spellStart"/>
      <w:r w:rsidRPr="00143228">
        <w:t>Pamattiesību</w:t>
      </w:r>
      <w:proofErr w:type="spellEnd"/>
      <w:r w:rsidRPr="00143228">
        <w:t xml:space="preserve"> hartā un </w:t>
      </w:r>
      <w:proofErr w:type="spellStart"/>
      <w:r w:rsidRPr="00143228">
        <w:t>LESD</w:t>
      </w:r>
      <w:proofErr w:type="spellEnd"/>
      <w:r w:rsidRPr="00143228">
        <w:t xml:space="preserve"> 10. un 19. pantā, </w:t>
      </w:r>
      <w:r w:rsidRPr="00143228">
        <w:rPr>
          <w:b/>
          <w:i/>
        </w:rPr>
        <w:t>un lai uzraudzītu progresu Eiropas sociālo tiesību pīlāra principu īstenošanā,</w:t>
      </w:r>
      <w:r w:rsidRPr="00143228">
        <w:t xml:space="preserve"> Savienībai ir vajadzīga ticama un salīdzināma statistika. Regula (ES) 2019/1700 nodrošina ietvaru datu vākšanai no izlasēm, kas ļauj vākt datus par līdztiesību un </w:t>
      </w:r>
      <w:proofErr w:type="spellStart"/>
      <w:r w:rsidRPr="00143228">
        <w:t>nediskrimināciju</w:t>
      </w:r>
      <w:proofErr w:type="spellEnd"/>
      <w:r w:rsidRPr="00143228">
        <w:t xml:space="preserve">, ciktāl tas ir iespējams izlasēs, un analizēt dažus līdztiesības un diskriminācijas aspektus, sagatavojot sociālekonomiskos rādītājus un informāciju par diskriminācijas pieredzi. Turklāt </w:t>
      </w:r>
      <w:proofErr w:type="spellStart"/>
      <w:r w:rsidRPr="00143228">
        <w:t>Pamattiesību</w:t>
      </w:r>
      <w:proofErr w:type="spellEnd"/>
      <w:r w:rsidRPr="00143228">
        <w:t xml:space="preserve"> aģentūra (</w:t>
      </w:r>
      <w:proofErr w:type="spellStart"/>
      <w:r w:rsidRPr="00143228">
        <w:rPr>
          <w:i/>
          <w:iCs/>
        </w:rPr>
        <w:t>FRA</w:t>
      </w:r>
      <w:proofErr w:type="spellEnd"/>
      <w:r w:rsidRPr="00143228">
        <w:t>) un Eiropas Dzimumu līdztiesības institūts (</w:t>
      </w:r>
      <w:r w:rsidRPr="00143228">
        <w:rPr>
          <w:i/>
          <w:iCs/>
        </w:rPr>
        <w:t>EIGE</w:t>
      </w:r>
      <w:r w:rsidRPr="00143228">
        <w:t xml:space="preserve">) veic konkrētus pētījumus un īpašus </w:t>
      </w:r>
      <w:proofErr w:type="spellStart"/>
      <w:r w:rsidRPr="00143228">
        <w:t>apsekojumus</w:t>
      </w:r>
      <w:proofErr w:type="spellEnd"/>
      <w:r w:rsidRPr="00143228">
        <w:t>, kas var vēl vairāk paplašināt līdztiesības statistikas pieejamību Savienības līmenī.</w:t>
      </w:r>
      <w:r w:rsidRPr="00143228">
        <w:rPr>
          <w:b/>
          <w:i/>
        </w:rPr>
        <w:t xml:space="preserve"> Savukārt Eiropas Dzīves un darba apstākļu uzlabošanas fonds (</w:t>
      </w:r>
      <w:proofErr w:type="spellStart"/>
      <w:r w:rsidRPr="00143228">
        <w:rPr>
          <w:b/>
          <w:i/>
          <w:iCs/>
        </w:rPr>
        <w:t>Eurofound</w:t>
      </w:r>
      <w:proofErr w:type="spellEnd"/>
      <w:r w:rsidRPr="00143228">
        <w:rPr>
          <w:b/>
          <w:i/>
        </w:rPr>
        <w:t xml:space="preserve">) sniedz datus un informāciju, kas savākta, veicot </w:t>
      </w:r>
      <w:proofErr w:type="spellStart"/>
      <w:r w:rsidRPr="00143228">
        <w:rPr>
          <w:b/>
          <w:i/>
        </w:rPr>
        <w:t>apsekojumus</w:t>
      </w:r>
      <w:proofErr w:type="spellEnd"/>
      <w:r w:rsidRPr="00143228">
        <w:rPr>
          <w:b/>
          <w:i/>
        </w:rPr>
        <w:t xml:space="preserve"> par dzīves un darba apstākļiem.</w:t>
      </w:r>
      <w:r w:rsidRPr="00143228">
        <w:t xml:space="preserve"> Būtu vēl vairāk jāuzlabo sadarbība un koordinācija starp dalībvalstīm, Komisiju (</w:t>
      </w:r>
      <w:proofErr w:type="spellStart"/>
      <w:r w:rsidRPr="00143228">
        <w:rPr>
          <w:i/>
          <w:iCs/>
        </w:rPr>
        <w:t>Eurostat</w:t>
      </w:r>
      <w:proofErr w:type="spellEnd"/>
      <w:r w:rsidRPr="00143228">
        <w:t>) un šīm aģentūrām, lai apmierinātu lietotāju pieaugošo pieprasījumu pēc uzticamiem un visaptverošiem datiem par līdztiesību un daudzveidību Savienībā.</w:t>
      </w:r>
    </w:p>
    <w:p w:rsidR="00C37615" w:rsidRPr="00143228" w:rsidRDefault="00C37615" w:rsidP="00C37615">
      <w:pPr>
        <w:spacing w:before="120" w:after="120" w:line="360" w:lineRule="auto"/>
        <w:ind w:left="850" w:hanging="850"/>
        <w:rPr>
          <w:szCs w:val="24"/>
        </w:rPr>
      </w:pPr>
      <w:r w:rsidRPr="00143228">
        <w:rPr>
          <w:b/>
          <w:i/>
        </w:rPr>
        <w:t>(6a)</w:t>
      </w:r>
      <w:r w:rsidRPr="00143228">
        <w:tab/>
      </w:r>
      <w:r w:rsidRPr="00143228">
        <w:rPr>
          <w:b/>
          <w:i/>
        </w:rPr>
        <w:t>Budapeštas memorandā ir pausts arī aicinājums uzlabot statistiku par migrāciju un izstrādāt un ieviest kopējas ar iedzīvotājiem un migrāciju saistītas definīcijas, ņemot vērā vajadzību izveidot statistiski pamatotas, atbilstīgas un piemērojamas koncepcijas un definīcijas, ņemot vērā jaunos migrācijas veidus. Notikumi, kas pieredzēti pagātnē vai joprojām turpinās, piemēram, Apvienotās Karalistes izstāšanās no Savienības vai sekas, ko radījis Krievijas agresijas karš pret Ukrainu un citas humanitārās krīzes, akcentē to, cik liela nozīme ir savlaicīgai un detalizētai migrācijas un starptautiskās aizsardzības statistikai, kas ir ārkārtīgi svarīga, lai gūtu pārskatu par migrācijas plūsmām uz Savienību, tās iekšienē un no tās.</w:t>
      </w:r>
    </w:p>
    <w:p w:rsidR="00C37615" w:rsidRPr="00143228" w:rsidRDefault="00C37615" w:rsidP="00C37615">
      <w:pPr>
        <w:spacing w:before="120" w:after="120" w:line="360" w:lineRule="auto"/>
        <w:ind w:left="850" w:hanging="850"/>
        <w:rPr>
          <w:szCs w:val="24"/>
        </w:rPr>
      </w:pPr>
      <w:r w:rsidRPr="00143228">
        <w:t>(7)</w:t>
      </w:r>
      <w:r w:rsidRPr="00143228">
        <w:tab/>
        <w:t xml:space="preserve">Lai sasniegtu Eiropas zaļā kursa mērķus, efektīvas politikas izstrādei un izvērtēšanai ir vajadzīga uzlabota statistika par mājokļu </w:t>
      </w:r>
      <w:proofErr w:type="spellStart"/>
      <w:r w:rsidRPr="00143228">
        <w:t>energopatēriņu</w:t>
      </w:r>
      <w:proofErr w:type="spellEnd"/>
      <w:r w:rsidRPr="00143228">
        <w:t xml:space="preserve"> un efektivitāti, detalizēti ģeogrāfiskie dati par iedzīvotāju sadalījumu, kā arī padziļināti pētījumi par saikni starp iedzīvotājiem un mājokļiem. Covid-19 pandēmija uzskatāmi parādīja nepieciešamību pēc uzticamas, biežas un savlaicīgas statistikas par nāves gadījumiem Savienībā. Lai gan datu vajadzības tika apmierinātas, izmantojot tādu datu brīvprātīgu vākšanu, ko dalībvalstis nosūtīja Komisijai (</w:t>
      </w:r>
      <w:proofErr w:type="spellStart"/>
      <w:r w:rsidRPr="00143228">
        <w:rPr>
          <w:i/>
          <w:iCs/>
        </w:rPr>
        <w:t>Eurostat</w:t>
      </w:r>
      <w:proofErr w:type="spellEnd"/>
      <w:r w:rsidRPr="00143228">
        <w:t>), Savienībai ir vajadzīgs atbilstošs mehānisms šādu datu obligātai vākšanai Eiropas Statistikas sistēmā (ESS) ar nepieciešamo biežumu, savlaicīgumu un detalizētības pakāpi.</w:t>
      </w:r>
    </w:p>
    <w:p w:rsidR="00C37615" w:rsidRPr="00143228" w:rsidRDefault="00C37615" w:rsidP="00C37615">
      <w:pPr>
        <w:spacing w:before="120" w:after="120" w:line="360" w:lineRule="auto"/>
        <w:ind w:left="850" w:hanging="850"/>
        <w:rPr>
          <w:szCs w:val="24"/>
        </w:rPr>
      </w:pPr>
      <w:r w:rsidRPr="00143228">
        <w:rPr>
          <w:b/>
          <w:i/>
        </w:rPr>
        <w:lastRenderedPageBreak/>
        <w:t>(7a)</w:t>
      </w:r>
      <w:r w:rsidRPr="00143228">
        <w:tab/>
      </w:r>
      <w:r w:rsidRPr="00143228">
        <w:rPr>
          <w:b/>
          <w:i/>
        </w:rPr>
        <w:t>Lai uzraudzītu progresu Eiropas sociālo tiesību pīlāra principu, tā rīcības plāna pamatmērķu un Eiropas Garantijas bērniem īstenošanā valstu līmenī un izvērtētu klimata pārmaiņu un politikas distributīvo ietekmi kopumā, Savienībai ir vajadzīgs atbilstošs mehānisms šādu datu obligātai vākšanai ESS ar nepieciešamo biežumu, savlaicīgumu un detalizētības pakāpi.</w:t>
      </w:r>
    </w:p>
    <w:p w:rsidR="00C37615" w:rsidRPr="00143228" w:rsidRDefault="00C37615" w:rsidP="00C37615">
      <w:pPr>
        <w:spacing w:before="120" w:after="120" w:line="360" w:lineRule="auto"/>
        <w:ind w:left="850" w:hanging="850"/>
        <w:rPr>
          <w:szCs w:val="24"/>
        </w:rPr>
      </w:pPr>
      <w:r w:rsidRPr="00143228">
        <w:t>(8)</w:t>
      </w:r>
      <w:r w:rsidRPr="00143228">
        <w:tab/>
        <w:t>ANO Ekonomikas un sociālo lietu padome pēc ANO Statistikas komisijas priekšlikuma ik pēc desmit gadiem pieņem rezolūcijas par pasaules iedzīvotāju un mājokļu skaitīšanu un aicina ANO dalībvalstis veikt iedzīvotāju un mājokļu skaitīšanu, ievērojot starptautiskus un reģionālus ieteikumus un nodrošinot iedzīvotāju un mājokļu skaitīšanas rezultātu integritāti, uzticamību, precizitāti un vērtību. Šie ieteikumi būtu jāņem vērā Eiropas statistikā par iedzīvotājiem un mājokļiem.</w:t>
      </w:r>
    </w:p>
    <w:p w:rsidR="00C37615" w:rsidRPr="00143228" w:rsidRDefault="00C37615" w:rsidP="00C37615">
      <w:pPr>
        <w:spacing w:before="120" w:after="120" w:line="360" w:lineRule="auto"/>
        <w:ind w:left="850" w:hanging="850"/>
        <w:rPr>
          <w:szCs w:val="24"/>
        </w:rPr>
      </w:pPr>
      <w:r w:rsidRPr="00143228">
        <w:t>(9)</w:t>
      </w:r>
      <w:r w:rsidRPr="00143228">
        <w:tab/>
      </w:r>
      <w:r w:rsidRPr="00143228">
        <w:rPr>
          <w:b/>
          <w:i/>
        </w:rPr>
        <w:t xml:space="preserve">Tāpēc viens no Komisijas galvenajiem mērķiem ir racionalizēt ziņošanas pienākumus un samazināt administratīvo slogu. Komisijas 2023. gada 16. marta paziņojumā “ES ilgtermiņa konkurētspēja: skatījums pēc 2030. gada” pausts mērķis par 25 % racionalizēt un vienkāršot ziņošanas prasības uzņēmumiem un pārvaldes iestādēm, vienlaikus neapdraudot attiecīgos politikas mērķus. </w:t>
      </w:r>
      <w:r w:rsidRPr="00143228">
        <w:t>Ar Eiropas Parlamenta un Padomes Regulu (EK) Nr. 223/2009</w:t>
      </w:r>
      <w:r w:rsidRPr="00143228">
        <w:rPr>
          <w:szCs w:val="24"/>
          <w:vertAlign w:val="superscript"/>
          <w:lang w:eastAsia="en-US"/>
        </w:rPr>
        <w:footnoteReference w:id="7"/>
      </w:r>
      <w:r w:rsidRPr="00143228">
        <w:t xml:space="preserve"> tika izveidots Eiropas statistikas izstrādes, sagatavošanas un izplatīšanas tiesiskais regulējums, pamatojoties uz kopīgiem statistikas principiem. Minētajā regulā ir noteikti kvalitātes kritēriji un norādīts uz nepieciešamību mazināt slogu, ko aptauju respondentiem rada atbilžu sniegšana, un palīdzēt sasniegt vispārīgo mērķi samazināt administratīvo slogu. Jaunajam Eiropas iedzīvotāju un mājokļu statistikas tiesiskajam regulējumam būtu jāīsteno minētajā regulā noteiktie kvalitātes kritēriji </w:t>
      </w:r>
      <w:r w:rsidRPr="00143228">
        <w:rPr>
          <w:b/>
          <w:i/>
        </w:rPr>
        <w:t>un jābalstās uz tiem, kā arī jāsamazina administratīvais slogs</w:t>
      </w:r>
      <w:r w:rsidRPr="00143228">
        <w:t xml:space="preserve">, paredzot pieejamo datu avotu, tostarp administratīvo datu, efektīvu un rezultatīvu </w:t>
      </w:r>
      <w:proofErr w:type="spellStart"/>
      <w:r w:rsidRPr="00143228">
        <w:t>atkalizmantošanu</w:t>
      </w:r>
      <w:proofErr w:type="spellEnd"/>
      <w:r w:rsidRPr="00143228">
        <w:t>.</w:t>
      </w:r>
    </w:p>
    <w:p w:rsidR="00C37615" w:rsidRPr="00143228" w:rsidRDefault="00C37615" w:rsidP="00C37615">
      <w:pPr>
        <w:spacing w:before="120" w:after="120" w:line="360" w:lineRule="auto"/>
        <w:ind w:left="850" w:hanging="850"/>
        <w:rPr>
          <w:szCs w:val="24"/>
        </w:rPr>
      </w:pPr>
      <w:r w:rsidRPr="00143228">
        <w:t>(10)</w:t>
      </w:r>
      <w:r w:rsidRPr="00143228">
        <w:tab/>
        <w:t xml:space="preserve">Pastāvošās Savienības iedzīvotāju un mājokļu skaitīšanas statistikas, starptautiskās </w:t>
      </w:r>
      <w:r w:rsidRPr="00143228">
        <w:lastRenderedPageBreak/>
        <w:t xml:space="preserve">migrācijas plūsmu statistikas, migrantu skaita un pilsonības iegūšanas un demogrāfijas statistikas </w:t>
      </w:r>
      <w:proofErr w:type="spellStart"/>
      <w:r w:rsidRPr="00143228">
        <w:t>izvērtējums</w:t>
      </w:r>
      <w:proofErr w:type="spellEnd"/>
      <w:r w:rsidRPr="00143228">
        <w:rPr>
          <w:szCs w:val="24"/>
          <w:vertAlign w:val="superscript"/>
          <w:lang w:eastAsia="en-US"/>
        </w:rPr>
        <w:footnoteReference w:id="8"/>
      </w:r>
      <w:r w:rsidRPr="00143228">
        <w:t xml:space="preserve"> liecina, ka pašreizējais tiesiskais regulējums, kurā ietilpst Eiropas Parlamenta un Padomes Regula (EK) Nr. 862/2007</w:t>
      </w:r>
      <w:r w:rsidRPr="00143228">
        <w:rPr>
          <w:szCs w:val="24"/>
          <w:vertAlign w:val="superscript"/>
          <w:lang w:eastAsia="en-US"/>
        </w:rPr>
        <w:footnoteReference w:id="9"/>
      </w:r>
      <w:r w:rsidRPr="00143228">
        <w:t>, (EK) Nr. 763/2008</w:t>
      </w:r>
      <w:r w:rsidRPr="00143228">
        <w:rPr>
          <w:szCs w:val="24"/>
          <w:vertAlign w:val="superscript"/>
          <w:lang w:eastAsia="en-US"/>
        </w:rPr>
        <w:footnoteReference w:id="10"/>
      </w:r>
      <w:r w:rsidRPr="00143228">
        <w:t xml:space="preserve"> un (ES) Nr. 1260/2013, ir nodrošinājis būtiskus vispārējus statistikas uzlabojumus salīdzinājumā ar situāciju 2005. gadā, kad nebija pašreizējā tiesiskā regulējuma. Tomēr šajā regulējumā potenciāli var rasties saskaņotības un salīdzināmības trūkums, un tas būtu jānovērš.</w:t>
      </w:r>
    </w:p>
    <w:p w:rsidR="00C37615" w:rsidRPr="00143228" w:rsidRDefault="00C37615" w:rsidP="00C37615">
      <w:pPr>
        <w:spacing w:before="120" w:after="120" w:line="360" w:lineRule="auto"/>
        <w:ind w:left="850" w:hanging="850"/>
        <w:rPr>
          <w:szCs w:val="24"/>
        </w:rPr>
      </w:pPr>
      <w:r w:rsidRPr="00143228">
        <w:t>(11)</w:t>
      </w:r>
      <w:r w:rsidRPr="00143228">
        <w:tab/>
      </w:r>
      <w:r w:rsidRPr="00143228">
        <w:rPr>
          <w:b/>
          <w:i/>
        </w:rPr>
        <w:t>Klimata pārmaiņas, digitālā pārveide,</w:t>
      </w:r>
      <w:r w:rsidRPr="00143228">
        <w:t xml:space="preserve"> demogrāfiskās situācijas attīstība un nesenās migrācijas tendences ir radījušas pieprasījumu pēc savlaicīgākas, biežākas un detalizētākas Eiropas statistikas par iedzīvotājiem, </w:t>
      </w:r>
      <w:r w:rsidRPr="00143228">
        <w:rPr>
          <w:b/>
          <w:i/>
        </w:rPr>
        <w:t>sociālekonomiskajām norisēm,</w:t>
      </w:r>
      <w:r w:rsidRPr="00143228">
        <w:t xml:space="preserve"> būtiskiem notikumiem un mājokļiem, tostarp pēc detalizētas informācijas par tematiem vai grupām, kas pēdējā desmitgadē kļuvuši politiski un sociāli nozīmīgi. Turklāt spēkā esošais tiesiskais regulējums nav pietiekami elastīgs, lai varētu pielāgoties mainīgajām politikas vajadzībām un izmantot jaunus avotus valstu un Savienības līmenī. Bez tam spēkā esošā tiesiskā regulējuma struktūra trīs atsevišķu regulu veidā, kas pieņemtas dažādos laikos, ir iekšēju statistikas neatbilstību iemesls. Visbeidzot, tā kā Regula (ES) Nr. 1260/2013 zaudēs spēku 2028. gada 31. augustā, saskaņā ar minēto regulu savāktajai demogrāfijas statistikai ir vajadzīgs jauns juridiskais pamats. Tāpēc pašreizējais tiesiskais regulējums ir jāaizstāj ar jaunu, saskaņotāku un elastīgāku regulējumu, ar kuru būtu jāgroza Regulas (EK) Nr. 862/2007 attiecīgās daļas un jāatceļ Regulas (EK) Nr. 763/2008 un (ES) Nr. 1260/2013.</w:t>
      </w:r>
    </w:p>
    <w:p w:rsidR="00C37615" w:rsidRPr="00143228" w:rsidRDefault="00C37615" w:rsidP="00C37615">
      <w:pPr>
        <w:spacing w:before="120" w:after="120" w:line="360" w:lineRule="auto"/>
        <w:ind w:left="850" w:hanging="850"/>
        <w:rPr>
          <w:szCs w:val="24"/>
        </w:rPr>
      </w:pPr>
      <w:r w:rsidRPr="00143228">
        <w:t>(12)</w:t>
      </w:r>
      <w:r w:rsidRPr="00143228">
        <w:tab/>
        <w:t xml:space="preserve">Regulas (EK) Nr. 862/2007 3. pants attiecas uz statistiku par patstāvīgo iedzīvotāju pilsonības valsti un dzimšanas vietu (migrantu skaits), par dzīvesvietas maiņu starp valstīm (starptautiskās migrācijas plūsmas) un par pastāvīgo iedzīvotāju pilsonības iegūšanu, savukārt pārējie statistikas dati saskaņā ar minēto regulu attiecas uz administratīvajām un juridiskajām procedūrām saistībā ar imigrācijas tiesību aktiem </w:t>
      </w:r>
      <w:r w:rsidRPr="00143228">
        <w:lastRenderedPageBreak/>
        <w:t>un starptautisko aizsardzību. Tāpēc minētās regulas 3. pantā aplūkotā statistika ir cieši saistīta ar Regulā (EK) Nr. 763/2008 un Regulā (ES) Nr. 1260/2013 paredzēto statistiku par pastāvīgajiem iedzīvotājiem un to demogrāfiskās struktūras izmaiņām, un šai statistikai būtu tai jāatbilst. Tādēļ, lai patiešām nodrošinātu konsekvenci, šī statistika būtu jāintegrē vienā juridiskajā pamatā, vienlaikus svītrojot 3. pantu no Regulas (EK) Nr. 862/2007.</w:t>
      </w:r>
    </w:p>
    <w:p w:rsidR="00C37615" w:rsidRPr="00143228" w:rsidRDefault="00C37615" w:rsidP="00C37615">
      <w:pPr>
        <w:spacing w:before="120" w:after="120" w:line="360" w:lineRule="auto"/>
        <w:ind w:left="850" w:hanging="850"/>
        <w:rPr>
          <w:szCs w:val="24"/>
        </w:rPr>
      </w:pPr>
      <w:r w:rsidRPr="00143228">
        <w:t>(13)</w:t>
      </w:r>
      <w:r w:rsidRPr="00143228">
        <w:tab/>
        <w:t>Dažu iedzīvotāju un mājokļu raksturlielumu straujās izmaiņas, jo īpaši saistībā ar demogrāfiskajām</w:t>
      </w:r>
      <w:r w:rsidRPr="00143228">
        <w:rPr>
          <w:b/>
          <w:i/>
        </w:rPr>
        <w:t>, sociālekonomiskajām</w:t>
      </w:r>
      <w:r w:rsidRPr="00143228">
        <w:t xml:space="preserve"> un migrācijas parādībām, un ar to saistītā vajadzība pēc ātras </w:t>
      </w:r>
      <w:proofErr w:type="spellStart"/>
      <w:r w:rsidRPr="00143228">
        <w:t>mērķorientācijas</w:t>
      </w:r>
      <w:proofErr w:type="spellEnd"/>
      <w:r w:rsidRPr="00143228">
        <w:t xml:space="preserve"> un politikas pielāgošanas nozīmē, ka ir nepieciešams, lai statistika būtu savlaicīgi pieejama drīz pēc pārskata perioda. Tāpēc statistikas periodiskums un savlaicīgums būtu ievērojami jāuzlabo</w:t>
      </w:r>
      <w:r w:rsidRPr="00143228">
        <w:rPr>
          <w:b/>
          <w:i/>
        </w:rPr>
        <w:t>, ja iespējams, izmantojot administratīvos datus un administratīvos ierakstus</w:t>
      </w:r>
      <w:r w:rsidRPr="00143228">
        <w:t>.</w:t>
      </w:r>
      <w:r w:rsidRPr="00143228">
        <w:rPr>
          <w:b/>
          <w:i/>
        </w:rPr>
        <w:t xml:space="preserve"> Tādēļ dalībvalstīm būtu jānodrošina atbilstoši resursi savām valsts statistikas iestādēm.</w:t>
      </w:r>
    </w:p>
    <w:p w:rsidR="00C37615" w:rsidRPr="00143228" w:rsidRDefault="00C37615" w:rsidP="00C37615">
      <w:pPr>
        <w:spacing w:before="120" w:after="120" w:line="360" w:lineRule="auto"/>
        <w:ind w:left="850" w:hanging="850"/>
        <w:rPr>
          <w:szCs w:val="24"/>
        </w:rPr>
      </w:pPr>
      <w:r w:rsidRPr="00143228">
        <w:t>(14)</w:t>
      </w:r>
      <w:r w:rsidRPr="00143228">
        <w:tab/>
        <w:t>Eiropas Parlamenta un Padomes Regulā (EK) Nr. 1059/2003</w:t>
      </w:r>
      <w:r w:rsidRPr="00143228">
        <w:rPr>
          <w:szCs w:val="24"/>
          <w:vertAlign w:val="superscript"/>
          <w:lang w:eastAsia="en-US"/>
        </w:rPr>
        <w:footnoteReference w:id="11"/>
      </w:r>
      <w:r w:rsidRPr="00143228">
        <w:t xml:space="preserve"> ir izveidota metodoloģija, kuras pamatā ir koordinātu tīkls teritoriālo tipoloģiju definēšanai, pamatojoties uz iedzīvotāju sadalījumu pa 1 km</w:t>
      </w:r>
      <w:r w:rsidRPr="00143228">
        <w:rPr>
          <w:vertAlign w:val="superscript"/>
        </w:rPr>
        <w:t>2</w:t>
      </w:r>
      <w:r w:rsidRPr="00143228">
        <w:t xml:space="preserve"> koordinātu tīkla šūnām. Komisijas Īstenošanas regula (ES) 2018/1799</w:t>
      </w:r>
      <w:r w:rsidRPr="00143228">
        <w:rPr>
          <w:szCs w:val="24"/>
          <w:vertAlign w:val="superscript"/>
          <w:lang w:eastAsia="en-US"/>
        </w:rPr>
        <w:footnoteReference w:id="12"/>
      </w:r>
      <w:r w:rsidRPr="00143228">
        <w:t xml:space="preserve"> kā īslaicīga tieša statistikas darbība, kas papildina 2021. gada iedzīvotāju un mājokļu skaitīšanu, nosaka galvenos skaitīšanas rezultātus Eiropas mēroga 1 km</w:t>
      </w:r>
      <w:r w:rsidRPr="00143228">
        <w:rPr>
          <w:vertAlign w:val="superscript"/>
        </w:rPr>
        <w:t>2</w:t>
      </w:r>
      <w:r w:rsidRPr="00143228">
        <w:t xml:space="preserve"> koordinātu tīklā. Tiesiskajam regulējumam būtu jānodrošina </w:t>
      </w:r>
      <w:proofErr w:type="spellStart"/>
      <w:r w:rsidRPr="00143228">
        <w:t>ģeoreferencētas</w:t>
      </w:r>
      <w:proofErr w:type="spellEnd"/>
      <w:r w:rsidRPr="00143228">
        <w:t xml:space="preserve"> iedzīvotāju statistikas, kuras pamatā ir koordinātu tīkli, pastāvīga izplatīšana un tās attiecināšana arī uz mājokļu statistiku.</w:t>
      </w:r>
    </w:p>
    <w:p w:rsidR="00C37615" w:rsidRPr="00143228" w:rsidRDefault="00C37615" w:rsidP="00C37615">
      <w:pPr>
        <w:spacing w:before="120" w:after="120" w:line="360" w:lineRule="auto"/>
        <w:ind w:left="850" w:hanging="850"/>
        <w:rPr>
          <w:szCs w:val="24"/>
        </w:rPr>
      </w:pPr>
      <w:r w:rsidRPr="00143228">
        <w:t>(15)</w:t>
      </w:r>
      <w:r w:rsidRPr="00143228">
        <w:tab/>
        <w:t>Teritoriālās vienības un statistikas koordinātu tīkli būtu jādefinē saskaņā ar Regulu (EK) Nr. 1059/2003.</w:t>
      </w:r>
    </w:p>
    <w:p w:rsidR="00C37615" w:rsidRPr="00143228" w:rsidRDefault="00C37615" w:rsidP="00C37615">
      <w:pPr>
        <w:spacing w:before="120" w:after="120" w:line="360" w:lineRule="auto"/>
        <w:ind w:left="850" w:hanging="850"/>
        <w:rPr>
          <w:szCs w:val="24"/>
        </w:rPr>
      </w:pPr>
      <w:r w:rsidRPr="00143228">
        <w:t>(16)</w:t>
      </w:r>
      <w:r w:rsidRPr="00143228">
        <w:tab/>
        <w:t xml:space="preserve">Attiecībā uz atrašanās vietas </w:t>
      </w:r>
      <w:proofErr w:type="spellStart"/>
      <w:r w:rsidRPr="00143228">
        <w:t>ģeokodēšanu</w:t>
      </w:r>
      <w:proofErr w:type="spellEnd"/>
      <w:r w:rsidRPr="00143228">
        <w:t xml:space="preserve"> būtu jāizmanto statistikas vienību temats saskaņā ar Eiropas Parlamenta un Padomes Direktīvas 2007/2/EK</w:t>
      </w:r>
      <w:r w:rsidRPr="00143228">
        <w:rPr>
          <w:szCs w:val="24"/>
          <w:vertAlign w:val="superscript"/>
          <w:lang w:eastAsia="en-US"/>
        </w:rPr>
        <w:footnoteReference w:id="13"/>
      </w:r>
      <w:r w:rsidRPr="00143228">
        <w:t xml:space="preserve"> III pielikumu.</w:t>
      </w:r>
    </w:p>
    <w:p w:rsidR="00C37615" w:rsidRPr="00143228" w:rsidRDefault="00C37615" w:rsidP="00C37615">
      <w:pPr>
        <w:spacing w:before="120" w:after="120" w:line="360" w:lineRule="auto"/>
        <w:ind w:left="850" w:hanging="850"/>
        <w:rPr>
          <w:szCs w:val="24"/>
        </w:rPr>
      </w:pPr>
      <w:r w:rsidRPr="00143228">
        <w:lastRenderedPageBreak/>
        <w:t>(17)</w:t>
      </w:r>
      <w:r w:rsidRPr="00143228">
        <w:tab/>
        <w:t xml:space="preserve">Pašreizējais tiesiskais regulējums attiecībā uz Eiropas statistiku par iedzīvotājiem un mājokļiem ir jāatjaunina, lai nodrošinātu, ka pašlaik atsevišķie statistikas procesi tiek pienācīgi integrēti kopējā regulējumā, kas ļauj ESS efektīvi reaģēt uz jaunām Savienības informācijas vajadzībām, un veicinātu jauninājumus statistikas jomā. Statistikas produkti ir jāuzlabo, lai tie arī turpmāk būtu atbilstoši, ņemot vērā demogrāfiskās, migrācijas, sociālās un ekonomiskās pārmaiņas </w:t>
      </w:r>
      <w:r w:rsidRPr="00143228">
        <w:rPr>
          <w:b/>
          <w:i/>
        </w:rPr>
        <w:t xml:space="preserve">un </w:t>
      </w:r>
      <w:proofErr w:type="spellStart"/>
      <w:r w:rsidRPr="00143228">
        <w:rPr>
          <w:b/>
          <w:i/>
        </w:rPr>
        <w:t>problēmjautājumus</w:t>
      </w:r>
      <w:proofErr w:type="spellEnd"/>
      <w:r w:rsidRPr="00143228">
        <w:rPr>
          <w:b/>
          <w:i/>
        </w:rPr>
        <w:t>, un tādējādi jāatbalsta politikas izstrāde un lēmumu pieņemšana</w:t>
      </w:r>
      <w:r w:rsidRPr="00143228">
        <w:t>.</w:t>
      </w:r>
    </w:p>
    <w:p w:rsidR="00C37615" w:rsidRPr="00143228" w:rsidRDefault="00C37615" w:rsidP="00C37615">
      <w:pPr>
        <w:spacing w:before="120" w:after="120" w:line="360" w:lineRule="auto"/>
        <w:ind w:left="850" w:hanging="850"/>
        <w:rPr>
          <w:szCs w:val="24"/>
        </w:rPr>
      </w:pPr>
      <w:r w:rsidRPr="00143228">
        <w:t>(18)</w:t>
      </w:r>
      <w:r w:rsidRPr="00143228">
        <w:tab/>
        <w:t>Uzlabotā regulārā statistika (ikgadējā un biežāka) par iedzīvotājiem un mājokļiem, kura balstīta uz administratīviem avotiem, būtu jāpapildina ar informāciju no koordinētām iedzīvotāju un mājokļu skaitīšanām Savienībā, ko saskaņā ar ANO principiem un ieteikumiem veic ik pēc desmit gadiem. Tikpat svarīgi ir tas, ka iedzīvotāju un mājokļu skaitīšanas sniedz unikālu iespēju oficiālajai statistikai būt redzamai gan darbību, gan rezultātu ziņā.</w:t>
      </w:r>
    </w:p>
    <w:p w:rsidR="00C37615" w:rsidRPr="00143228" w:rsidRDefault="00C37615" w:rsidP="00C37615">
      <w:pPr>
        <w:spacing w:before="120" w:after="120" w:line="360" w:lineRule="auto"/>
        <w:ind w:left="850" w:hanging="850"/>
        <w:rPr>
          <w:szCs w:val="24"/>
        </w:rPr>
      </w:pPr>
      <w:r w:rsidRPr="00143228">
        <w:t>(19)</w:t>
      </w:r>
      <w:r w:rsidRPr="00143228">
        <w:tab/>
        <w:t>Savienības skaitīšanām būtu jākļūst izmaksu ziņā lietderīgākām, pilnībā izmantojot bagātīgo administratīvo datu kopumu, kas pieejams visās dalībvalstīs, vai apvienojot dažādus avotus, tostarp avotus, kas saistīti ar lietu internetu (</w:t>
      </w:r>
      <w:proofErr w:type="spellStart"/>
      <w:r w:rsidRPr="00143228">
        <w:rPr>
          <w:i/>
          <w:iCs/>
        </w:rPr>
        <w:t>IoT</w:t>
      </w:r>
      <w:proofErr w:type="spellEnd"/>
      <w:r w:rsidRPr="00143228">
        <w:t>)un digitālo pakalpojumu sniegšanu</w:t>
      </w:r>
      <w:r w:rsidRPr="00143228">
        <w:rPr>
          <w:b/>
          <w:i/>
        </w:rPr>
        <w:t>, šajā nolūkā noslēdzot protokolus starp dalībvalstu statistikas iestādēm un no privātām datubāzēm iegūtu datu sniedzējiem</w:t>
      </w:r>
      <w:r w:rsidRPr="00143228">
        <w:t xml:space="preserve">. </w:t>
      </w:r>
      <w:r w:rsidRPr="00143228">
        <w:rPr>
          <w:b/>
          <w:i/>
        </w:rPr>
        <w:t xml:space="preserve">Lai izvairītos no jebkādas iespējamas ļaunprātīgas izmantošanas un garantētu </w:t>
      </w:r>
      <w:proofErr w:type="spellStart"/>
      <w:r w:rsidRPr="00143228">
        <w:rPr>
          <w:b/>
          <w:i/>
        </w:rPr>
        <w:t>pamattiesību</w:t>
      </w:r>
      <w:proofErr w:type="spellEnd"/>
      <w:r w:rsidRPr="00143228">
        <w:rPr>
          <w:b/>
          <w:i/>
        </w:rPr>
        <w:t xml:space="preserve"> ievērošanu, tajās būtu jāievēro personas datu privātums, attiecībā uz personas datu vākšanu nosakot nepieciešamos aizsardzības pasākumus. </w:t>
      </w:r>
      <w:r w:rsidRPr="00143228">
        <w:t xml:space="preserve">Tās būtu jāizmanto arī, lai atjaunotu demogrāfisko </w:t>
      </w:r>
      <w:proofErr w:type="spellStart"/>
      <w:r w:rsidRPr="00143228">
        <w:t>pamatscenāriju</w:t>
      </w:r>
      <w:proofErr w:type="spellEnd"/>
      <w:r w:rsidRPr="00143228">
        <w:t xml:space="preserve"> un iekļautu </w:t>
      </w:r>
      <w:proofErr w:type="spellStart"/>
      <w:r w:rsidRPr="00143228">
        <w:t>apsekojumus</w:t>
      </w:r>
      <w:proofErr w:type="spellEnd"/>
      <w:r w:rsidRPr="00143228">
        <w:t xml:space="preserve"> par administratīvo datu avotu aptvērumu.</w:t>
      </w:r>
    </w:p>
    <w:p w:rsidR="00C37615" w:rsidRPr="00143228" w:rsidRDefault="00C37615" w:rsidP="00C37615">
      <w:pPr>
        <w:spacing w:before="120" w:after="120" w:line="360" w:lineRule="auto"/>
        <w:ind w:left="850" w:hanging="850"/>
        <w:rPr>
          <w:szCs w:val="24"/>
        </w:rPr>
      </w:pPr>
      <w:r w:rsidRPr="00143228">
        <w:t>(20)</w:t>
      </w:r>
      <w:r w:rsidRPr="00143228">
        <w:tab/>
        <w:t>Dalībvalstīm un Komisijai (</w:t>
      </w:r>
      <w:proofErr w:type="spellStart"/>
      <w:r w:rsidRPr="00143228">
        <w:rPr>
          <w:i/>
          <w:iCs/>
        </w:rPr>
        <w:t>Eurostat</w:t>
      </w:r>
      <w:proofErr w:type="spellEnd"/>
      <w:r w:rsidRPr="00143228">
        <w:t xml:space="preserve">) vajadzētu būt ilgtspējīgai piekļuvei pēc iespējas plašākam datu avotu klāstam augstas kvalitātes un izmaksu ziņā lietderīgas Eiropas statistikas par iedzīvotājiem un mājokļiem sagatavošanai. Šajā sakarā ir ļoti svarīgi, lai valstu statistikas iestādes saskaņā ar Regulas (EK) Nr. 223/2009 17.a pantu saņemtu savlaicīgu piekļuvi un </w:t>
      </w:r>
      <w:r w:rsidRPr="00143228">
        <w:rPr>
          <w:b/>
          <w:i/>
        </w:rPr>
        <w:t>tām būtu ļauts</w:t>
      </w:r>
      <w:r w:rsidRPr="00143228">
        <w:t xml:space="preserve"> ātri izmantot administratīvos datus, kas ir publisko pārvaldes iestāžu rīcībā valsts, reģionālā un vietējā līmenī. Piemēram, statistikas par ēku energoefektivitāti pamatā var būt administratīvie dati par ēku </w:t>
      </w:r>
      <w:proofErr w:type="spellStart"/>
      <w:r w:rsidRPr="00143228">
        <w:t>energosertifikātu</w:t>
      </w:r>
      <w:proofErr w:type="spellEnd"/>
      <w:r w:rsidRPr="00143228">
        <w:t xml:space="preserve"> izdošanu saskaņā ar Eiropas Parlamenta un Padomes </w:t>
      </w:r>
      <w:r w:rsidRPr="00143228">
        <w:lastRenderedPageBreak/>
        <w:t>Direktīvu 2010/31/ES</w:t>
      </w:r>
      <w:r w:rsidRPr="00143228">
        <w:rPr>
          <w:szCs w:val="24"/>
          <w:vertAlign w:val="superscript"/>
          <w:lang w:eastAsia="en-US"/>
        </w:rPr>
        <w:footnoteReference w:id="14"/>
      </w:r>
      <w:r w:rsidRPr="00143228">
        <w:t xml:space="preserve">. </w:t>
      </w:r>
      <w:r w:rsidRPr="00143228">
        <w:rPr>
          <w:b/>
          <w:i/>
        </w:rPr>
        <w:t xml:space="preserve">Valstu statistikas iestādēm vajadzētu būt iespējai regulāri un savlaicīgi pilnībā </w:t>
      </w:r>
      <w:proofErr w:type="spellStart"/>
      <w:r w:rsidRPr="00143228">
        <w:rPr>
          <w:b/>
          <w:i/>
        </w:rPr>
        <w:t>atkalizmantot</w:t>
      </w:r>
      <w:proofErr w:type="spellEnd"/>
      <w:r w:rsidRPr="00143228">
        <w:rPr>
          <w:b/>
          <w:i/>
        </w:rPr>
        <w:t xml:space="preserve"> administratīvos datus no </w:t>
      </w:r>
      <w:proofErr w:type="spellStart"/>
      <w:r w:rsidRPr="00143228">
        <w:rPr>
          <w:b/>
          <w:i/>
        </w:rPr>
        <w:t>sadarbspējīgām</w:t>
      </w:r>
      <w:proofErr w:type="spellEnd"/>
      <w:r w:rsidRPr="00143228">
        <w:rPr>
          <w:b/>
          <w:i/>
        </w:rPr>
        <w:t xml:space="preserve"> ēku energoefektivitātes datubāzēm, kas ir pieejamas valsts līmenī saskaņā ar Eiropas Parlamenta un Padomes direktīvu</w:t>
      </w:r>
      <w:r w:rsidR="00C12891">
        <w:rPr>
          <w:b/>
          <w:i/>
        </w:rPr>
        <w:t xml:space="preserve"> </w:t>
      </w:r>
      <w:r w:rsidR="00C12891" w:rsidRPr="00C12891">
        <w:rPr>
          <w:b/>
          <w:i/>
          <w:szCs w:val="24"/>
        </w:rPr>
        <w:t>(E</w:t>
      </w:r>
      <w:r w:rsidR="00C12891">
        <w:rPr>
          <w:b/>
          <w:i/>
          <w:szCs w:val="24"/>
        </w:rPr>
        <w:t>S</w:t>
      </w:r>
      <w:r w:rsidR="00C12891" w:rsidRPr="00C12891">
        <w:rPr>
          <w:b/>
          <w:i/>
          <w:szCs w:val="24"/>
        </w:rPr>
        <w:t xml:space="preserve">) </w:t>
      </w:r>
      <w:r w:rsidR="00C12891" w:rsidRPr="00C12891">
        <w:rPr>
          <w:b/>
          <w:i/>
          <w:szCs w:val="24"/>
          <w:lang w:eastAsia="en-US"/>
        </w:rPr>
        <w:t>20</w:t>
      </w:r>
      <w:r w:rsidR="00C12891" w:rsidRPr="00E0724A">
        <w:rPr>
          <w:b/>
          <w:i/>
          <w:szCs w:val="24"/>
          <w:lang w:eastAsia="en-US"/>
        </w:rPr>
        <w:t>24/1275</w:t>
      </w:r>
      <w:r w:rsidRPr="00143228">
        <w:rPr>
          <w:b/>
          <w:i/>
          <w:szCs w:val="24"/>
          <w:vertAlign w:val="superscript"/>
          <w:lang w:eastAsia="en-US"/>
        </w:rPr>
        <w:footnoteReference w:id="15"/>
      </w:r>
      <w:r w:rsidRPr="00143228">
        <w:rPr>
          <w:b/>
          <w:i/>
        </w:rPr>
        <w:t xml:space="preserve"> </w:t>
      </w:r>
      <w:r w:rsidRPr="00143228">
        <w:t>Valstu statistikas iestādēm jābūt iesaistītām arī lēmumu pieņemšanā par attiecīgo administratīvo datu avotu veidolu un pārveidi, lai nodrošinātu, ka tos var turpmāk atkārtoti izmantot oficiālās statistikas apkopošanai.</w:t>
      </w:r>
    </w:p>
    <w:p w:rsidR="00C37615" w:rsidRPr="00143228" w:rsidRDefault="00C37615" w:rsidP="00C37615">
      <w:pPr>
        <w:spacing w:before="120" w:after="120" w:line="360" w:lineRule="auto"/>
        <w:ind w:left="850" w:hanging="850"/>
        <w:rPr>
          <w:szCs w:val="24"/>
        </w:rPr>
      </w:pPr>
      <w:r w:rsidRPr="00143228">
        <w:t>(21)</w:t>
      </w:r>
      <w:r w:rsidRPr="00143228">
        <w:tab/>
        <w:t xml:space="preserve">Pēdējos gados ir izstrādātas visaptverošas Savienības līmeņa datubāzes un </w:t>
      </w:r>
      <w:proofErr w:type="spellStart"/>
      <w:r w:rsidRPr="00143228">
        <w:t>sadarbspējas</w:t>
      </w:r>
      <w:proofErr w:type="spellEnd"/>
      <w:r w:rsidRPr="00143228">
        <w:t xml:space="preserve"> sistēmas, kas saistītas ar iedzīvotāju dzīvesvietu, būtiskiem notikumiem, pilsonību, migrāciju un pārrobežu pārvietošanos, piemēram, tās, kas izveidotas saskaņā ar Eiropas Parlamenta un Padomes Regulām (ES) </w:t>
      </w:r>
      <w:r w:rsidR="00C12891">
        <w:t xml:space="preserve">Nr. </w:t>
      </w:r>
      <w:r w:rsidRPr="00143228">
        <w:t>910/2014</w:t>
      </w:r>
      <w:r w:rsidRPr="00143228">
        <w:rPr>
          <w:szCs w:val="24"/>
          <w:vertAlign w:val="superscript"/>
          <w:lang w:eastAsia="en-US"/>
        </w:rPr>
        <w:footnoteReference w:id="16"/>
      </w:r>
      <w:r w:rsidRPr="00143228">
        <w:t>, (ES) 2018/1724</w:t>
      </w:r>
      <w:r w:rsidRPr="00143228">
        <w:rPr>
          <w:szCs w:val="24"/>
          <w:vertAlign w:val="superscript"/>
          <w:lang w:eastAsia="en-US"/>
        </w:rPr>
        <w:footnoteReference w:id="17"/>
      </w:r>
      <w:r w:rsidRPr="00143228">
        <w:t>, (ES) 2019/817</w:t>
      </w:r>
      <w:r w:rsidRPr="00143228">
        <w:rPr>
          <w:szCs w:val="24"/>
          <w:vertAlign w:val="superscript"/>
          <w:lang w:eastAsia="en-US"/>
        </w:rPr>
        <w:footnoteReference w:id="18"/>
      </w:r>
      <w:r w:rsidRPr="00143228">
        <w:t xml:space="preserve"> un (ES) 2019/818</w:t>
      </w:r>
      <w:r w:rsidRPr="00143228">
        <w:rPr>
          <w:szCs w:val="24"/>
          <w:vertAlign w:val="superscript"/>
          <w:lang w:eastAsia="en-US"/>
        </w:rPr>
        <w:footnoteReference w:id="19"/>
      </w:r>
      <w:r w:rsidRPr="00143228">
        <w:t>. Tās sniedz vērtīgu informāciju, ko var atkārtoti izmantot Eiropas statistikas par iedzīvotājiem un mājokļiem apkopošanai un kvalitātes nodrošināšanai.</w:t>
      </w:r>
    </w:p>
    <w:p w:rsidR="00C37615" w:rsidRPr="00143228" w:rsidRDefault="00C37615" w:rsidP="00C37615">
      <w:pPr>
        <w:spacing w:before="120" w:after="120" w:line="360" w:lineRule="auto"/>
        <w:ind w:left="850" w:hanging="850"/>
        <w:rPr>
          <w:szCs w:val="24"/>
        </w:rPr>
      </w:pPr>
      <w:r w:rsidRPr="00143228">
        <w:t>(22)</w:t>
      </w:r>
      <w:r w:rsidRPr="00143228">
        <w:tab/>
        <w:t>Šajā sakarā ir būtiski nodrošināt, ka Komisija (</w:t>
      </w:r>
      <w:proofErr w:type="spellStart"/>
      <w:r w:rsidRPr="00143228">
        <w:rPr>
          <w:i/>
          <w:iCs/>
        </w:rPr>
        <w:t>Eurostat</w:t>
      </w:r>
      <w:proofErr w:type="spellEnd"/>
      <w:r w:rsidRPr="00143228">
        <w:t xml:space="preserve">) šos datus tikai statistikas vajadzībām var atkārtoti izmantot, stingri piemērojot datu aizsardzības un datu privātuma noteikumus, kā noteikts Eiropas Parlamenta un Padomes Regulā (ES) </w:t>
      </w:r>
      <w:r w:rsidRPr="00143228">
        <w:lastRenderedPageBreak/>
        <w:t>2018/1725</w:t>
      </w:r>
      <w:r w:rsidRPr="00143228">
        <w:rPr>
          <w:szCs w:val="24"/>
          <w:vertAlign w:val="superscript"/>
          <w:lang w:eastAsia="en-US"/>
        </w:rPr>
        <w:footnoteReference w:id="20"/>
      </w:r>
      <w:r w:rsidRPr="00143228">
        <w:t>. Tas jo īpaši būtu jāpiemēro statistikas datiem, ko glabā centrālajā ziņošanas un statistikas repozitorijā (</w:t>
      </w:r>
      <w:r w:rsidRPr="00143228">
        <w:rPr>
          <w:i/>
          <w:iCs/>
        </w:rPr>
        <w:t>CRRS</w:t>
      </w:r>
      <w:r w:rsidRPr="00143228">
        <w:t xml:space="preserve">) saskaņā ar </w:t>
      </w:r>
      <w:r w:rsidRPr="00143228">
        <w:rPr>
          <w:i/>
          <w:iCs/>
        </w:rPr>
        <w:t>CRRS</w:t>
      </w:r>
      <w:r w:rsidRPr="00143228">
        <w:t xml:space="preserve"> mērķi, kas noteikts Regulas (ES) 2019/817 39. panta 1. punktā, kā arī Regulas (ES) 2019/818 39. panta 1. punktā un saskaņā ar regulām, ar ko izveido sistēmas, kuru statistikas dati tiek glabāti </w:t>
      </w:r>
      <w:r w:rsidRPr="00143228">
        <w:rPr>
          <w:i/>
          <w:iCs/>
        </w:rPr>
        <w:t>CRRS</w:t>
      </w:r>
      <w:r w:rsidRPr="00143228">
        <w:t xml:space="preserve">. Jo īpaši, ņemot vērā to, ka </w:t>
      </w:r>
      <w:r w:rsidRPr="00143228">
        <w:rPr>
          <w:i/>
          <w:iCs/>
        </w:rPr>
        <w:t>CRRS</w:t>
      </w:r>
      <w:r w:rsidRPr="00143228">
        <w:t xml:space="preserve"> ir jānodrošina vairākas sistēmas aptveroši statistikas dati un analītiski ziņojumi politikas, darbības un datu kvalitātes nolūkos, Komisijai (</w:t>
      </w:r>
      <w:proofErr w:type="spellStart"/>
      <w:r w:rsidRPr="00143228">
        <w:rPr>
          <w:i/>
          <w:iCs/>
        </w:rPr>
        <w:t>Eurostat</w:t>
      </w:r>
      <w:proofErr w:type="spellEnd"/>
      <w:r w:rsidRPr="00143228">
        <w:t xml:space="preserve">) pēc iespējas būtu jāsadarbojas ar Eiropas Savienības Aģentūru </w:t>
      </w:r>
      <w:proofErr w:type="spellStart"/>
      <w:r w:rsidRPr="00143228">
        <w:t>lielapjoma</w:t>
      </w:r>
      <w:proofErr w:type="spellEnd"/>
      <w:r w:rsidRPr="00143228">
        <w:t xml:space="preserve"> IT sistēmu darbības pārvaldībai brīvības, drošības un tiesiskuma telpā (</w:t>
      </w:r>
      <w:proofErr w:type="spellStart"/>
      <w:r w:rsidRPr="00143228">
        <w:rPr>
          <w:i/>
          <w:iCs/>
        </w:rPr>
        <w:t>eu</w:t>
      </w:r>
      <w:proofErr w:type="spellEnd"/>
      <w:r w:rsidRPr="00143228">
        <w:rPr>
          <w:i/>
          <w:iCs/>
        </w:rPr>
        <w:t>-LISA</w:t>
      </w:r>
      <w:r w:rsidRPr="00143228">
        <w:t>), lai nodrošinātu vajadzīgo Eiropas statistiku.</w:t>
      </w:r>
    </w:p>
    <w:p w:rsidR="00C37615" w:rsidRPr="00143228" w:rsidRDefault="00C37615" w:rsidP="00C37615">
      <w:pPr>
        <w:spacing w:before="120" w:after="120" w:line="360" w:lineRule="auto"/>
        <w:ind w:left="850" w:hanging="850"/>
        <w:rPr>
          <w:szCs w:val="24"/>
        </w:rPr>
      </w:pPr>
      <w:r w:rsidRPr="00143228">
        <w:t>(23)</w:t>
      </w:r>
      <w:r w:rsidRPr="00143228">
        <w:tab/>
        <w:t xml:space="preserve">Privāti turēti dati </w:t>
      </w:r>
      <w:r w:rsidRPr="00143228">
        <w:rPr>
          <w:b/>
          <w:i/>
        </w:rPr>
        <w:t>ir privātu vienību turēts ārkārtīgi liels datu daudzums, kurus minētās vienības ieguvušas savas darbības rezultātā un kurus statistikas iestādes un Komisija (</w:t>
      </w:r>
      <w:proofErr w:type="spellStart"/>
      <w:r w:rsidRPr="00143228">
        <w:rPr>
          <w:b/>
          <w:i/>
          <w:iCs/>
        </w:rPr>
        <w:t>Eurostat</w:t>
      </w:r>
      <w:proofErr w:type="spellEnd"/>
      <w:r w:rsidRPr="00143228">
        <w:rPr>
          <w:b/>
          <w:i/>
        </w:rPr>
        <w:t>) varētu izmantot oficiālās statistikas sagatavošanai. Šādi dati</w:t>
      </w:r>
      <w:r w:rsidRPr="00143228">
        <w:t xml:space="preserve"> var uzlabot Eiropas statistikas par iedzīvotājiem un mājokļiem aptvērumu, savlaicīgumu un reaģēšanas spējas krīzes situācijās vai veicināt statistikas inovāciju. Šādi dati var papildināt esošo demogrāfijas un migrācijas statistiku, nodrošināt statistikas inovāciju un pat palīdzēt sagatavot agrīnas aplēses</w:t>
      </w:r>
      <w:r w:rsidRPr="00143228">
        <w:rPr>
          <w:b/>
          <w:i/>
        </w:rPr>
        <w:t>, vienlaikus nodrošinot datu turētāju tiesību un brīvību aizsardzību</w:t>
      </w:r>
      <w:r w:rsidRPr="00143228">
        <w:t>. Valstu statistikas iestādēm un citām kompetentām valsts iestādēm un Komisijai (</w:t>
      </w:r>
      <w:proofErr w:type="spellStart"/>
      <w:r w:rsidRPr="00143228">
        <w:rPr>
          <w:i/>
          <w:iCs/>
        </w:rPr>
        <w:t>Eurostat</w:t>
      </w:r>
      <w:proofErr w:type="spellEnd"/>
      <w:r w:rsidRPr="00143228">
        <w:t xml:space="preserve">) vajadzētu būt piekļuvei šādiem datiem un tos izmantot </w:t>
      </w:r>
      <w:r w:rsidRPr="00143228">
        <w:rPr>
          <w:b/>
          <w:i/>
        </w:rPr>
        <w:t>un sadarboties ar privātajiem datu turētājiem saskaņā ar Regulu (EK) Nr. 223/2009</w:t>
      </w:r>
      <w:r w:rsidRPr="00143228">
        <w:t>.</w:t>
      </w:r>
    </w:p>
    <w:p w:rsidR="00C37615" w:rsidRPr="00143228" w:rsidRDefault="00C37615" w:rsidP="00C37615">
      <w:pPr>
        <w:spacing w:before="120" w:after="120" w:line="360" w:lineRule="auto"/>
        <w:ind w:left="850" w:hanging="850"/>
        <w:rPr>
          <w:szCs w:val="24"/>
        </w:rPr>
      </w:pPr>
      <w:r w:rsidRPr="00143228">
        <w:t>(24)</w:t>
      </w:r>
      <w:r w:rsidRPr="00143228">
        <w:tab/>
        <w:t xml:space="preserve">Lai nodrošinātu Eiropas statistikas par iedzīvotājiem un mājokļiem salīdzināmību Savienības līmenī, ir svarīgi saskaņoti izmantot un īstenot kopīgas iedzīvotāju definīcijas. Lai konsekventi, stabili un izmaksu ziņā lietderīgi īstenotu vienotu saskaņotu iedzīvotāju bāzi, vienlaikus nodrošinot savlaicīgus rezultātus, </w:t>
      </w:r>
      <w:r w:rsidRPr="00143228">
        <w:rPr>
          <w:b/>
          <w:i/>
        </w:rPr>
        <w:t>attiecīgā gadījumā vajadzētu būt iespējai piemērot zinātniski pamatotus modelēšanas paņēmienus un</w:t>
      </w:r>
      <w:r w:rsidRPr="00143228">
        <w:t xml:space="preserve"> statistikas metodes ▌, piemēram, “klātbūtnes pazīmes” ▌.</w:t>
      </w:r>
    </w:p>
    <w:p w:rsidR="00C37615" w:rsidRPr="00143228" w:rsidRDefault="00C37615" w:rsidP="00C37615">
      <w:pPr>
        <w:spacing w:before="120" w:after="120" w:line="360" w:lineRule="auto"/>
        <w:ind w:left="850" w:hanging="850"/>
        <w:rPr>
          <w:szCs w:val="24"/>
        </w:rPr>
      </w:pPr>
      <w:r w:rsidRPr="00143228">
        <w:t>(25)</w:t>
      </w:r>
      <w:r w:rsidRPr="00143228">
        <w:tab/>
        <w:t>Dalībvalstīm dati un metadati būtu jāsniedz elektroniski atbilstīgā tehniskā formātā, kuru nodrošinās Komisija (</w:t>
      </w:r>
      <w:proofErr w:type="spellStart"/>
      <w:r w:rsidRPr="00143228">
        <w:rPr>
          <w:i/>
          <w:iCs/>
        </w:rPr>
        <w:t>Eurostat</w:t>
      </w:r>
      <w:proofErr w:type="spellEnd"/>
      <w:r w:rsidRPr="00143228">
        <w:t xml:space="preserve">). Būtu jāizmanto starptautiskie standarti, piemēram, Statistikas datu un metadatu apmaiņas iniciatīva, un statistikas vai </w:t>
      </w:r>
      <w:r w:rsidRPr="00143228">
        <w:lastRenderedPageBreak/>
        <w:t xml:space="preserve">tehniskie standarti, kas izstrādāti Savienībā, piemēram, metadatu un validācijas standarti vai Eiropas </w:t>
      </w:r>
      <w:proofErr w:type="spellStart"/>
      <w:r w:rsidRPr="00143228">
        <w:t>sadarbspējīgas</w:t>
      </w:r>
      <w:proofErr w:type="spellEnd"/>
      <w:r w:rsidRPr="00143228">
        <w:t xml:space="preserve"> sistēmas principi, ciktāl tas attiecas uz Eiropas statistiku par iedzīvotājiem un mājokļiem. ESSK ir apstiprinājusi ESS metadatu un kvalitātes ziņojumu standartus saskaņā ar Regulas (EK) Nr. 223/2009 12. pantu. Minētajiem standartiem jāveicina kvalitātes nodrošināšanas un ziņošanas saskaņošana saskaņā ar šo regulu, un tādēļ tie būtu jāievieš.</w:t>
      </w:r>
    </w:p>
    <w:p w:rsidR="00C37615" w:rsidRPr="00143228" w:rsidRDefault="00C37615" w:rsidP="00C37615">
      <w:pPr>
        <w:spacing w:before="120" w:after="120" w:line="360" w:lineRule="auto"/>
        <w:ind w:left="850" w:hanging="850"/>
        <w:rPr>
          <w:szCs w:val="24"/>
        </w:rPr>
      </w:pPr>
      <w:r w:rsidRPr="00143228">
        <w:t>(26)</w:t>
      </w:r>
      <w:r w:rsidRPr="00143228">
        <w:tab/>
        <w:t>Eiropas statistikai par iedzīvotājiem un mājokļiem būtu jāatbilst kvalitātes kritērijiem attiecībā uz atbilstību, precizitāti, savlaicīgumu un punktualitāti, pieejamību un skaidrību, salīdzināmību un saskaņotību, kā noteikts Regulā (EK) Nr. 223/2009. Šīs statistikas kvalitāte būtu jāuzlabo, ciktāl mainās Savienības vajadzības</w:t>
      </w:r>
      <w:r w:rsidRPr="00143228">
        <w:rPr>
          <w:b/>
          <w:i/>
        </w:rPr>
        <w:t>, un būtu jāizveido mehānismi, lai risinātu iespējamas situācijas, kad netiek garantēta datu kvalitāte</w:t>
      </w:r>
      <w:r w:rsidRPr="00143228">
        <w:t>. Atbilstošiem Komisijas (</w:t>
      </w:r>
      <w:proofErr w:type="spellStart"/>
      <w:r w:rsidRPr="00143228">
        <w:rPr>
          <w:i/>
          <w:iCs/>
        </w:rPr>
        <w:t>Eurostat</w:t>
      </w:r>
      <w:proofErr w:type="spellEnd"/>
      <w:r w:rsidRPr="00143228">
        <w:t>) veiktā kvalitātes novērtējuma rezultātiem vajadzētu būt publiski pieejamiem statistikas lietotājiem</w:t>
      </w:r>
      <w:r w:rsidRPr="00143228">
        <w:rPr>
          <w:b/>
          <w:i/>
        </w:rPr>
        <w:t>, šajā nolūkā nodrošinot vieglu bezmaksas piekļuvi</w:t>
      </w:r>
      <w:r w:rsidRPr="00143228">
        <w:t xml:space="preserve"> šai statistikai ▌Komisijas (</w:t>
      </w:r>
      <w:proofErr w:type="spellStart"/>
      <w:r w:rsidRPr="00143228">
        <w:rPr>
          <w:i/>
          <w:iCs/>
        </w:rPr>
        <w:t>Eurostat</w:t>
      </w:r>
      <w:proofErr w:type="spellEnd"/>
      <w:r w:rsidRPr="00143228">
        <w:t xml:space="preserve">) </w:t>
      </w:r>
      <w:r w:rsidRPr="00143228">
        <w:rPr>
          <w:b/>
          <w:i/>
        </w:rPr>
        <w:t>datubāzēs</w:t>
      </w:r>
      <w:r w:rsidRPr="00143228">
        <w:t xml:space="preserve"> tās tīmekļa vietnē un publikācijās.</w:t>
      </w:r>
    </w:p>
    <w:p w:rsidR="00C37615" w:rsidRPr="00143228" w:rsidRDefault="00C37615" w:rsidP="00C37615">
      <w:pPr>
        <w:spacing w:before="120" w:after="120" w:line="360" w:lineRule="auto"/>
        <w:ind w:left="850" w:hanging="850"/>
        <w:rPr>
          <w:szCs w:val="24"/>
        </w:rPr>
      </w:pPr>
      <w:r w:rsidRPr="00143228">
        <w:rPr>
          <w:b/>
          <w:i/>
        </w:rPr>
        <w:t>(26a)</w:t>
      </w:r>
      <w:r w:rsidRPr="00143228">
        <w:tab/>
      </w:r>
      <w:r w:rsidRPr="00143228">
        <w:rPr>
          <w:b/>
          <w:i/>
        </w:rPr>
        <w:t xml:space="preserve">Veidojot Eiropas statistiku par iedzīvotājiem un mājokļiem, būtu jāmeklē risinājums pastāvīgajam datu trūkumam par neaizsargātām grupām, proti, tādām grūti sasniedzamām iedzīvotāju grupām kā personas, kas uzturas/dzīvo iestādēs (piemēram, militārās iestādēs, labošanas un brīvības atņemšanas iestādēs, skolu un universitāšu kopmītnēs, reliģiskās iestādēs, slimnīcās, aprūpes centros, iestādēs, kas paredzētas personām ar invaliditāti, bērnunamos), personas, kas vecākas par 75 gadiem, personas ar invaliditāti, bezpajumtnieki, migrantu izcelsmes personas un bezvalstnieki. Lai novērstu šo datu trūkumu un nepieļautu no tā izrietošo sociālo un ekonomisko nevienlīdzību, dalībvalstīm būtu jāizstrādā stratēģijas un konkrēti risinājumi datu vākšanai par grūti sasniedzamām iedzīvotāju grupām, jo īpaši attiecībā uz grūti sasniedzamo iedzīvotāju atrašanās vietas noteikšanu, sazināšanos ar viņiem un viņu pārliecināšanu un intervēšanu. </w:t>
      </w:r>
    </w:p>
    <w:p w:rsidR="00C37615" w:rsidRPr="00143228" w:rsidRDefault="00C37615" w:rsidP="00C37615">
      <w:pPr>
        <w:spacing w:before="120" w:after="120" w:line="360" w:lineRule="auto"/>
        <w:ind w:left="850" w:hanging="850"/>
        <w:rPr>
          <w:szCs w:val="24"/>
        </w:rPr>
      </w:pPr>
      <w:r w:rsidRPr="00143228">
        <w:rPr>
          <w:b/>
          <w:i/>
        </w:rPr>
        <w:t>(26</w:t>
      </w:r>
      <w:r w:rsidR="00F104EE">
        <w:rPr>
          <w:b/>
          <w:i/>
        </w:rPr>
        <w:t>b</w:t>
      </w:r>
      <w:r w:rsidRPr="00143228">
        <w:rPr>
          <w:b/>
          <w:i/>
        </w:rPr>
        <w:t>)</w:t>
      </w:r>
      <w:r w:rsidRPr="00143228">
        <w:tab/>
      </w:r>
      <w:r w:rsidRPr="00143228">
        <w:rPr>
          <w:b/>
          <w:i/>
        </w:rPr>
        <w:t xml:space="preserve">Pienācīgai, savlaicīgai un efektīvai politikai ir nepieciešami ticami un salīdzināmi dati, kas sadalīti pēc dzimuma, vecuma un attiecīgā gadījumā valstspiederības, sociālekonomiskā statusa, ģeogrāfiskās teritorijas un citām pazīmēm saskaņā ar statistikas principiem, kas noteikti LESD 338. panta 1. punktā un ESS Eiropas Statistikas prakses kodeksā un kvalitātes nodrošināšanas sistēmā. Šie dati ir svarīgi, lai labāk izprastu tendences iedzīvotāju un mājokļu jomā, apkarotu </w:t>
      </w:r>
      <w:proofErr w:type="spellStart"/>
      <w:r w:rsidRPr="00143228">
        <w:rPr>
          <w:b/>
          <w:i/>
        </w:rPr>
        <w:lastRenderedPageBreak/>
        <w:t>intersekcionālo</w:t>
      </w:r>
      <w:proofErr w:type="spellEnd"/>
      <w:r w:rsidRPr="00143228">
        <w:rPr>
          <w:b/>
          <w:i/>
        </w:rPr>
        <w:t xml:space="preserve"> diskrimināciju un īstenotu un izvērtētu Savienības politiku, politiskos mērķus un darbības, piemēram, Eiropas sociālo tiesību pīlāra principus, Eiropas Garantiju bērniem, Eiropas aprūpes stratēģiju, Eiropas Personu ar invaliditāti tiesību stratēģiju un Eiropas platformu </w:t>
      </w:r>
      <w:proofErr w:type="spellStart"/>
      <w:r w:rsidRPr="00143228">
        <w:rPr>
          <w:b/>
          <w:i/>
        </w:rPr>
        <w:t>bezpajumtniecības</w:t>
      </w:r>
      <w:proofErr w:type="spellEnd"/>
      <w:r w:rsidRPr="00143228">
        <w:rPr>
          <w:b/>
          <w:i/>
        </w:rPr>
        <w:t xml:space="preserve"> apkarošanai, kuras visas lielā mērā ir atkarīgas no datiem par mājsaimniecībām un ģimenēm. Būtu jāveicina statistikas datu sadalīšana pēc invaliditātes, izmantojot pastāvošus un jaunus administratīvo datu avotus, kuri būtu jāliek lietā, lai izpētītu iespējas identificēt invaliditāti. Vācot un izmantojot šādus datus, ir pilnībā jāievēro Savienības un valstu privātuma un </w:t>
      </w:r>
      <w:proofErr w:type="spellStart"/>
      <w:r w:rsidRPr="00143228">
        <w:rPr>
          <w:b/>
          <w:i/>
        </w:rPr>
        <w:t>pamattiesību</w:t>
      </w:r>
      <w:proofErr w:type="spellEnd"/>
      <w:r w:rsidRPr="00143228">
        <w:rPr>
          <w:b/>
          <w:i/>
        </w:rPr>
        <w:t xml:space="preserve"> standarti, jo īpaši attiecībā uz datiem par nepilngadīgām personām. Sadalījumā pēc dzimuma būtu jāatspoguļo dalībvalstīs pieejamie dati. Dažās dalībvalstīs personas pašlaik var likumīgi reģistrēties kā personas, kurām ir trešais dzimums, bieži vien — neitrāls. Šī direktīva neietekmē attiecīgos valstu noteikumus, kuri pieļauj šādu reģistrāciju.</w:t>
      </w:r>
    </w:p>
    <w:p w:rsidR="00C37615" w:rsidRPr="00143228" w:rsidRDefault="00C37615" w:rsidP="00C37615">
      <w:pPr>
        <w:spacing w:before="120" w:after="120" w:line="360" w:lineRule="auto"/>
        <w:ind w:left="850" w:hanging="850"/>
        <w:rPr>
          <w:szCs w:val="24"/>
        </w:rPr>
      </w:pPr>
      <w:r w:rsidRPr="00143228">
        <w:t>(27)</w:t>
      </w:r>
      <w:r w:rsidRPr="00143228">
        <w:tab/>
        <w:t>Regulā (EK) Nr. 223/2009 ir paredzēti noteikumi par datu nosūtīšanu no dalībvalstīm Komisijai (</w:t>
      </w:r>
      <w:proofErr w:type="spellStart"/>
      <w:r w:rsidRPr="00143228">
        <w:rPr>
          <w:i/>
          <w:iCs/>
        </w:rPr>
        <w:t>Eurostat</w:t>
      </w:r>
      <w:proofErr w:type="spellEnd"/>
      <w:r w:rsidRPr="00143228">
        <w:t>) un par to izmantošanu, tostarp par konfidenciālu datu nosūtīšanu un aizsardzību. Ar pasākumiem, ko veic saskaņā ar šo regulu, būtu jānodrošina, ka konfidenciālie dati tiek sniegti un izmantoti tikai statistikas nolūkos saskaņā ar minētās regulas 21. un 22. pantu.</w:t>
      </w:r>
    </w:p>
    <w:p w:rsidR="00C37615" w:rsidRPr="00143228" w:rsidRDefault="00C37615" w:rsidP="00C37615">
      <w:pPr>
        <w:spacing w:before="120" w:after="120" w:line="360" w:lineRule="auto"/>
        <w:ind w:left="850" w:hanging="850"/>
        <w:rPr>
          <w:szCs w:val="24"/>
        </w:rPr>
      </w:pPr>
      <w:r w:rsidRPr="00143228">
        <w:t>(28)</w:t>
      </w:r>
      <w:r w:rsidRPr="00143228">
        <w:tab/>
        <w:t>Komisijai (</w:t>
      </w:r>
      <w:proofErr w:type="spellStart"/>
      <w:r w:rsidRPr="00143228">
        <w:rPr>
          <w:i/>
          <w:iCs/>
        </w:rPr>
        <w:t>Eurostat</w:t>
      </w:r>
      <w:proofErr w:type="spellEnd"/>
      <w:r w:rsidRPr="00143228">
        <w:t>) ir jāievēro statistikas konfidencialitāte attiecībā uz datiem, ko dalībvalstis sniegušas saskaņā ar Regulu (EK) Nr. 223/2009. Attiecībā uz iedzīvotāju statistiku, ko vāc saskaņā ar šo regulu, būtu jāizstrādā saskaņota pieeja, lai nodrošinātu Eiropas datu apkopojuma augstu kvalitāti un izvairītos no konfidenciālu datu izpaušanas statistikas produktos, pēc iespējas izvairoties no datu aizklāšanas.</w:t>
      </w:r>
    </w:p>
    <w:p w:rsidR="00C37615" w:rsidRPr="00143228" w:rsidRDefault="00C37615" w:rsidP="00C37615">
      <w:pPr>
        <w:spacing w:before="120" w:after="120" w:line="360" w:lineRule="auto"/>
        <w:ind w:left="850" w:hanging="850"/>
        <w:rPr>
          <w:szCs w:val="24"/>
        </w:rPr>
      </w:pPr>
      <w:r w:rsidRPr="00143228">
        <w:t>(29)</w:t>
      </w:r>
      <w:r w:rsidRPr="00143228">
        <w:tab/>
        <w:t xml:space="preserve">Valstu līmenī pieejamie datu avoti ne vienmēr spēj precīzi atspoguļot parādības, kas saistītas ar personu brīvu pārvietošanos Savienībā, personu piekļuvi pārrobežu pakalpojumiem saistībā ar būtiskiem demogrāfiskiem notikumiem un personu tiesību pirkt un īpašumā iegūt mājokļa īpašumu, ko izmanto kā primāro, brīvdienu un sekundāro mājokli, visā Savienībā īstenošanu. Pastāv arī </w:t>
      </w:r>
      <w:r w:rsidRPr="00143228">
        <w:rPr>
          <w:b/>
          <w:i/>
        </w:rPr>
        <w:t>neatbilstība</w:t>
      </w:r>
      <w:r w:rsidRPr="00143228">
        <w:t xml:space="preserve"> divpusējās migrācijas plūsmās un grūtības noteikt iedzīvotāju grupas, piemēram, migrantu, bezpajumtnieku vai bezvalstnieku vidū. Tāpēc datu kopīgošana, kas vajadzīga, lai apkopotu statistiku par iedzīvotājiem un migrāciju un nodrošinātu tās kvalitāti, būtu jāpastiprina un jāuzskata par vēl vienu datu avotu. Šāda pastiprināta datu kopīgošana var aptvert plašu attiecīgo datu klāstu, sākot no datiem, kas nepārprotami neļauj tieši </w:t>
      </w:r>
      <w:r w:rsidRPr="00143228">
        <w:lastRenderedPageBreak/>
        <w:t>vai netieši identificēt statistikas vienības, līdz datiem, uz kuriem, iespējams, attiecas statistikas konfidencialitātes prasības. Dalībvalstīm savās un citu dalībvalstu interesēs būtu jāpiedalās datu kopīgošanas darbībās, tostarp izmēģinājuma projektos, kuros novērtē inovatīvus drošus risinājumus. Komisijai (</w:t>
      </w:r>
      <w:proofErr w:type="spellStart"/>
      <w:r w:rsidRPr="00143228">
        <w:rPr>
          <w:i/>
          <w:iCs/>
        </w:rPr>
        <w:t>Eurostat</w:t>
      </w:r>
      <w:proofErr w:type="spellEnd"/>
      <w:r w:rsidRPr="00143228">
        <w:t>) būtu arī jāizveido droša infrastruktūra, lai atvieglotu šādu datu kopīgošanu, vienlaikus nodrošinot visus vajadzīgos</w:t>
      </w:r>
      <w:r w:rsidRPr="00143228">
        <w:rPr>
          <w:b/>
          <w:i/>
        </w:rPr>
        <w:t xml:space="preserve"> datu</w:t>
      </w:r>
      <w:r w:rsidRPr="00143228">
        <w:t xml:space="preserve"> aizsardzības pasākumus.</w:t>
      </w:r>
    </w:p>
    <w:p w:rsidR="00C37615" w:rsidRPr="00143228" w:rsidRDefault="00C37615" w:rsidP="00C37615">
      <w:pPr>
        <w:spacing w:before="120" w:after="120" w:line="360" w:lineRule="auto"/>
        <w:ind w:left="850" w:hanging="850"/>
        <w:rPr>
          <w:szCs w:val="24"/>
        </w:rPr>
      </w:pPr>
      <w:r w:rsidRPr="00143228">
        <w:t>▌</w:t>
      </w:r>
    </w:p>
    <w:p w:rsidR="00C37615" w:rsidRPr="00143228" w:rsidRDefault="00C37615" w:rsidP="00C37615">
      <w:pPr>
        <w:spacing w:before="120" w:after="120" w:line="360" w:lineRule="auto"/>
        <w:ind w:left="850" w:hanging="850"/>
        <w:rPr>
          <w:szCs w:val="24"/>
        </w:rPr>
      </w:pPr>
      <w:r w:rsidRPr="00143228">
        <w:t>(31)</w:t>
      </w:r>
      <w:r w:rsidRPr="00143228">
        <w:tab/>
        <w:t>Konfidenciālu datu kopīgošana būtu jāveic, tikai pamatojoties uz pieprasījumu, kas pamato nepieciešamību kopīgot šos datus saskaņā ar Regulas (EK) Nr. 223/2009 V nodaļu.</w:t>
      </w:r>
    </w:p>
    <w:p w:rsidR="00C37615" w:rsidRPr="00143228" w:rsidRDefault="00C37615" w:rsidP="00C37615">
      <w:pPr>
        <w:spacing w:before="120" w:after="120" w:line="360" w:lineRule="auto"/>
        <w:ind w:left="850" w:hanging="850"/>
        <w:rPr>
          <w:szCs w:val="24"/>
        </w:rPr>
      </w:pPr>
      <w:r w:rsidRPr="00143228">
        <w:t>(32)</w:t>
      </w:r>
      <w:r w:rsidRPr="00143228">
        <w:tab/>
        <w:t xml:space="preserve">Ilgākā termiņā, īstenojot sadarbības centienus Eiropas Statistikas sistēmā, lai mazinātu pārrobežu statistikas kvalitātes problēmas, piemēram, tādu Savienības pastāvīgo iedzīvotāju dubultu uzskaiti, kuri izmanto pārvietošanās brīvību, </w:t>
      </w:r>
      <w:r w:rsidRPr="00143228">
        <w:rPr>
          <w:b/>
          <w:i/>
        </w:rPr>
        <w:t>būtu jāizmanto priekšrocības, ko nodrošina, piemēram, vienoti digitālie identifikatori</w:t>
      </w:r>
      <w:r w:rsidRPr="00143228">
        <w:t>, kas Savienības līmenī ieviesti ar Regulu (ES) Nr. 910/2014.</w:t>
      </w:r>
    </w:p>
    <w:p w:rsidR="00C37615" w:rsidRPr="00143228" w:rsidRDefault="00C37615" w:rsidP="00C37615">
      <w:pPr>
        <w:spacing w:before="120" w:after="120" w:line="360" w:lineRule="auto"/>
        <w:ind w:left="850" w:hanging="850"/>
        <w:rPr>
          <w:szCs w:val="24"/>
        </w:rPr>
      </w:pPr>
      <w:r w:rsidRPr="00143228">
        <w:t>(33)</w:t>
      </w:r>
      <w:r w:rsidRPr="00143228">
        <w:tab/>
        <w:t>Šī regula neskar Eiropas Parlamenta un Padomes Regulas (ES) 2016/679</w:t>
      </w:r>
      <w:r w:rsidRPr="00143228">
        <w:rPr>
          <w:szCs w:val="24"/>
          <w:vertAlign w:val="superscript"/>
          <w:lang w:eastAsia="en-US"/>
        </w:rPr>
        <w:footnoteReference w:id="21"/>
      </w:r>
      <w:r w:rsidRPr="00143228">
        <w:t xml:space="preserve"> un (ES) 2018/1725 un Direktīvu 2002/58/EK</w:t>
      </w:r>
      <w:r w:rsidRPr="00143228">
        <w:rPr>
          <w:szCs w:val="24"/>
          <w:vertAlign w:val="superscript"/>
          <w:lang w:eastAsia="en-US"/>
        </w:rPr>
        <w:footnoteReference w:id="22"/>
      </w:r>
      <w:r w:rsidRPr="00143228">
        <w:t>. Pēdējās minētās regulas to attiecīgajā piemērošanas jomā piemēro personas datu apstrādei saskaņā ar šo regulu</w:t>
      </w:r>
      <w:r w:rsidRPr="00143228">
        <w:rPr>
          <w:b/>
          <w:i/>
        </w:rPr>
        <w:t>, ņemot vērā arī to, ka sabiedrības interesēs statistikas nolūkos apstrādāti personas dati ir konfidenciāli un tiem piemērojams statistikas konfidencialitātes princips</w:t>
      </w:r>
      <w:r w:rsidRPr="00143228">
        <w:t>.</w:t>
      </w:r>
      <w:r w:rsidRPr="00143228">
        <w:rPr>
          <w:b/>
          <w:i/>
        </w:rPr>
        <w:t xml:space="preserve"> Tādēļ šādi dati būtu jāizmanto tikai statistikas nolūkos un tos nekad nevajadzētu izmantot pasākumiem vai lēmumiem attiecībā uz kādu konkrētu fizisku personu. Veicot personas datu apstrādi, kopīgošanu un arhivēšanu statistikas nolūkos, būtu vēlams izmantot </w:t>
      </w:r>
      <w:proofErr w:type="spellStart"/>
      <w:r w:rsidRPr="00143228">
        <w:rPr>
          <w:b/>
          <w:i/>
        </w:rPr>
        <w:t>anonimizētus</w:t>
      </w:r>
      <w:proofErr w:type="spellEnd"/>
      <w:r w:rsidRPr="00143228">
        <w:rPr>
          <w:b/>
          <w:i/>
        </w:rPr>
        <w:t xml:space="preserve"> vai </w:t>
      </w:r>
      <w:proofErr w:type="spellStart"/>
      <w:r w:rsidRPr="00143228">
        <w:rPr>
          <w:b/>
          <w:i/>
        </w:rPr>
        <w:t>pseidonimizētus</w:t>
      </w:r>
      <w:proofErr w:type="spellEnd"/>
      <w:r w:rsidRPr="00143228">
        <w:rPr>
          <w:b/>
          <w:i/>
        </w:rPr>
        <w:t xml:space="preserve"> datus, lai nodrošinātu garantijas, kas pieņemtas saskaņā ar Regulas (ES) 2016/679 89. pantu un Regulas (ES) 2018/1725 13. pantu. Apstrādājot personas datus saskaņā ar Eiropas </w:t>
      </w:r>
      <w:r w:rsidRPr="00143228">
        <w:rPr>
          <w:b/>
          <w:i/>
        </w:rPr>
        <w:lastRenderedPageBreak/>
        <w:t xml:space="preserve">Parlamenta un Padomes Regulu (ES) 2016/679 vai Regulu (ES) 2018/172537, būtu pilnībā jāpiemēro likumīguma, taisnīguma, </w:t>
      </w:r>
      <w:proofErr w:type="spellStart"/>
      <w:r w:rsidRPr="00143228">
        <w:rPr>
          <w:b/>
          <w:i/>
        </w:rPr>
        <w:t>pārredzamības</w:t>
      </w:r>
      <w:proofErr w:type="spellEnd"/>
      <w:r w:rsidRPr="00143228">
        <w:rPr>
          <w:b/>
          <w:i/>
        </w:rPr>
        <w:t xml:space="preserve"> un precizitātes, nolūka ierobežojuma, datu minimizēšanas, glabāšanas ierobežojuma un integritātes un konfidencialitātes principi. Tāpat būtu jāpiemēro arī statistikas principi, kas izklāstīti Regulas (EK) Nr. 223/2009 2. pantā un sīkāk izstrādāti Eiropas Statistikas prakses kodeksā.</w:t>
      </w:r>
    </w:p>
    <w:p w:rsidR="00C37615" w:rsidRPr="00143228" w:rsidRDefault="00C37615" w:rsidP="00C37615">
      <w:pPr>
        <w:spacing w:before="120" w:after="120" w:line="360" w:lineRule="auto"/>
        <w:ind w:left="850" w:hanging="850"/>
        <w:rPr>
          <w:szCs w:val="24"/>
        </w:rPr>
      </w:pPr>
      <w:r w:rsidRPr="00143228">
        <w:t>(34)</w:t>
      </w:r>
      <w:r w:rsidRPr="00143228">
        <w:tab/>
        <w:t>Eiropas statistikai par iedzīvotājiem un mājokļiem būtu jāmainās, lai ņemtu vērā jaunās datu vajadzības, kas izriet no mainīgajām politikas prioritātēm, kā arī demogrāfiskās, migrācijas, sociālās vai ekonomiskās situācijas izmaiņas Savienībā. Komisijai (</w:t>
      </w:r>
      <w:proofErr w:type="spellStart"/>
      <w:r w:rsidRPr="00143228">
        <w:rPr>
          <w:i/>
          <w:iCs/>
        </w:rPr>
        <w:t>Eurostat</w:t>
      </w:r>
      <w:proofErr w:type="spellEnd"/>
      <w:r w:rsidRPr="00143228">
        <w:t xml:space="preserve">) būtu jāveic izmēģinājuma un </w:t>
      </w:r>
      <w:proofErr w:type="spellStart"/>
      <w:r w:rsidRPr="00143228">
        <w:t>priekšizpētes</w:t>
      </w:r>
      <w:proofErr w:type="spellEnd"/>
      <w:r w:rsidRPr="00143228">
        <w:t xml:space="preserve"> pētījumi, lai vajadzības gadījumā novērtētu attiecīgo pielāgojumu iespējamību, un būtu jāņem vērā tādi aspekti kā izmaksas un administratīvais slogs dalībvalstīm un piemērotu datu avotu pieejamība.</w:t>
      </w:r>
      <w:r w:rsidRPr="00143228">
        <w:rPr>
          <w:b/>
          <w:i/>
        </w:rPr>
        <w:t xml:space="preserve"> Sagatavojot šos pētījumus, Komisijai būtu jānodrošina to reprezentativitāte Savienības līmenī, atspoguļojot reģionālās atšķirības. Komisijai sadarbībā ar dalībvalstīm būtu jāizvērtē pētījumu rezultāti.</w:t>
      </w:r>
    </w:p>
    <w:p w:rsidR="00C37615" w:rsidRPr="00143228" w:rsidRDefault="00C37615" w:rsidP="00C37615">
      <w:pPr>
        <w:spacing w:before="120" w:after="120" w:line="360" w:lineRule="auto"/>
        <w:ind w:left="850" w:hanging="850"/>
        <w:rPr>
          <w:szCs w:val="24"/>
        </w:rPr>
      </w:pPr>
      <w:r w:rsidRPr="00143228">
        <w:t>(35)</w:t>
      </w:r>
      <w:r w:rsidRPr="00143228">
        <w:tab/>
        <w:t xml:space="preserve">Lai ņemtu vērā demogrāfiskās, ekonomiskās un sociālās tendences, </w:t>
      </w:r>
      <w:r w:rsidRPr="00143228">
        <w:rPr>
          <w:b/>
          <w:i/>
        </w:rPr>
        <w:t xml:space="preserve">tehnoloģiskās norises un nepieciešamību laikus izstrādāt mērķtiecīgi orientētu </w:t>
      </w:r>
      <w:proofErr w:type="spellStart"/>
      <w:r w:rsidRPr="00143228">
        <w:rPr>
          <w:b/>
          <w:i/>
        </w:rPr>
        <w:t>rīcībpolitiku</w:t>
      </w:r>
      <w:proofErr w:type="spellEnd"/>
      <w:r w:rsidRPr="00143228">
        <w:t xml:space="preserve">, būtu jādeleģē Komisijai pilnvaras pieņemt aktus saskaņā ar LESD 290. pantu, lai grozītu sarakstu, aprakstu, periodiskumu un pārskata laikus detalizētajiem tematiem, kuri ietverti Eiropas statistikā par iedzīvotājiem un mājokļiem; atjaunināt šīs regulas pielikumā minēto periodiskumu un pārskata laikus un precizēt informāciju, kas dalībvalstīm jāsniedz uz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pamata.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143228">
        <w:rPr>
          <w:szCs w:val="24"/>
          <w:vertAlign w:val="superscript"/>
          <w:lang w:eastAsia="en-US"/>
        </w:rPr>
        <w:footnoteReference w:id="23"/>
      </w:r>
      <w:r w:rsidRPr="00143228">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C37615" w:rsidRPr="00143228" w:rsidRDefault="00C37615" w:rsidP="00C37615">
      <w:pPr>
        <w:spacing w:before="120" w:after="120" w:line="360" w:lineRule="auto"/>
        <w:ind w:left="850" w:hanging="850"/>
        <w:rPr>
          <w:szCs w:val="24"/>
        </w:rPr>
      </w:pPr>
      <w:r w:rsidRPr="00143228">
        <w:rPr>
          <w:b/>
          <w:i/>
        </w:rPr>
        <w:t>(35a)</w:t>
      </w:r>
      <w:r w:rsidRPr="00143228">
        <w:tab/>
      </w:r>
      <w:r w:rsidRPr="00143228">
        <w:rPr>
          <w:b/>
          <w:i/>
        </w:rPr>
        <w:t xml:space="preserve">Tas, ka Eiropas statistikai ir liela nozīme kā uz faktiem balstītas lēmumu pieņemšanas būtiskai daļai, ir atspoguļots ar Eiropas Parlamenta un Padomes </w:t>
      </w:r>
      <w:r w:rsidR="00F104EE">
        <w:rPr>
          <w:b/>
          <w:i/>
        </w:rPr>
        <w:lastRenderedPageBreak/>
        <w:t>Regulu (ES)</w:t>
      </w:r>
      <w:r w:rsidRPr="00143228">
        <w:rPr>
          <w:b/>
          <w:i/>
        </w:rPr>
        <w:t> 2021/690</w:t>
      </w:r>
      <w:r w:rsidRPr="00143228">
        <w:rPr>
          <w:b/>
          <w:i/>
          <w:szCs w:val="24"/>
          <w:vertAlign w:val="superscript"/>
          <w:lang w:eastAsia="en-US"/>
        </w:rPr>
        <w:footnoteReference w:id="24"/>
      </w:r>
      <w:r w:rsidRPr="00143228">
        <w:rPr>
          <w:b/>
          <w:i/>
        </w:rPr>
        <w:t xml:space="preserve"> izveidotajā plānošanas un finanšu satvarā Eiropas statistikas izstrādei, sagatavošanai un izplatīšanai (Vienotā tirgus programma). Dalībvalstīm vajadzētu būt iespējai pieteikties finansiālam atbalstam no Vienotā tirgus programmas, kā arī no tehniskā atbalsta instrumenta, kas izveidots ar Eiropas Parlamenta un Padomes Regulu (ES) 2021/240</w:t>
      </w:r>
      <w:r w:rsidRPr="00143228">
        <w:rPr>
          <w:b/>
          <w:i/>
          <w:szCs w:val="24"/>
          <w:vertAlign w:val="superscript"/>
          <w:lang w:eastAsia="en-US"/>
        </w:rPr>
        <w:footnoteReference w:id="25"/>
      </w:r>
      <w:r w:rsidRPr="00143228">
        <w:rPr>
          <w:b/>
          <w:i/>
        </w:rPr>
        <w:t xml:space="preserve">, saskaņā ar minēto instrumentu mērķiem un noteikumiem, lai pielāgotu savas valsts statistikas sistēmas, uzlabotu statistikas metodiku un datu kvalitāti un plānotu un īstenotu </w:t>
      </w:r>
      <w:proofErr w:type="spellStart"/>
      <w:r w:rsidRPr="00143228">
        <w:rPr>
          <w:b/>
          <w:i/>
        </w:rPr>
        <w:t>ad</w:t>
      </w:r>
      <w:proofErr w:type="spellEnd"/>
      <w:r w:rsidRPr="00143228">
        <w:rPr>
          <w:b/>
          <w:i/>
        </w:rPr>
        <w:t xml:space="preserve"> </w:t>
      </w:r>
      <w:proofErr w:type="spellStart"/>
      <w:r w:rsidRPr="00143228">
        <w:rPr>
          <w:b/>
          <w:i/>
        </w:rPr>
        <w:t>hoc</w:t>
      </w:r>
      <w:proofErr w:type="spellEnd"/>
      <w:r w:rsidRPr="00143228">
        <w:rPr>
          <w:b/>
          <w:i/>
        </w:rPr>
        <w:t xml:space="preserve"> datu vākšanu saskaņā ar šo regulu.</w:t>
      </w:r>
    </w:p>
    <w:p w:rsidR="00C37615" w:rsidRPr="00143228" w:rsidRDefault="00C37615" w:rsidP="00C37615">
      <w:pPr>
        <w:spacing w:before="120" w:after="120" w:line="360" w:lineRule="auto"/>
        <w:ind w:left="850" w:hanging="850"/>
        <w:rPr>
          <w:szCs w:val="24"/>
        </w:rPr>
      </w:pPr>
      <w:r w:rsidRPr="00143228">
        <w:t>(36)</w:t>
      </w:r>
      <w:r w:rsidRPr="00143228">
        <w:tab/>
        <w:t>Saskaņā ar Eiropas Parlamenta un Padomes Regulām (ES, Euratom) 2018/1046</w:t>
      </w:r>
      <w:r w:rsidRPr="00143228">
        <w:rPr>
          <w:szCs w:val="24"/>
          <w:vertAlign w:val="superscript"/>
          <w:lang w:eastAsia="en-US"/>
        </w:rPr>
        <w:footnoteReference w:id="26"/>
      </w:r>
      <w:r w:rsidRPr="00143228">
        <w:t xml:space="preserve"> un (ES, Euratom) Nr. 883/2013</w:t>
      </w:r>
      <w:r w:rsidRPr="00143228">
        <w:rPr>
          <w:szCs w:val="24"/>
          <w:vertAlign w:val="superscript"/>
          <w:lang w:eastAsia="en-US"/>
        </w:rPr>
        <w:footnoteReference w:id="27"/>
      </w:r>
      <w:r w:rsidRPr="00143228">
        <w:t xml:space="preserve"> un Padomes Regulām (EK, Euratom) Nr. 2988/95</w:t>
      </w:r>
      <w:r w:rsidRPr="00143228">
        <w:rPr>
          <w:szCs w:val="24"/>
          <w:vertAlign w:val="superscript"/>
          <w:lang w:eastAsia="en-US"/>
        </w:rPr>
        <w:footnoteReference w:id="28"/>
      </w:r>
      <w:r w:rsidRPr="00143228">
        <w:t>, (Euratom, EK) Nr. 2185/96</w:t>
      </w:r>
      <w:r w:rsidRPr="00143228">
        <w:rPr>
          <w:szCs w:val="24"/>
          <w:vertAlign w:val="superscript"/>
          <w:lang w:eastAsia="en-US"/>
        </w:rPr>
        <w:footnoteReference w:id="29"/>
      </w:r>
      <w:r w:rsidRPr="00143228">
        <w:t xml:space="preserve"> un (ES) 2017/1939</w:t>
      </w:r>
      <w:r w:rsidRPr="00143228">
        <w:rPr>
          <w:szCs w:val="24"/>
          <w:vertAlign w:val="superscript"/>
          <w:lang w:eastAsia="en-US"/>
        </w:rPr>
        <w:footnoteReference w:id="30"/>
      </w:r>
      <w:r w:rsidRPr="00143228">
        <w:t xml:space="preserve"> Savienības finanšu intereses jāaizsargā, piemērojot samērīgus pasākumus, tostarp pasākumus attiecībā uz pārkāpumu, arī krāpšanas, novēršanu, atklāšanu, labošanu un izmeklēšanu, zaudēto, kļūdaini izmaksāto vai nepareizi izmantoto līdzekļu atgūšanu, un – attiecīgā gadījumā – administratīvu sodu uzlikšanu. Saskaņā jo īpaši ar Regulām (Euratom, </w:t>
      </w:r>
      <w:r w:rsidRPr="00143228">
        <w:lastRenderedPageBreak/>
        <w:t>EK) Nr. 2185/96 un (ES, Euratom) Nr. 883/2013 Eiropas Birojam krāpšanas apkarošanai (</w:t>
      </w:r>
      <w:r w:rsidRPr="00143228">
        <w:rPr>
          <w:i/>
          <w:iCs/>
        </w:rPr>
        <w:t>OLAF</w:t>
      </w:r>
      <w:r w:rsidRPr="00143228">
        <w:t>) ir pilnvaras veikt administratīvu izmeklēšanu, ieskaitot pārbaudes un inspekcijas uz vietas, lai konstatētu, vai ir notikusi krāpšana, korupcija vai jebkāda cita nelikumīga darbība, kas ietekmē Savienības finanšu intereses. Saskaņā ar Regulu (ES) 2017/1939 Eiropas Prokuratūra (</w:t>
      </w:r>
      <w:r w:rsidRPr="00143228">
        <w:rPr>
          <w:i/>
          <w:iCs/>
        </w:rPr>
        <w:t>EPPO</w:t>
      </w:r>
      <w:r w:rsidRPr="00143228">
        <w:t>) ir pilnvarota veikt izmeklēšanu un kriminālvajāšanu par noziedzīgiem nodarījumiem, kas skar Savienības finanšu intereses, kā paredzēts Eiropas Parlamenta un Padomes Direktīvā (ES) 2017/1371</w:t>
      </w:r>
      <w:r w:rsidRPr="00143228">
        <w:rPr>
          <w:szCs w:val="24"/>
          <w:vertAlign w:val="superscript"/>
          <w:lang w:eastAsia="en-US"/>
        </w:rPr>
        <w:footnoteReference w:id="31"/>
      </w:r>
      <w:r w:rsidRPr="00143228">
        <w:t xml:space="preserve">. Saskaņā ar Regulu (ES, Euratom) 2018/1046 jebkurai personai vai subjektam, kas saņem Savienības līdzekļus, pilnībā jāsadarbojas Savienības finanšu interešu aizsardzībā, jāpiešķir Komisijai, </w:t>
      </w:r>
      <w:r w:rsidRPr="00143228">
        <w:rPr>
          <w:i/>
          <w:iCs/>
        </w:rPr>
        <w:t>OLAF</w:t>
      </w:r>
      <w:r w:rsidRPr="00143228">
        <w:t xml:space="preserve">, Eiropas Revīzijas palātai un — attiecībā uz tām dalībvalstīm, kuras īsteno ciešāku sadarbību, ievērojot Regulu (ES) 2017/1939, — </w:t>
      </w:r>
      <w:r w:rsidRPr="00143228">
        <w:rPr>
          <w:i/>
          <w:iCs/>
        </w:rPr>
        <w:t>EPPO</w:t>
      </w:r>
      <w:r w:rsidRPr="00143228">
        <w:t xml:space="preserve"> nepieciešamās tiesības un piekļuve un jānodrošina, ka līdzvērtīgas tiesības piešķir Savienības līdzekļu apgūšanā iesaistītās trešās personas.</w:t>
      </w:r>
    </w:p>
    <w:p w:rsidR="00C37615" w:rsidRPr="00143228" w:rsidRDefault="00C37615" w:rsidP="00C37615">
      <w:pPr>
        <w:spacing w:before="120" w:after="120" w:line="360" w:lineRule="auto"/>
        <w:ind w:left="850" w:hanging="850"/>
        <w:rPr>
          <w:szCs w:val="24"/>
        </w:rPr>
      </w:pPr>
      <w:r w:rsidRPr="00143228">
        <w:t>(37)</w:t>
      </w:r>
      <w:r w:rsidRPr="00143228">
        <w:tab/>
        <w:t>Lai nodrošinātu vienādus nosacījumus šīs regulas īstenošanai attiecībā uz datu un metadatu prasību, tehnisko formātu un procedūru datu un metadatu sniegšanai, kvalitātes ziņojumu satura un struktūras specifikāciju, īstenošanas pilnvaras būtu jāpiešķir Komisijai. Minētās pilnvaras būtu jāizmanto saskaņā ar Eiropas Parlamenta un Padomes Regulu (ES) Nr. 182/2011</w:t>
      </w:r>
      <w:r w:rsidRPr="00143228">
        <w:rPr>
          <w:szCs w:val="24"/>
          <w:vertAlign w:val="superscript"/>
          <w:lang w:eastAsia="en-US"/>
        </w:rPr>
        <w:footnoteReference w:id="32"/>
      </w:r>
      <w:r w:rsidRPr="00143228">
        <w:t>.</w:t>
      </w:r>
    </w:p>
    <w:p w:rsidR="00C37615" w:rsidRPr="00143228" w:rsidRDefault="00C37615" w:rsidP="00C37615">
      <w:pPr>
        <w:spacing w:before="120" w:after="120" w:line="360" w:lineRule="auto"/>
        <w:ind w:left="850" w:hanging="850"/>
        <w:rPr>
          <w:szCs w:val="24"/>
        </w:rPr>
      </w:pPr>
      <w:r w:rsidRPr="00143228">
        <w:t>(38)</w:t>
      </w:r>
      <w:r w:rsidRPr="00143228">
        <w:tab/>
        <w:t>Ja šīs regulas vai saskaņā ar to pieņemtu deleģēto un īstenošanas aktu īstenošanai būtu nepieciešama būtisku pielāgojumu veikšana dalībvalsts valsts statistikas sistēmai attiecībā uz tādu datu sniegšanu, kuru periodiskums ir mazāk par 10 gadiem, Komisijai vajadzētu būt iespējai pienācīgi pamatotos gadījumos un uz ierobežotu laiku piešķirt attiecīgajām dalībvalstīm atkāpes.</w:t>
      </w:r>
    </w:p>
    <w:p w:rsidR="00C37615" w:rsidRPr="00143228" w:rsidRDefault="00C37615" w:rsidP="00C37615">
      <w:pPr>
        <w:spacing w:before="120" w:after="120" w:line="360" w:lineRule="auto"/>
        <w:ind w:left="850" w:hanging="850"/>
        <w:rPr>
          <w:szCs w:val="24"/>
        </w:rPr>
      </w:pPr>
      <w:r w:rsidRPr="00143228">
        <w:t>(39)</w:t>
      </w:r>
      <w:r w:rsidRPr="00143228">
        <w:tab/>
        <w:t xml:space="preserve">Ņemot vērā to, ka šīs regulas mērķi – proti, sistemātiski sagatavot Eiropas statistiku par iedzīvotājiem un mājokļiem – nevar pietiekami labi sasniegt atsevišķās dalībvalstīs, bet konsekvences un salīdzināmības dēļ to var labāk sasniegt Savienības </w:t>
      </w:r>
      <w:r w:rsidRPr="00143228">
        <w:lastRenderedPageBreak/>
        <w:t>līmenī, Savienība var pieņemt pasākumus saskaņā ar LES 5. pantā noteikto subsidiaritātes principu. Saskaņā ar minētajā pantā noteikto proporcionalitātes principu šajā regulā paredz vienīgi tos pasākumus, kas ir vajadzīgi minētā mērķa sasniegšanai.</w:t>
      </w:r>
    </w:p>
    <w:p w:rsidR="00C37615" w:rsidRPr="00143228" w:rsidRDefault="00C37615" w:rsidP="00C37615">
      <w:pPr>
        <w:spacing w:before="120" w:after="120" w:line="360" w:lineRule="auto"/>
        <w:ind w:left="850" w:hanging="850"/>
        <w:rPr>
          <w:szCs w:val="24"/>
        </w:rPr>
      </w:pPr>
      <w:r w:rsidRPr="00143228">
        <w:t>(40)</w:t>
      </w:r>
      <w:r w:rsidRPr="00143228">
        <w:tab/>
        <w:t>Saskaņā ar Regulas (ES) 2018/1725 42. panta 1. punktu ir notikusi apspriešanās ar Eiropas Datu aizsardzības uzraudzītāju, kas</w:t>
      </w:r>
      <w:r w:rsidRPr="00143228">
        <w:rPr>
          <w:b/>
          <w:i/>
        </w:rPr>
        <w:t xml:space="preserve"> 2023. gada 16. martā</w:t>
      </w:r>
      <w:r w:rsidRPr="00143228">
        <w:t xml:space="preserve"> sniedza atzinumu.</w:t>
      </w:r>
    </w:p>
    <w:p w:rsidR="00C37615" w:rsidRPr="00143228" w:rsidRDefault="00C37615" w:rsidP="00C37615">
      <w:pPr>
        <w:spacing w:before="120" w:after="120" w:line="360" w:lineRule="auto"/>
        <w:ind w:left="850" w:hanging="850"/>
        <w:rPr>
          <w:szCs w:val="24"/>
        </w:rPr>
      </w:pPr>
      <w:r w:rsidRPr="00143228">
        <w:t>(41)</w:t>
      </w:r>
      <w:r w:rsidRPr="00143228">
        <w:tab/>
        <w:t>Ir notikusi apspriešanās ar ESS komiteju,</w:t>
      </w:r>
    </w:p>
    <w:p w:rsidR="00C37615" w:rsidRPr="00143228" w:rsidRDefault="00C37615" w:rsidP="00C37615">
      <w:pPr>
        <w:keepNext/>
        <w:widowControl/>
        <w:spacing w:before="120" w:after="120" w:line="360" w:lineRule="auto"/>
        <w:rPr>
          <w:szCs w:val="24"/>
        </w:rPr>
      </w:pPr>
      <w:r w:rsidRPr="00143228">
        <w:t>IR PIEŅĒMUŠI ŠO REGULU.</w:t>
      </w:r>
    </w:p>
    <w:p w:rsidR="00C37615" w:rsidRPr="00143228" w:rsidRDefault="00C37615" w:rsidP="00C37615">
      <w:pPr>
        <w:spacing w:before="120" w:after="120" w:line="360" w:lineRule="auto"/>
        <w:jc w:val="center"/>
        <w:rPr>
          <w:szCs w:val="24"/>
        </w:rPr>
      </w:pPr>
      <w:r w:rsidRPr="00143228">
        <w:br w:type="page"/>
      </w:r>
      <w:r w:rsidRPr="00143228">
        <w:lastRenderedPageBreak/>
        <w:t>1. pants</w:t>
      </w:r>
      <w:r w:rsidRPr="00143228">
        <w:br/>
        <w:t>Priekšmets</w:t>
      </w:r>
    </w:p>
    <w:p w:rsidR="00C37615" w:rsidRPr="00143228" w:rsidRDefault="00C37615" w:rsidP="00C37615">
      <w:pPr>
        <w:spacing w:before="120" w:after="120" w:line="360" w:lineRule="auto"/>
        <w:rPr>
          <w:szCs w:val="24"/>
        </w:rPr>
      </w:pPr>
      <w:r w:rsidRPr="00143228">
        <w:t>Ar šo regulu izveido vienotu tiesisko regulējumu Eiropas statistikas izstrādei, sagatavošanai un izplatīšanai par iedzīvotājiem un mājokļiem.</w:t>
      </w:r>
    </w:p>
    <w:p w:rsidR="00C37615" w:rsidRPr="00143228" w:rsidRDefault="00C37615" w:rsidP="00C37615">
      <w:pPr>
        <w:spacing w:before="120" w:after="120" w:line="360" w:lineRule="auto"/>
        <w:jc w:val="center"/>
        <w:rPr>
          <w:szCs w:val="24"/>
        </w:rPr>
      </w:pPr>
      <w:r w:rsidRPr="00143228">
        <w:t>2. pants</w:t>
      </w:r>
      <w:r w:rsidRPr="00143228">
        <w:br/>
        <w:t>Definīcijas</w:t>
      </w:r>
    </w:p>
    <w:p w:rsidR="00C37615" w:rsidRPr="00143228" w:rsidRDefault="00C37615" w:rsidP="00C37615">
      <w:pPr>
        <w:spacing w:before="120" w:after="120" w:line="360" w:lineRule="auto"/>
        <w:rPr>
          <w:szCs w:val="24"/>
        </w:rPr>
      </w:pPr>
      <w:r w:rsidRPr="00143228">
        <w:t>Šajā regulā piemēro šādas definīcijas:</w:t>
      </w:r>
    </w:p>
    <w:p w:rsidR="00C37615" w:rsidRPr="00143228" w:rsidRDefault="00C37615" w:rsidP="00C37615">
      <w:pPr>
        <w:spacing w:before="120" w:after="120" w:line="360" w:lineRule="auto"/>
        <w:ind w:left="850" w:hanging="850"/>
        <w:rPr>
          <w:szCs w:val="24"/>
        </w:rPr>
      </w:pPr>
      <w:r w:rsidRPr="00143228">
        <w:t>(1)</w:t>
      </w:r>
      <w:r w:rsidRPr="00143228">
        <w:tab/>
        <w:t>“pilsonība” ir fiziskās personas un tās valsts īpaša juridiska saikne, ko iegūst, piedzimstot vai naturalizējoties (iesniedzot deklarāciju, izdarot izvēli, apprecoties, notiekot adopcijai vai citā veidā) saskaņā ar valsts tiesību aktiem;</w:t>
      </w:r>
    </w:p>
    <w:p w:rsidR="00C37615" w:rsidRPr="00143228" w:rsidRDefault="00C37615" w:rsidP="00C37615">
      <w:pPr>
        <w:spacing w:before="120" w:after="120" w:line="360" w:lineRule="auto"/>
        <w:ind w:left="850" w:hanging="850"/>
        <w:rPr>
          <w:szCs w:val="24"/>
        </w:rPr>
      </w:pPr>
      <w:r w:rsidRPr="00143228">
        <w:t>(2)</w:t>
      </w:r>
      <w:r w:rsidRPr="00143228">
        <w:tab/>
        <w:t>“pastāvīgā dzīvesvieta” ir vieta, kurā persona parasti pavada dienas atpūtas daļu, neņemot vērā īslaicīgu prombūtni izklaides, brīvdienu pavadīšanas, draugu un radinieku apciemošanas, darīšanu, ārstniecības vai svētceļojumu nolūkā. Par konkrētas ģeogrāfiskās teritorijas pastāvīgajiem iedzīvotājiem uzskata tikai:</w:t>
      </w:r>
    </w:p>
    <w:p w:rsidR="00C37615" w:rsidRPr="00143228" w:rsidRDefault="00C37615" w:rsidP="00C37615">
      <w:pPr>
        <w:spacing w:before="120" w:after="120" w:line="360" w:lineRule="auto"/>
        <w:ind w:left="1416" w:hanging="566"/>
        <w:rPr>
          <w:szCs w:val="24"/>
        </w:rPr>
      </w:pPr>
      <w:r w:rsidRPr="00143228">
        <w:t>a)</w:t>
      </w:r>
      <w:r w:rsidRPr="00143228">
        <w:tab/>
        <w:t>personas, kas lielāko daļu laika 12 mēnešos pirms pārskata datuma (ieskaitot) ir dzīvojušas savā pastāvīgajā dzīvesvietā; vai</w:t>
      </w:r>
    </w:p>
    <w:p w:rsidR="00C37615" w:rsidRPr="00143228" w:rsidRDefault="00C37615" w:rsidP="00C37615">
      <w:pPr>
        <w:spacing w:before="120" w:after="120" w:line="360" w:lineRule="auto"/>
        <w:ind w:left="1416" w:hanging="566"/>
        <w:rPr>
          <w:szCs w:val="24"/>
        </w:rPr>
      </w:pPr>
      <w:r w:rsidRPr="00143228">
        <w:t>b)</w:t>
      </w:r>
      <w:r w:rsidRPr="00143228">
        <w:tab/>
        <w:t>personas, kas 12 mēnešos pirms pārskata datuma (ieskaitot) ir ieradušās savā pastāvīgajā dzīvesvietā un kam ir nodoms vai kas sagaida, ka tās vismaz 12 mēnešus pēc ierašanās tur uzturēsies lielāko daļu laika;</w:t>
      </w:r>
    </w:p>
    <w:p w:rsidR="00C37615" w:rsidRPr="00143228" w:rsidRDefault="00C37615" w:rsidP="00C37615">
      <w:pPr>
        <w:spacing w:before="120" w:after="120" w:line="360" w:lineRule="auto"/>
        <w:ind w:left="850" w:hanging="850"/>
        <w:rPr>
          <w:szCs w:val="24"/>
        </w:rPr>
      </w:pPr>
      <w:r w:rsidRPr="00143228">
        <w:t>(3)</w:t>
      </w:r>
      <w:r w:rsidRPr="00143228">
        <w:tab/>
        <w:t>“klātbūtnes pazīmes” ir jebkura informācija, kas norāda uz personas faktisko klātbūtni un pastāvīgo dzīvesvietu attiecīgajā teritorijā un var būt iegūta no jebkura piemērota avota vai to kombinācijas, tostarp digitālajām pēdām, kas attiecas uz personu;</w:t>
      </w:r>
    </w:p>
    <w:p w:rsidR="00C37615" w:rsidRPr="00143228" w:rsidRDefault="00C37615" w:rsidP="00C37615">
      <w:pPr>
        <w:spacing w:before="120" w:after="120" w:line="360" w:lineRule="auto"/>
        <w:ind w:left="850" w:hanging="850"/>
        <w:rPr>
          <w:szCs w:val="24"/>
        </w:rPr>
      </w:pPr>
      <w:r w:rsidRPr="00143228">
        <w:t>(4)</w:t>
      </w:r>
      <w:r w:rsidRPr="00143228">
        <w:tab/>
        <w:t>▌</w:t>
      </w:r>
    </w:p>
    <w:p w:rsidR="00C37615" w:rsidRPr="00143228" w:rsidRDefault="00C37615" w:rsidP="00C37615">
      <w:pPr>
        <w:spacing w:before="120" w:after="120" w:line="360" w:lineRule="auto"/>
        <w:ind w:left="850" w:hanging="850"/>
        <w:rPr>
          <w:szCs w:val="24"/>
        </w:rPr>
      </w:pPr>
      <w:r w:rsidRPr="00143228">
        <w:t>(5)</w:t>
      </w:r>
      <w:r w:rsidRPr="00143228">
        <w:tab/>
        <w:t>“starptautiskā migrācija” ir notikums, kurā persona, kas iepriekš pastāvīgi dzīvojusi citā dalībvalstī vai trešā valstī, iedibina savu pastāvīgo dzīvesvietu dalībvalsts vai trešās valsts teritorijā;</w:t>
      </w:r>
    </w:p>
    <w:p w:rsidR="00C37615" w:rsidRPr="00143228" w:rsidRDefault="00C37615" w:rsidP="00C37615">
      <w:pPr>
        <w:spacing w:before="120" w:after="120" w:line="360" w:lineRule="auto"/>
        <w:ind w:left="850" w:hanging="850"/>
        <w:rPr>
          <w:szCs w:val="24"/>
        </w:rPr>
      </w:pPr>
      <w:r w:rsidRPr="00143228">
        <w:t>(6)</w:t>
      </w:r>
      <w:r w:rsidRPr="00143228">
        <w:tab/>
        <w:t xml:space="preserve">“imigrants” ir persona, kas pārskata periodā ir piedalījusies starptautiskajā migrācijā, lai </w:t>
      </w:r>
      <w:proofErr w:type="spellStart"/>
      <w:r w:rsidRPr="00143228">
        <w:t>ziņotājvalstī</w:t>
      </w:r>
      <w:proofErr w:type="spellEnd"/>
      <w:r w:rsidRPr="00143228">
        <w:t xml:space="preserve"> iedibinātu savu jauno pastāvīgo dzīvesvietu;</w:t>
      </w:r>
    </w:p>
    <w:p w:rsidR="00C37615" w:rsidRPr="00143228" w:rsidRDefault="00C37615" w:rsidP="00C37615">
      <w:pPr>
        <w:spacing w:before="120" w:after="120" w:line="360" w:lineRule="auto"/>
        <w:ind w:left="850" w:hanging="850"/>
        <w:rPr>
          <w:szCs w:val="24"/>
        </w:rPr>
      </w:pPr>
      <w:r w:rsidRPr="00143228">
        <w:t>(7)</w:t>
      </w:r>
      <w:r w:rsidRPr="00143228">
        <w:tab/>
        <w:t xml:space="preserve">“emigrants” ir persona, kas iepriekš pastāvīgi dzīvojusi </w:t>
      </w:r>
      <w:proofErr w:type="spellStart"/>
      <w:r w:rsidRPr="00143228">
        <w:t>ziņotājvalstī</w:t>
      </w:r>
      <w:proofErr w:type="spellEnd"/>
      <w:r w:rsidRPr="00143228">
        <w:t xml:space="preserve"> un kas pārskata </w:t>
      </w:r>
      <w:r w:rsidRPr="00143228">
        <w:lastRenderedPageBreak/>
        <w:t xml:space="preserve">periodā ir piedalījusies starptautiskajā migrācijā, lai ārpus </w:t>
      </w:r>
      <w:proofErr w:type="spellStart"/>
      <w:r w:rsidRPr="00143228">
        <w:t>ziņotājvalsts</w:t>
      </w:r>
      <w:proofErr w:type="spellEnd"/>
      <w:r w:rsidRPr="00143228">
        <w:t xml:space="preserve"> iedibinātu savu jauno pastāvīgo dzīvesvietu;</w:t>
      </w:r>
    </w:p>
    <w:p w:rsidR="00C37615" w:rsidRPr="00143228" w:rsidRDefault="00C37615" w:rsidP="00C37615">
      <w:pPr>
        <w:spacing w:before="120" w:after="120" w:line="360" w:lineRule="auto"/>
        <w:ind w:left="850" w:hanging="850"/>
        <w:rPr>
          <w:szCs w:val="24"/>
        </w:rPr>
      </w:pPr>
      <w:r w:rsidRPr="00143228">
        <w:t>(8)</w:t>
      </w:r>
      <w:r w:rsidRPr="00143228">
        <w:tab/>
        <w:t xml:space="preserve">“iekšējā migrācija” ir notikums, kurā persona </w:t>
      </w:r>
      <w:proofErr w:type="spellStart"/>
      <w:r w:rsidRPr="00143228">
        <w:t>ziņotājvalsts</w:t>
      </w:r>
      <w:proofErr w:type="spellEnd"/>
      <w:r w:rsidRPr="00143228">
        <w:t xml:space="preserve"> teritorijā maina savu pastāvīgo dzīvesvietu;</w:t>
      </w:r>
    </w:p>
    <w:p w:rsidR="00C37615" w:rsidRPr="00143228" w:rsidRDefault="00C37615" w:rsidP="00C37615">
      <w:pPr>
        <w:spacing w:before="120" w:after="120" w:line="360" w:lineRule="auto"/>
        <w:ind w:left="850" w:hanging="850"/>
        <w:rPr>
          <w:szCs w:val="24"/>
        </w:rPr>
      </w:pPr>
      <w:r w:rsidRPr="00143228">
        <w:rPr>
          <w:b/>
          <w:i/>
        </w:rPr>
        <w:t>(8a)</w:t>
      </w:r>
      <w:r w:rsidRPr="00143228">
        <w:tab/>
      </w:r>
      <w:r w:rsidRPr="00143228">
        <w:rPr>
          <w:b/>
          <w:i/>
        </w:rPr>
        <w:t>“grūti sasniedzamas iedzīvotāju grupas” ir indivīdu grupas, kuru pilnīgai un reprezentatīvai identificēšanai vai iekļaušanai statistikas datu vākšanā pastāv reāls vai par tādu uzskatīts šķērslis — vai nu tāpēc, ka attiecīgās grupas nav aptvertas, vai arī tāpēc, ka trūkst konkrētu pazīmju to identificēšanai;</w:t>
      </w:r>
    </w:p>
    <w:p w:rsidR="00C37615" w:rsidRPr="00143228" w:rsidRDefault="00C37615" w:rsidP="00C37615">
      <w:pPr>
        <w:spacing w:before="120" w:after="120" w:line="360" w:lineRule="auto"/>
        <w:ind w:left="850" w:hanging="850"/>
        <w:rPr>
          <w:szCs w:val="24"/>
        </w:rPr>
      </w:pPr>
      <w:r w:rsidRPr="00143228">
        <w:t>(9)</w:t>
      </w:r>
      <w:r w:rsidRPr="00143228">
        <w:tab/>
        <w:t>“dzīvojamās telpas” ir pagaidu vai pastāvīga struktūra, pajumte vai izmitināšanas vieta, kurā dzīvo viena vai vairākas personas, neatkarīgi no tā, vai tā ir vai nav bijusi konstruēta vai paredzēta cilvēku izmitināšanai;</w:t>
      </w:r>
    </w:p>
    <w:p w:rsidR="00C37615" w:rsidRPr="00143228" w:rsidRDefault="00C37615" w:rsidP="00C37615">
      <w:pPr>
        <w:spacing w:before="120" w:after="120" w:line="360" w:lineRule="auto"/>
        <w:ind w:left="850" w:hanging="850"/>
        <w:rPr>
          <w:b/>
          <w:i/>
          <w:szCs w:val="24"/>
        </w:rPr>
      </w:pPr>
      <w:r w:rsidRPr="00143228">
        <w:t>(10)</w:t>
      </w:r>
      <w:r w:rsidRPr="00143228">
        <w:tab/>
        <w:t>“</w:t>
      </w:r>
      <w:r w:rsidRPr="00143228">
        <w:rPr>
          <w:b/>
          <w:i/>
        </w:rPr>
        <w:t>tradicionāli mājokļi</w:t>
      </w:r>
      <w:r w:rsidRPr="00143228">
        <w:t xml:space="preserve">” ir </w:t>
      </w:r>
      <w:r w:rsidRPr="00143228">
        <w:rPr>
          <w:b/>
          <w:i/>
        </w:rPr>
        <w:t>strukturāli nodalītas un neatkarīgas telpas</w:t>
      </w:r>
      <w:r w:rsidRPr="00143228">
        <w:t xml:space="preserve"> noteiktā </w:t>
      </w:r>
      <w:r w:rsidRPr="00143228">
        <w:rPr>
          <w:b/>
          <w:i/>
        </w:rPr>
        <w:t>atrašanās</w:t>
      </w:r>
      <w:r w:rsidRPr="00143228">
        <w:t xml:space="preserve"> vietā, kuras paredzētas pastāvīgai cilvēku izmitināšanai </w:t>
      </w:r>
      <w:r w:rsidRPr="00143228">
        <w:rPr>
          <w:b/>
          <w:i/>
        </w:rPr>
        <w:t xml:space="preserve">un pārskata datumā: </w:t>
      </w:r>
    </w:p>
    <w:p w:rsidR="00C37615" w:rsidRPr="00143228" w:rsidRDefault="00C37615" w:rsidP="00C37615">
      <w:pPr>
        <w:spacing w:before="120" w:after="120" w:line="360" w:lineRule="auto"/>
        <w:ind w:left="850"/>
        <w:rPr>
          <w:b/>
          <w:i/>
          <w:szCs w:val="24"/>
        </w:rPr>
      </w:pPr>
      <w:r w:rsidRPr="00143228">
        <w:rPr>
          <w:b/>
          <w:i/>
        </w:rPr>
        <w:t xml:space="preserve">a) tiek izmantotas kā pastāvīgā dzīvesvieta; </w:t>
      </w:r>
    </w:p>
    <w:p w:rsidR="00C37615" w:rsidRPr="00143228" w:rsidRDefault="00C37615" w:rsidP="00C37615">
      <w:pPr>
        <w:spacing w:before="120" w:after="120" w:line="360" w:lineRule="auto"/>
        <w:ind w:left="850"/>
        <w:rPr>
          <w:b/>
          <w:i/>
          <w:szCs w:val="24"/>
        </w:rPr>
      </w:pPr>
      <w:r w:rsidRPr="00143228">
        <w:rPr>
          <w:b/>
          <w:i/>
        </w:rPr>
        <w:t xml:space="preserve">b) nav apdzīvotas; vai </w:t>
      </w:r>
    </w:p>
    <w:p w:rsidR="00C37615" w:rsidRPr="00143228" w:rsidRDefault="00C37615" w:rsidP="00C37615">
      <w:pPr>
        <w:spacing w:before="120" w:after="120" w:line="360" w:lineRule="auto"/>
        <w:ind w:left="850"/>
        <w:rPr>
          <w:b/>
          <w:i/>
          <w:szCs w:val="24"/>
        </w:rPr>
      </w:pPr>
      <w:r w:rsidRPr="00143228">
        <w:rPr>
          <w:b/>
          <w:i/>
        </w:rPr>
        <w:t xml:space="preserve">c) tiek izmantotas kā sekundārs vai sezonāls mājoklis. </w:t>
      </w:r>
    </w:p>
    <w:p w:rsidR="00C37615" w:rsidRPr="00143228" w:rsidRDefault="00C37615" w:rsidP="00C37615">
      <w:pPr>
        <w:spacing w:before="120" w:after="120" w:line="360" w:lineRule="auto"/>
        <w:ind w:left="851" w:hanging="851"/>
        <w:rPr>
          <w:b/>
          <w:i/>
          <w:szCs w:val="24"/>
        </w:rPr>
      </w:pPr>
      <w:r w:rsidRPr="00143228">
        <w:rPr>
          <w:b/>
          <w:i/>
        </w:rPr>
        <w:t>x)</w:t>
      </w:r>
      <w:r w:rsidRPr="00143228">
        <w:rPr>
          <w:b/>
          <w:i/>
        </w:rPr>
        <w:tab/>
        <w:t>“nodalītas telpas” ir telpas, ko atdala sienas un kas ir pārsegtas ar jumtu vai griestiem tā, lai viena vai vairākas personas tur varētu dzīvot neatkarīgi no citiem;</w:t>
      </w:r>
    </w:p>
    <w:p w:rsidR="00C37615" w:rsidRPr="00143228" w:rsidRDefault="00C37615" w:rsidP="00C37615">
      <w:pPr>
        <w:spacing w:before="120" w:after="120" w:line="360" w:lineRule="auto"/>
        <w:ind w:left="851" w:hanging="851"/>
        <w:rPr>
          <w:szCs w:val="24"/>
        </w:rPr>
      </w:pPr>
      <w:r w:rsidRPr="00143228">
        <w:rPr>
          <w:b/>
          <w:i/>
        </w:rPr>
        <w:t>xx)</w:t>
      </w:r>
      <w:r w:rsidRPr="00143228">
        <w:rPr>
          <w:b/>
          <w:i/>
        </w:rPr>
        <w:tab/>
        <w:t>“neatkarīgas telpas” ir telpas ar tiešu piekļuvi no ielas vai kāpņutelpas, ejām, gaiteņiem vai zemes;</w:t>
      </w:r>
    </w:p>
    <w:p w:rsidR="00C37615" w:rsidRPr="00143228" w:rsidRDefault="00C37615" w:rsidP="00C37615">
      <w:pPr>
        <w:spacing w:before="120" w:after="120" w:line="360" w:lineRule="auto"/>
        <w:ind w:left="850" w:hanging="850"/>
        <w:rPr>
          <w:szCs w:val="24"/>
        </w:rPr>
      </w:pPr>
      <w:r w:rsidRPr="00143228">
        <w:t>(11)</w:t>
      </w:r>
      <w:r w:rsidRPr="00143228">
        <w:tab/>
        <w:t>“izmitināšanai paredzēta ēka” ir pastāvīga struktūra, ko veido viens vai vairāki tradicionālie mājokļi vai kas ir paredzēta institucionāliem vai kolektīviem mājokļiem;</w:t>
      </w:r>
    </w:p>
    <w:p w:rsidR="00C37615" w:rsidRPr="00143228" w:rsidRDefault="00C37615" w:rsidP="00C37615">
      <w:pPr>
        <w:spacing w:before="120" w:after="120" w:line="360" w:lineRule="auto"/>
        <w:ind w:left="850" w:hanging="850"/>
        <w:rPr>
          <w:szCs w:val="24"/>
        </w:rPr>
      </w:pPr>
      <w:r w:rsidRPr="00143228">
        <w:t>(12)</w:t>
      </w:r>
      <w:r w:rsidRPr="00143228">
        <w:tab/>
        <w:t>“mājsaimniecība” ir divu vai vairāku tādu personu grupa, kurām ir kopīgas dzīvojamās telpas ▌, vai viena fiziska persona, kas neietilpst nevienā citā mājsaimniecībā;</w:t>
      </w:r>
    </w:p>
    <w:p w:rsidR="00C37615" w:rsidRPr="00143228" w:rsidRDefault="00C37615" w:rsidP="00C37615">
      <w:pPr>
        <w:spacing w:before="120" w:after="120" w:line="360" w:lineRule="auto"/>
        <w:ind w:left="850" w:hanging="850"/>
        <w:rPr>
          <w:szCs w:val="24"/>
        </w:rPr>
      </w:pPr>
      <w:r w:rsidRPr="00143228">
        <w:rPr>
          <w:b/>
          <w:i/>
        </w:rPr>
        <w:t>(12a)</w:t>
      </w:r>
      <w:r w:rsidRPr="00143228">
        <w:tab/>
      </w:r>
      <w:r w:rsidRPr="00143228">
        <w:rPr>
          <w:b/>
          <w:i/>
        </w:rPr>
        <w:t>“iestāde” ir kolektīvas dzīvojamās telpas, kas paredzētas tam, lai tajās ilglaicīgi izmitinātu personu grupu un sniegtu šīm personām ikdienas dzīvei nepieciešamos pakalpojumus;</w:t>
      </w:r>
    </w:p>
    <w:p w:rsidR="00C37615" w:rsidRPr="00143228" w:rsidRDefault="00C37615" w:rsidP="00C37615">
      <w:pPr>
        <w:spacing w:before="120" w:after="120" w:line="360" w:lineRule="auto"/>
        <w:ind w:left="850" w:hanging="850"/>
        <w:rPr>
          <w:szCs w:val="24"/>
        </w:rPr>
      </w:pPr>
      <w:r w:rsidRPr="00143228">
        <w:lastRenderedPageBreak/>
        <w:t>(13)</w:t>
      </w:r>
      <w:r w:rsidRPr="00143228">
        <w:tab/>
        <w:t xml:space="preserve">“ģimene” ir divu vai vairāku tādu personu grupa, kuras </w:t>
      </w:r>
      <w:r w:rsidRPr="00143228">
        <w:rPr>
          <w:b/>
          <w:i/>
        </w:rPr>
        <w:t>lielāko daļu laika</w:t>
      </w:r>
      <w:r w:rsidRPr="00143228">
        <w:t xml:space="preserve"> dzīvo vienā mājsaimniecībā un kuras ir saistītas caur vecāku un bērnu attiecībām vai laulību, reģistrētām partnerattiecībām vai civillaulību;</w:t>
      </w:r>
    </w:p>
    <w:p w:rsidR="00C37615" w:rsidRPr="00143228" w:rsidRDefault="00C37615" w:rsidP="00C37615">
      <w:pPr>
        <w:spacing w:before="120" w:after="120" w:line="360" w:lineRule="auto"/>
        <w:ind w:left="850" w:hanging="850"/>
        <w:rPr>
          <w:szCs w:val="24"/>
        </w:rPr>
      </w:pPr>
      <w:r w:rsidRPr="00143228">
        <w:t>(14)</w:t>
      </w:r>
      <w:r w:rsidRPr="00143228">
        <w:tab/>
        <w:t>“administratīvie ieraksti” ir dati, kurus ir radījis ar statistiku nesaistīts avots, parasti — reģistrs, kas ir publisko tiesību subjekta rīcībā, un kuru galvenais mērķis nav statistikas sniegšana;</w:t>
      </w:r>
    </w:p>
    <w:p w:rsidR="00C37615" w:rsidRPr="00143228" w:rsidRDefault="00C37615" w:rsidP="00C37615">
      <w:pPr>
        <w:spacing w:before="120" w:after="120" w:line="360" w:lineRule="auto"/>
        <w:ind w:left="850" w:hanging="850"/>
        <w:rPr>
          <w:szCs w:val="24"/>
        </w:rPr>
      </w:pPr>
      <w:r w:rsidRPr="00143228">
        <w:t>(15)</w:t>
      </w:r>
      <w:r w:rsidRPr="00143228">
        <w:tab/>
        <w:t>“joma” ir viena vai vairākas datu kopas, kas attiecas uz konkrētiem tematiem;</w:t>
      </w:r>
    </w:p>
    <w:p w:rsidR="00C37615" w:rsidRPr="00143228" w:rsidRDefault="00C37615" w:rsidP="00C37615">
      <w:pPr>
        <w:spacing w:before="120" w:after="120" w:line="360" w:lineRule="auto"/>
        <w:ind w:left="850" w:hanging="850"/>
        <w:rPr>
          <w:szCs w:val="24"/>
        </w:rPr>
      </w:pPr>
      <w:r w:rsidRPr="00143228">
        <w:t>(16)</w:t>
      </w:r>
      <w:r w:rsidRPr="00143228">
        <w:tab/>
        <w:t>“temats” ir vācamās informācijas saturs par statistikas vienībām, katram tematam ietverot vairākus detalizētus tematus;</w:t>
      </w:r>
    </w:p>
    <w:p w:rsidR="00C37615" w:rsidRPr="00143228" w:rsidRDefault="00C37615" w:rsidP="00C37615">
      <w:pPr>
        <w:spacing w:before="120" w:after="120" w:line="360" w:lineRule="auto"/>
        <w:ind w:left="850" w:hanging="850"/>
        <w:rPr>
          <w:szCs w:val="24"/>
        </w:rPr>
      </w:pPr>
      <w:r w:rsidRPr="00143228">
        <w:t>(17)</w:t>
      </w:r>
      <w:r w:rsidRPr="00143228">
        <w:tab/>
        <w:t>“detalizēts temats” ir par statistikas vienībām ievācamās informācijas detalizēts saturs, kas attiecas uz kādu tematu; katrs detalizētais temats aptver vienu vai vairākus mainīgos lielumus;</w:t>
      </w:r>
    </w:p>
    <w:p w:rsidR="00C37615" w:rsidRPr="00143228" w:rsidRDefault="00C37615" w:rsidP="00C37615">
      <w:pPr>
        <w:spacing w:before="120" w:after="120" w:line="360" w:lineRule="auto"/>
        <w:ind w:left="850" w:hanging="850"/>
        <w:rPr>
          <w:szCs w:val="24"/>
        </w:rPr>
      </w:pPr>
      <w:r w:rsidRPr="00143228">
        <w:t>(18)</w:t>
      </w:r>
      <w:r w:rsidRPr="00143228">
        <w:tab/>
        <w:t>“datu kopa” ir ▌viens vai vairāki mainīgie lielumi, kuri sakārtoti strukturētā veidā;</w:t>
      </w:r>
    </w:p>
    <w:p w:rsidR="00C37615" w:rsidRPr="00143228" w:rsidRDefault="00C37615" w:rsidP="00C37615">
      <w:pPr>
        <w:spacing w:before="120" w:after="120" w:line="360" w:lineRule="auto"/>
        <w:ind w:left="850" w:hanging="850"/>
        <w:rPr>
          <w:szCs w:val="24"/>
        </w:rPr>
      </w:pPr>
      <w:r w:rsidRPr="00143228">
        <w:t>(19)</w:t>
      </w:r>
      <w:r w:rsidRPr="00143228">
        <w:tab/>
        <w:t>“iedzīvotāju un mājokļu skaitīšana” ir detalizētas datu kopas un metadati, kas reizi desmit gados jāiesniedz saskaņā ar šo regulu;</w:t>
      </w:r>
    </w:p>
    <w:p w:rsidR="00C37615" w:rsidRPr="00143228" w:rsidRDefault="00C37615" w:rsidP="00C37615">
      <w:pPr>
        <w:spacing w:before="120" w:after="120" w:line="360" w:lineRule="auto"/>
        <w:ind w:left="850" w:hanging="850"/>
        <w:rPr>
          <w:szCs w:val="24"/>
        </w:rPr>
      </w:pPr>
      <w:r w:rsidRPr="00143228">
        <w:t>(20)</w:t>
      </w:r>
      <w:r w:rsidRPr="00143228">
        <w:tab/>
        <w:t>“statistikas vienība” ir viens vienību kopuma elements, proti, personas, priekšmeti vai notikumi, par kuriem vāc datus un ▌apkopo statistiku;</w:t>
      </w:r>
    </w:p>
    <w:p w:rsidR="00C37615" w:rsidRPr="00143228" w:rsidRDefault="00C37615" w:rsidP="00C37615">
      <w:pPr>
        <w:spacing w:before="120" w:after="120" w:line="360" w:lineRule="auto"/>
        <w:ind w:left="850" w:hanging="850"/>
        <w:rPr>
          <w:szCs w:val="24"/>
        </w:rPr>
      </w:pPr>
      <w:r w:rsidRPr="00143228">
        <w:t>(21)</w:t>
      </w:r>
      <w:r w:rsidRPr="00143228">
        <w:tab/>
        <w:t>“mainīgais lielums” ir statistikas vienības raksturlielums, kas var uzrādīt vairāk nekā vienu vērtību kopu;</w:t>
      </w:r>
    </w:p>
    <w:p w:rsidR="00C37615" w:rsidRPr="00143228" w:rsidRDefault="00C37615" w:rsidP="00C37615">
      <w:pPr>
        <w:spacing w:before="120" w:after="120" w:line="360" w:lineRule="auto"/>
        <w:ind w:left="850" w:hanging="850"/>
        <w:rPr>
          <w:szCs w:val="24"/>
        </w:rPr>
      </w:pPr>
      <w:r w:rsidRPr="00143228">
        <w:t>(22)</w:t>
      </w:r>
      <w:r w:rsidRPr="00143228">
        <w:tab/>
        <w:t>“dalījums” ir iepriekš noteikta izolēta, izsmeļoša un savstarpēji izslēdzoša vērtību kopa, ko var piešķirt mainīgajiem lielumiem, kuri raksturo statistikas vienības;</w:t>
      </w:r>
    </w:p>
    <w:p w:rsidR="00C37615" w:rsidRPr="00143228" w:rsidRDefault="00C37615" w:rsidP="00C37615">
      <w:pPr>
        <w:spacing w:before="120" w:after="120" w:line="360" w:lineRule="auto"/>
        <w:ind w:left="850" w:hanging="850"/>
        <w:rPr>
          <w:szCs w:val="24"/>
        </w:rPr>
      </w:pPr>
      <w:r w:rsidRPr="00143228">
        <w:t>(23)</w:t>
      </w:r>
      <w:r w:rsidRPr="00143228">
        <w:tab/>
        <w:t>“valsts līmenis” ir dalībvalsts teritorija;</w:t>
      </w:r>
    </w:p>
    <w:p w:rsidR="00C37615" w:rsidRPr="00143228" w:rsidRDefault="00C37615" w:rsidP="00C37615">
      <w:pPr>
        <w:spacing w:before="120" w:after="120" w:line="360" w:lineRule="auto"/>
        <w:ind w:left="850" w:hanging="850"/>
        <w:rPr>
          <w:szCs w:val="24"/>
        </w:rPr>
      </w:pPr>
      <w:r w:rsidRPr="00143228">
        <w:t>(24)</w:t>
      </w:r>
      <w:r w:rsidRPr="00143228">
        <w:tab/>
        <w:t xml:space="preserve">“reģionālais līmenis” ir </w:t>
      </w:r>
      <w:r w:rsidRPr="00143228">
        <w:rPr>
          <w:i/>
          <w:iCs/>
        </w:rPr>
        <w:t>NUTS</w:t>
      </w:r>
      <w:r w:rsidRPr="00143228">
        <w:t> 3 līmenis, kas noteikts Regulā (EK) Nr. 1059/2003;</w:t>
      </w:r>
    </w:p>
    <w:p w:rsidR="00C37615" w:rsidRPr="00143228" w:rsidRDefault="00C37615" w:rsidP="00C37615">
      <w:pPr>
        <w:spacing w:before="120" w:after="120" w:line="360" w:lineRule="auto"/>
        <w:ind w:left="850" w:hanging="850"/>
        <w:rPr>
          <w:szCs w:val="24"/>
        </w:rPr>
      </w:pPr>
      <w:r w:rsidRPr="00143228">
        <w:t>(25)</w:t>
      </w:r>
      <w:r w:rsidRPr="00143228">
        <w:tab/>
        <w:t>“vietējais līmenis” ir vietējās administratīvās vienības ▌līmenis, kas noteikts Regulā (EK) Nr. 1059/2003;</w:t>
      </w:r>
    </w:p>
    <w:p w:rsidR="00C37615" w:rsidRPr="00143228" w:rsidRDefault="00C37615" w:rsidP="00C37615">
      <w:pPr>
        <w:spacing w:before="120" w:after="120" w:line="360" w:lineRule="auto"/>
        <w:ind w:left="850" w:hanging="850"/>
        <w:rPr>
          <w:szCs w:val="24"/>
        </w:rPr>
      </w:pPr>
      <w:r w:rsidRPr="00143228">
        <w:t>(26)</w:t>
      </w:r>
      <w:r w:rsidRPr="00143228">
        <w:tab/>
        <w:t>“koordinātu tīkla līmenis” ir statistikas koordinātu tīkls, kas noteikts Regulā (EK) Nr. 1059/2003;</w:t>
      </w:r>
    </w:p>
    <w:p w:rsidR="00C37615" w:rsidRPr="00143228" w:rsidRDefault="00C37615" w:rsidP="00C37615">
      <w:pPr>
        <w:spacing w:before="120" w:after="120" w:line="360" w:lineRule="auto"/>
        <w:ind w:left="850" w:hanging="850"/>
        <w:rPr>
          <w:szCs w:val="24"/>
        </w:rPr>
      </w:pPr>
      <w:r w:rsidRPr="00143228">
        <w:t>(27)</w:t>
      </w:r>
      <w:r w:rsidRPr="00143228">
        <w:tab/>
        <w:t xml:space="preserve">“rāmis” ir jebkurš saraksts, materiāls vai ierīce, ar ko nosaka un identificē </w:t>
      </w:r>
      <w:proofErr w:type="spellStart"/>
      <w:r w:rsidRPr="00143228">
        <w:t>mērķpopulācijas</w:t>
      </w:r>
      <w:proofErr w:type="spellEnd"/>
      <w:r w:rsidRPr="00143228">
        <w:t xml:space="preserve"> elementus un kas atkarībā no izmantošanas var nodrošināt piekļuvi elementiem un/vai nodrošināt to papildu raksturlielumus;</w:t>
      </w:r>
    </w:p>
    <w:p w:rsidR="00C37615" w:rsidRPr="00143228" w:rsidRDefault="00C37615" w:rsidP="00C37615">
      <w:pPr>
        <w:spacing w:before="120" w:after="120" w:line="360" w:lineRule="auto"/>
        <w:ind w:left="850" w:hanging="850"/>
        <w:rPr>
          <w:szCs w:val="24"/>
        </w:rPr>
      </w:pPr>
      <w:r w:rsidRPr="00143228">
        <w:lastRenderedPageBreak/>
        <w:t>(28)</w:t>
      </w:r>
      <w:r w:rsidRPr="00143228">
        <w:tab/>
        <w:t>“pārskata datums” ir brīdis laikā, uz kuru attiecas statistika;</w:t>
      </w:r>
    </w:p>
    <w:p w:rsidR="00C37615" w:rsidRPr="00143228" w:rsidRDefault="00C37615" w:rsidP="00C37615">
      <w:pPr>
        <w:spacing w:before="120" w:after="120" w:line="360" w:lineRule="auto"/>
        <w:ind w:left="850" w:hanging="850"/>
        <w:rPr>
          <w:szCs w:val="24"/>
        </w:rPr>
      </w:pPr>
      <w:r w:rsidRPr="00143228">
        <w:t>(29)</w:t>
      </w:r>
      <w:r w:rsidRPr="00143228">
        <w:tab/>
        <w:t>“pārskata periods” ir laika intervāls, uz kuru attiecas statistika par notikumiem;</w:t>
      </w:r>
    </w:p>
    <w:p w:rsidR="00C37615" w:rsidRPr="00143228" w:rsidRDefault="00C37615" w:rsidP="00C37615">
      <w:pPr>
        <w:spacing w:before="120" w:after="120" w:line="360" w:lineRule="auto"/>
        <w:ind w:left="850" w:hanging="850"/>
        <w:rPr>
          <w:szCs w:val="24"/>
        </w:rPr>
      </w:pPr>
      <w:r w:rsidRPr="00143228">
        <w:t>(30)</w:t>
      </w:r>
      <w:r w:rsidRPr="00143228">
        <w:tab/>
        <w:t>“pārskata laiks” ir vai nu pārskata datums, vai pārskata periods atkarībā no tā, vai statistika attiecas uz notikumiem vai citām statistikas vienībām;</w:t>
      </w:r>
    </w:p>
    <w:p w:rsidR="00C37615" w:rsidRPr="00143228" w:rsidRDefault="00C37615" w:rsidP="00C37615">
      <w:pPr>
        <w:spacing w:before="120" w:after="120" w:line="360" w:lineRule="auto"/>
        <w:ind w:left="850" w:hanging="850"/>
        <w:rPr>
          <w:szCs w:val="24"/>
        </w:rPr>
      </w:pPr>
      <w:r w:rsidRPr="00143228">
        <w:t>(31)</w:t>
      </w:r>
      <w:r w:rsidRPr="00143228">
        <w:tab/>
        <w:t>“metadati” ir informācija, kas ir vajadzīga, lai izmantotu un interpretētu statistiku, un kas strukturēti apraksta datu kopas;</w:t>
      </w:r>
    </w:p>
    <w:p w:rsidR="00C37615" w:rsidRPr="00143228" w:rsidRDefault="00C37615" w:rsidP="00C37615">
      <w:pPr>
        <w:spacing w:before="120" w:after="120" w:line="360" w:lineRule="auto"/>
        <w:ind w:left="850" w:hanging="850"/>
        <w:rPr>
          <w:szCs w:val="24"/>
        </w:rPr>
      </w:pPr>
      <w:r w:rsidRPr="00143228">
        <w:t>(32)</w:t>
      </w:r>
      <w:r w:rsidRPr="00143228">
        <w:tab/>
        <w:t>“iepriekš pārbaudītas datu kopas” ir datu kopas, ko dalībvalstis ir pārbaudījušas, pamatojoties uz saskaņotiem kopīgiem validācijas noteikumiem;</w:t>
      </w:r>
    </w:p>
    <w:p w:rsidR="00C37615" w:rsidRPr="00143228" w:rsidRDefault="00C37615" w:rsidP="00C37615">
      <w:pPr>
        <w:spacing w:before="120" w:after="120" w:line="360" w:lineRule="auto"/>
        <w:ind w:left="850" w:hanging="850"/>
        <w:rPr>
          <w:szCs w:val="24"/>
        </w:rPr>
      </w:pPr>
      <w:r w:rsidRPr="00143228">
        <w:t>(33)</w:t>
      </w:r>
      <w:r w:rsidRPr="00143228">
        <w:tab/>
        <w:t>“kvalitātes ziņojums” ir ziņojums, kas ietver informāciju par statistikas produkta vai procesa kvalitāti.</w:t>
      </w:r>
    </w:p>
    <w:p w:rsidR="00C37615" w:rsidRPr="00143228" w:rsidRDefault="00C37615" w:rsidP="00C37615">
      <w:pPr>
        <w:spacing w:before="120" w:after="120" w:line="360" w:lineRule="auto"/>
        <w:jc w:val="center"/>
        <w:rPr>
          <w:szCs w:val="24"/>
        </w:rPr>
      </w:pPr>
      <w:r w:rsidRPr="00143228">
        <w:t>3. pants</w:t>
      </w:r>
      <w:r w:rsidRPr="00143228">
        <w:br/>
        <w:t xml:space="preserve">Iedzīvotāju bāze </w:t>
      </w:r>
    </w:p>
    <w:p w:rsidR="00C37615" w:rsidRPr="00143228" w:rsidRDefault="00C37615" w:rsidP="00C37615">
      <w:pPr>
        <w:spacing w:before="120" w:after="120" w:line="360" w:lineRule="auto"/>
        <w:ind w:left="850" w:hanging="850"/>
        <w:rPr>
          <w:szCs w:val="24"/>
        </w:rPr>
      </w:pPr>
      <w:r w:rsidRPr="00143228">
        <w:t>1.</w:t>
      </w:r>
      <w:r w:rsidRPr="00143228">
        <w:tab/>
        <w:t>Šajā regulā iedzīvotāju bāzi veido visas personas, kuru pastāvīgā dzīvesvieta Savienībā pārskata datumā ir konkrētā dalībvalsts teritoriālajā vienībā valsts, reģionālajā, vietējā vai koordinātu tīkla līmenī.</w:t>
      </w:r>
    </w:p>
    <w:p w:rsidR="00C37615" w:rsidRPr="00143228" w:rsidRDefault="00C37615" w:rsidP="00C37615">
      <w:pPr>
        <w:spacing w:before="120" w:after="120" w:line="360" w:lineRule="auto"/>
        <w:ind w:left="850" w:hanging="850"/>
        <w:rPr>
          <w:szCs w:val="24"/>
        </w:rPr>
      </w:pPr>
      <w:r w:rsidRPr="00143228">
        <w:t>2.</w:t>
      </w:r>
      <w:r w:rsidRPr="00143228">
        <w:tab/>
        <w:t>Iedzīvotāju bāze ietver visus pastāvīgos iedzīvotājus neatkarīgi no to pilsonības vai tā, vai persona ir bezvalstniece vai ir bijusi bezvalstniece ▌.</w:t>
      </w:r>
    </w:p>
    <w:p w:rsidR="00C37615" w:rsidRPr="00143228" w:rsidRDefault="00C37615" w:rsidP="00C37615">
      <w:pPr>
        <w:spacing w:before="120" w:after="120" w:line="360" w:lineRule="auto"/>
        <w:ind w:left="850" w:hanging="850"/>
        <w:rPr>
          <w:szCs w:val="24"/>
        </w:rPr>
      </w:pPr>
      <w:r w:rsidRPr="00143228">
        <w:t>3.</w:t>
      </w:r>
      <w:r w:rsidRPr="00143228">
        <w:tab/>
        <w:t>Iedzīvotāju bāze neietver personas, kuru pastāvīgā dzīvesvieta ir ārpus dalībvalsts teritorijas neatkarīgi no dzimšanas vietas vai pilsonības un neatkarīgi no ģimenes, sociālajām, ekonomiskajām vai mantiskajām saiknēm, kas personai varētu būt ar dalībvalsti.</w:t>
      </w:r>
    </w:p>
    <w:p w:rsidR="00C37615" w:rsidRPr="00143228" w:rsidRDefault="00C37615" w:rsidP="00C37615">
      <w:pPr>
        <w:spacing w:before="120" w:after="120" w:line="360" w:lineRule="auto"/>
        <w:ind w:left="850" w:hanging="850"/>
        <w:rPr>
          <w:szCs w:val="24"/>
        </w:rPr>
      </w:pPr>
      <w:r w:rsidRPr="00143228">
        <w:t>4.</w:t>
      </w:r>
      <w:r w:rsidRPr="00143228">
        <w:tab/>
        <w:t>Personām, kam nav pastāvīgās dzīvesvietas, par pastāvīgo dzīvesvietu uzskata vietu, kurā tās atrodas pārskata datumā.</w:t>
      </w:r>
    </w:p>
    <w:p w:rsidR="00C37615" w:rsidRPr="00143228" w:rsidRDefault="00C37615" w:rsidP="00C37615">
      <w:pPr>
        <w:spacing w:before="120" w:after="120" w:line="360" w:lineRule="auto"/>
        <w:ind w:left="850" w:hanging="850"/>
        <w:rPr>
          <w:szCs w:val="24"/>
        </w:rPr>
      </w:pPr>
      <w:r w:rsidRPr="00143228">
        <w:t>5.</w:t>
      </w:r>
      <w:r w:rsidRPr="00143228">
        <w:tab/>
        <w:t>Dalībvalstis piemēro šajā regulā noteikto pastāvīgās dzīvesvietas definīciju visām datu kopām, ko iesniedz Komisijai (</w:t>
      </w:r>
      <w:proofErr w:type="spellStart"/>
      <w:r w:rsidRPr="00143228">
        <w:rPr>
          <w:i/>
          <w:iCs/>
        </w:rPr>
        <w:t>Eurostat</w:t>
      </w:r>
      <w:proofErr w:type="spellEnd"/>
      <w:r w:rsidRPr="00143228">
        <w:t>) saskaņā ar šo regulu, un valsts, reģionālajam, vietējam un koordinātu tīkla līmenim.</w:t>
      </w:r>
    </w:p>
    <w:p w:rsidR="00C37615" w:rsidRPr="00143228" w:rsidRDefault="00C37615" w:rsidP="00C37615">
      <w:pPr>
        <w:spacing w:before="120" w:after="120" w:line="360" w:lineRule="auto"/>
        <w:ind w:left="850" w:hanging="850"/>
        <w:rPr>
          <w:szCs w:val="24"/>
        </w:rPr>
      </w:pPr>
      <w:r w:rsidRPr="00143228">
        <w:t>6.</w:t>
      </w:r>
      <w:r w:rsidRPr="00143228">
        <w:tab/>
        <w:t>Piemērojot pastāvīgās dzīvesvietas definīciju, dalībvalstis izmanto:</w:t>
      </w:r>
    </w:p>
    <w:p w:rsidR="00C37615" w:rsidRPr="00143228" w:rsidRDefault="00C37615" w:rsidP="00C37615">
      <w:pPr>
        <w:spacing w:before="120" w:after="120" w:line="360" w:lineRule="auto"/>
        <w:ind w:left="1416" w:hanging="566"/>
        <w:rPr>
          <w:szCs w:val="24"/>
        </w:rPr>
      </w:pPr>
      <w:r w:rsidRPr="00143228">
        <w:t>a)</w:t>
      </w:r>
      <w:r w:rsidRPr="00143228">
        <w:tab/>
        <w:t>kādu no 9. panta 1. punktā minētajiem datu avotiem vai to kombināciju;</w:t>
      </w:r>
    </w:p>
    <w:p w:rsidR="00C37615" w:rsidRPr="00143228" w:rsidRDefault="00C37615" w:rsidP="00C37615">
      <w:pPr>
        <w:spacing w:before="120" w:after="120" w:line="360" w:lineRule="auto"/>
        <w:ind w:left="1416" w:hanging="566"/>
        <w:rPr>
          <w:szCs w:val="24"/>
        </w:rPr>
      </w:pPr>
      <w:r w:rsidRPr="00143228">
        <w:t>b)</w:t>
      </w:r>
      <w:r w:rsidRPr="00143228">
        <w:tab/>
        <w:t xml:space="preserve">novērtēšanas metodes, piemēram, “klātbūtnes pazīmes”, </w:t>
      </w:r>
      <w:r w:rsidRPr="00143228">
        <w:rPr>
          <w:b/>
          <w:i/>
        </w:rPr>
        <w:t xml:space="preserve">kā arī citas zinātniski pamatotas, dokumentētas un publiski pieejamas statistiskās novērtēšanas </w:t>
      </w:r>
      <w:r w:rsidRPr="00143228">
        <w:rPr>
          <w:b/>
          <w:i/>
        </w:rPr>
        <w:lastRenderedPageBreak/>
        <w:t>metodes,</w:t>
      </w:r>
      <w:r w:rsidRPr="00143228">
        <w:t xml:space="preserve"> lai koriģētu faktisko klātbūtni domājamā pastāvīgajā dzīvesvietā lielāko daļu laika 12 mēnešos, kas beidzas ar pārskata datumu, un ▌lai aplēstu to personu skaitu, kuras tur plāno uzturēties lielāko daļu laika 12 mēnešos pēc ierašanās vai sagaidāms, ka tās to darīs.</w:t>
      </w:r>
    </w:p>
    <w:p w:rsidR="00C37615" w:rsidRPr="00143228" w:rsidRDefault="00C37615" w:rsidP="00C37615">
      <w:pPr>
        <w:spacing w:before="120" w:after="120" w:line="360" w:lineRule="auto"/>
        <w:ind w:left="850" w:hanging="850"/>
        <w:rPr>
          <w:szCs w:val="24"/>
        </w:rPr>
      </w:pPr>
      <w:r w:rsidRPr="00143228">
        <w:rPr>
          <w:b/>
          <w:i/>
        </w:rPr>
        <w:t>6.a</w:t>
      </w:r>
      <w:r w:rsidRPr="00143228">
        <w:tab/>
      </w:r>
      <w:r w:rsidRPr="00143228">
        <w:rPr>
          <w:b/>
          <w:i/>
        </w:rPr>
        <w:t>Kvalificētā balsu vairākuma Padomē vajadzībām Komisija katra pārskata gada beigās informē Padomi par dalībvalstu iedzīvotāju kopskaitu, pamatojoties uz datiem, kas Komisijai (</w:t>
      </w:r>
      <w:proofErr w:type="spellStart"/>
      <w:r w:rsidRPr="00143228">
        <w:rPr>
          <w:b/>
          <w:i/>
        </w:rPr>
        <w:t>Eurostat</w:t>
      </w:r>
      <w:proofErr w:type="spellEnd"/>
      <w:r w:rsidRPr="00143228">
        <w:rPr>
          <w:b/>
          <w:i/>
        </w:rPr>
        <w:t>) pieejami pārskata gadam sekojošā kalendārā gada 31. augustā.</w:t>
      </w:r>
    </w:p>
    <w:p w:rsidR="00C37615" w:rsidRPr="00143228" w:rsidRDefault="00C37615" w:rsidP="00C37615">
      <w:pPr>
        <w:spacing w:before="120" w:after="120" w:line="360" w:lineRule="auto"/>
        <w:jc w:val="center"/>
        <w:rPr>
          <w:szCs w:val="24"/>
        </w:rPr>
      </w:pPr>
      <w:r w:rsidRPr="00143228">
        <w:t>4. pants</w:t>
      </w:r>
      <w:r w:rsidRPr="00143228">
        <w:br/>
        <w:t>Statistikas vienības</w:t>
      </w:r>
    </w:p>
    <w:p w:rsidR="00C37615" w:rsidRPr="00143228" w:rsidRDefault="00C37615" w:rsidP="00C37615">
      <w:pPr>
        <w:spacing w:before="120" w:after="120" w:line="360" w:lineRule="auto"/>
        <w:rPr>
          <w:szCs w:val="24"/>
        </w:rPr>
      </w:pPr>
      <w:r w:rsidRPr="00143228">
        <w:t>Statistiku saskaņā ar šo regulu apkopo par šādām statistikas vienībām:</w:t>
      </w:r>
    </w:p>
    <w:p w:rsidR="00C37615" w:rsidRPr="00143228" w:rsidRDefault="00C37615" w:rsidP="00C37615">
      <w:pPr>
        <w:spacing w:before="120" w:after="120" w:line="360" w:lineRule="auto"/>
        <w:ind w:left="850" w:hanging="850"/>
        <w:rPr>
          <w:szCs w:val="24"/>
        </w:rPr>
      </w:pPr>
      <w:r w:rsidRPr="00143228">
        <w:t>a)</w:t>
      </w:r>
      <w:r w:rsidRPr="00143228">
        <w:tab/>
        <w:t>personām;</w:t>
      </w:r>
    </w:p>
    <w:p w:rsidR="00C37615" w:rsidRPr="00143228" w:rsidRDefault="00C37615" w:rsidP="00C37615">
      <w:pPr>
        <w:spacing w:before="120" w:after="120" w:line="360" w:lineRule="auto"/>
        <w:ind w:left="850" w:hanging="850"/>
        <w:rPr>
          <w:szCs w:val="24"/>
        </w:rPr>
      </w:pPr>
      <w:r w:rsidRPr="00143228">
        <w:t>b)</w:t>
      </w:r>
      <w:r w:rsidRPr="00143228">
        <w:tab/>
        <w:t>būtiskiem notikumiem;</w:t>
      </w:r>
    </w:p>
    <w:p w:rsidR="00C37615" w:rsidRPr="00143228" w:rsidRDefault="00C37615" w:rsidP="00C37615">
      <w:pPr>
        <w:spacing w:before="120" w:after="120" w:line="360" w:lineRule="auto"/>
        <w:ind w:left="850" w:hanging="850"/>
        <w:rPr>
          <w:szCs w:val="24"/>
        </w:rPr>
      </w:pPr>
      <w:r w:rsidRPr="00143228">
        <w:t>c)</w:t>
      </w:r>
      <w:r w:rsidRPr="00143228">
        <w:tab/>
        <w:t>ģimenēm;</w:t>
      </w:r>
    </w:p>
    <w:p w:rsidR="00C37615" w:rsidRPr="00143228" w:rsidRDefault="00C37615" w:rsidP="00C37615">
      <w:pPr>
        <w:spacing w:before="120" w:after="120" w:line="360" w:lineRule="auto"/>
        <w:ind w:left="850" w:hanging="850"/>
        <w:rPr>
          <w:szCs w:val="24"/>
        </w:rPr>
      </w:pPr>
      <w:r w:rsidRPr="00143228">
        <w:t>d)</w:t>
      </w:r>
      <w:r w:rsidRPr="00143228">
        <w:tab/>
        <w:t>mājsaimniecībām;</w:t>
      </w:r>
    </w:p>
    <w:p w:rsidR="00C37615" w:rsidRPr="00143228" w:rsidRDefault="00C37615" w:rsidP="00C37615">
      <w:pPr>
        <w:spacing w:before="120" w:after="120" w:line="360" w:lineRule="auto"/>
        <w:ind w:left="850" w:hanging="850"/>
        <w:rPr>
          <w:szCs w:val="24"/>
        </w:rPr>
      </w:pPr>
      <w:r w:rsidRPr="00143228">
        <w:t>e)</w:t>
      </w:r>
      <w:r w:rsidRPr="00143228">
        <w:tab/>
        <w:t>izmitināšanai paredzētām ēkām, dzīvojamajām telpām</w:t>
      </w:r>
      <w:r w:rsidRPr="00143228">
        <w:rPr>
          <w:b/>
          <w:i/>
        </w:rPr>
        <w:t>, tostarp iestādēm,</w:t>
      </w:r>
      <w:r w:rsidRPr="00143228">
        <w:t xml:space="preserve"> un tradicionālajiem mājokļiem.</w:t>
      </w:r>
    </w:p>
    <w:p w:rsidR="00C37615" w:rsidRPr="00143228" w:rsidRDefault="00C37615" w:rsidP="00C37615">
      <w:pPr>
        <w:spacing w:before="120" w:after="120" w:line="360" w:lineRule="auto"/>
        <w:jc w:val="center"/>
        <w:rPr>
          <w:szCs w:val="24"/>
        </w:rPr>
      </w:pPr>
      <w:r w:rsidRPr="00143228">
        <w:t>5. pants</w:t>
      </w:r>
      <w:r w:rsidRPr="00143228">
        <w:br/>
        <w:t>Statistikas prasības</w:t>
      </w:r>
    </w:p>
    <w:p w:rsidR="00C37615" w:rsidRPr="00143228" w:rsidRDefault="00C37615" w:rsidP="00C37615">
      <w:pPr>
        <w:spacing w:before="120" w:after="120" w:line="360" w:lineRule="auto"/>
        <w:ind w:left="850" w:hanging="850"/>
        <w:rPr>
          <w:szCs w:val="24"/>
        </w:rPr>
      </w:pPr>
      <w:r w:rsidRPr="00143228">
        <w:t>1.</w:t>
      </w:r>
      <w:r w:rsidRPr="00143228">
        <w:tab/>
        <w:t>Eiropas statistika par iedzīvotājiem un mājokļiem aptver šādas jomas:</w:t>
      </w:r>
    </w:p>
    <w:p w:rsidR="00C37615" w:rsidRPr="00143228" w:rsidRDefault="00C37615" w:rsidP="00C37615">
      <w:pPr>
        <w:spacing w:before="120" w:after="120" w:line="360" w:lineRule="auto"/>
        <w:ind w:left="1416" w:hanging="566"/>
        <w:rPr>
          <w:szCs w:val="24"/>
        </w:rPr>
      </w:pPr>
      <w:r w:rsidRPr="00143228">
        <w:t>a)</w:t>
      </w:r>
      <w:r w:rsidRPr="00143228">
        <w:tab/>
        <w:t>demogrāfiju;</w:t>
      </w:r>
    </w:p>
    <w:p w:rsidR="00C37615" w:rsidRPr="00143228" w:rsidRDefault="00C37615" w:rsidP="00C37615">
      <w:pPr>
        <w:spacing w:before="120" w:after="120" w:line="360" w:lineRule="auto"/>
        <w:ind w:left="1416" w:hanging="566"/>
        <w:rPr>
          <w:szCs w:val="24"/>
        </w:rPr>
      </w:pPr>
      <w:r w:rsidRPr="00143228">
        <w:t>b)</w:t>
      </w:r>
      <w:r w:rsidRPr="00143228">
        <w:tab/>
        <w:t>mājokļus;</w:t>
      </w:r>
    </w:p>
    <w:p w:rsidR="00C37615" w:rsidRPr="00143228" w:rsidRDefault="00C37615" w:rsidP="00C37615">
      <w:pPr>
        <w:spacing w:before="120" w:after="120" w:line="360" w:lineRule="auto"/>
        <w:ind w:left="1416" w:hanging="566"/>
        <w:rPr>
          <w:szCs w:val="24"/>
        </w:rPr>
      </w:pPr>
      <w:r w:rsidRPr="00143228">
        <w:t>c)</w:t>
      </w:r>
      <w:r w:rsidRPr="00143228">
        <w:tab/>
        <w:t>ģimenes un mājsaimniecības.</w:t>
      </w:r>
    </w:p>
    <w:p w:rsidR="00C37615" w:rsidRPr="00143228" w:rsidRDefault="00C37615" w:rsidP="00C37615">
      <w:pPr>
        <w:spacing w:before="120" w:after="120" w:line="360" w:lineRule="auto"/>
        <w:ind w:left="850" w:hanging="850"/>
        <w:rPr>
          <w:szCs w:val="24"/>
        </w:rPr>
      </w:pPr>
      <w:r w:rsidRPr="00143228">
        <w:t>2.</w:t>
      </w:r>
      <w:r w:rsidRPr="00143228">
        <w:tab/>
        <w:t>Statistiku šā panta 1. punktā uzskaitītajās jomās organizē datu kopās, ievērojot pielikumā izklāstītos tematus un detalizētos tematus.</w:t>
      </w:r>
      <w:r w:rsidRPr="00143228">
        <w:rPr>
          <w:b/>
          <w:i/>
        </w:rPr>
        <w:t xml:space="preserve"> Ja statistikas vienība ir persona, datu kopas dala pēc dzimuma un vecuma, un vajadzības gadījumā pēc citām pazīmēm.</w:t>
      </w:r>
    </w:p>
    <w:p w:rsidR="00C37615" w:rsidRPr="00143228" w:rsidRDefault="00C37615" w:rsidP="00C37615">
      <w:pPr>
        <w:spacing w:before="120" w:after="120" w:line="360" w:lineRule="auto"/>
        <w:ind w:left="850" w:hanging="850"/>
        <w:rPr>
          <w:szCs w:val="24"/>
        </w:rPr>
      </w:pPr>
      <w:r w:rsidRPr="00143228">
        <w:t>3.</w:t>
      </w:r>
      <w:r w:rsidRPr="00143228">
        <w:tab/>
        <w:t xml:space="preserve">Komisija ir pilnvarota saskaņā ar 17. pantu pieņemt deleģētos aktus, lai grozītu pielikumā iekļauto detalizēto tematu sarakstu. Šādus deleģētos aktus pieņem vismaz </w:t>
      </w:r>
      <w:r w:rsidRPr="00143228">
        <w:lastRenderedPageBreak/>
        <w:t>12 mēnešus pirms attiecīgā pārskata laika sākuma.</w:t>
      </w:r>
    </w:p>
    <w:p w:rsidR="00C37615" w:rsidRPr="00143228" w:rsidRDefault="00C37615" w:rsidP="00C37615">
      <w:pPr>
        <w:spacing w:before="120" w:after="120" w:line="360" w:lineRule="auto"/>
        <w:ind w:left="850" w:hanging="850"/>
        <w:rPr>
          <w:szCs w:val="24"/>
        </w:rPr>
      </w:pPr>
      <w:r w:rsidRPr="00143228">
        <w:t>4.</w:t>
      </w:r>
      <w:r w:rsidRPr="00143228">
        <w:tab/>
        <w:t xml:space="preserve">Īstenojot pilnvaras pieņemt deleģētos aktus saskaņā ar šā panta 3. punktu, Komisija nodrošina, ka minētie akti nerada būtisku un nesamērīgu slogu dalībvalstīm un </w:t>
      </w:r>
      <w:proofErr w:type="spellStart"/>
      <w:r w:rsidRPr="00143228">
        <w:t>apsekojumu</w:t>
      </w:r>
      <w:proofErr w:type="spellEnd"/>
      <w:r w:rsidRPr="00143228">
        <w:t xml:space="preserve"> respondentiem. Ikvienu jaunu detalizēto tematu izvērtē attiecībā uz tā </w:t>
      </w:r>
      <w:proofErr w:type="spellStart"/>
      <w:r w:rsidRPr="00143228">
        <w:t>īstenojamību</w:t>
      </w:r>
      <w:proofErr w:type="spellEnd"/>
      <w:r w:rsidRPr="00143228">
        <w:t>, izmantojot izmēģinājuma pētījumus, ko saskaņā ar 14. pantu veic Komisija (</w:t>
      </w:r>
      <w:proofErr w:type="spellStart"/>
      <w:r w:rsidRPr="00143228">
        <w:t>Eurostat</w:t>
      </w:r>
      <w:proofErr w:type="spellEnd"/>
      <w:r w:rsidRPr="00143228">
        <w:t>) un dalībvalstis.</w:t>
      </w:r>
    </w:p>
    <w:p w:rsidR="00C37615" w:rsidRPr="00143228" w:rsidRDefault="00C37615" w:rsidP="00C37615">
      <w:pPr>
        <w:spacing w:before="120" w:after="120" w:line="360" w:lineRule="auto"/>
        <w:ind w:left="850" w:hanging="850"/>
        <w:rPr>
          <w:szCs w:val="24"/>
        </w:rPr>
      </w:pPr>
      <w:r w:rsidRPr="00143228">
        <w:t>5.</w:t>
      </w:r>
      <w:r w:rsidRPr="00143228">
        <w:tab/>
        <w:t>Komisija pieņem īstenošanas aktus, lai precizētu Komisijai (</w:t>
      </w:r>
      <w:proofErr w:type="spellStart"/>
      <w:r w:rsidRPr="00143228">
        <w:t>Eurostat</w:t>
      </w:r>
      <w:proofErr w:type="spellEnd"/>
      <w:r w:rsidRPr="00143228">
        <w:t>) iesniedzamo datu kopu un metadatu tehniskās īpašības. Minētajos īstenošanas aktos attiecīgā gadījumā precizē šādus tehniskos elementus:</w:t>
      </w:r>
    </w:p>
    <w:p w:rsidR="00C37615" w:rsidRPr="00143228" w:rsidRDefault="00C37615" w:rsidP="00C37615">
      <w:pPr>
        <w:spacing w:before="120" w:after="120" w:line="360" w:lineRule="auto"/>
        <w:ind w:left="1416" w:hanging="566"/>
        <w:rPr>
          <w:szCs w:val="24"/>
        </w:rPr>
      </w:pPr>
      <w:r w:rsidRPr="00143228">
        <w:t>a)</w:t>
      </w:r>
      <w:r w:rsidRPr="00143228">
        <w:tab/>
        <w:t>mainīgo lielumu nosaukumus, to tehniskās specifikācijas un dalījumus;</w:t>
      </w:r>
    </w:p>
    <w:p w:rsidR="00C37615" w:rsidRPr="00143228" w:rsidRDefault="00C37615" w:rsidP="00C37615">
      <w:pPr>
        <w:spacing w:before="120" w:after="120" w:line="360" w:lineRule="auto"/>
        <w:ind w:left="1416" w:hanging="566"/>
        <w:rPr>
          <w:szCs w:val="24"/>
        </w:rPr>
      </w:pPr>
      <w:r w:rsidRPr="00143228">
        <w:t>b)</w:t>
      </w:r>
      <w:r w:rsidRPr="00143228">
        <w:tab/>
        <w:t>statistikas vienību un metadatu detalizētas specifikācijas;</w:t>
      </w:r>
    </w:p>
    <w:p w:rsidR="00C37615" w:rsidRPr="00143228" w:rsidRDefault="00C37615" w:rsidP="00C37615">
      <w:pPr>
        <w:spacing w:before="120" w:after="120" w:line="360" w:lineRule="auto"/>
        <w:ind w:left="1416" w:hanging="566"/>
        <w:rPr>
          <w:szCs w:val="24"/>
        </w:rPr>
      </w:pPr>
      <w:r w:rsidRPr="00143228">
        <w:t>c)</w:t>
      </w:r>
      <w:r w:rsidRPr="00143228">
        <w:tab/>
        <w:t>izmantojamās statistiskās klasifikācijas;</w:t>
      </w:r>
    </w:p>
    <w:p w:rsidR="00C37615" w:rsidRPr="00143228" w:rsidRDefault="00C37615" w:rsidP="00C37615">
      <w:pPr>
        <w:spacing w:before="120" w:after="120" w:line="360" w:lineRule="auto"/>
        <w:ind w:left="1416" w:hanging="566"/>
        <w:rPr>
          <w:szCs w:val="24"/>
        </w:rPr>
      </w:pPr>
      <w:r w:rsidRPr="00143228">
        <w:t>d)</w:t>
      </w:r>
      <w:r w:rsidRPr="00143228">
        <w:tab/>
        <w:t>iesniegšanas termiņus;</w:t>
      </w:r>
    </w:p>
    <w:p w:rsidR="00C37615" w:rsidRPr="00143228" w:rsidRDefault="00C37615" w:rsidP="00C37615">
      <w:pPr>
        <w:spacing w:before="120" w:after="120" w:line="360" w:lineRule="auto"/>
        <w:ind w:left="1416" w:hanging="566"/>
        <w:rPr>
          <w:szCs w:val="24"/>
        </w:rPr>
      </w:pPr>
      <w:r w:rsidRPr="00143228">
        <w:t>e)</w:t>
      </w:r>
      <w:r w:rsidRPr="00143228">
        <w:tab/>
        <w:t>datu kopu un metadatu iesniegšanas tehniskos formātus;</w:t>
      </w:r>
    </w:p>
    <w:p w:rsidR="00C37615" w:rsidRPr="00143228" w:rsidRDefault="00C37615" w:rsidP="00C37615">
      <w:pPr>
        <w:spacing w:before="120" w:after="120" w:line="360" w:lineRule="auto"/>
        <w:ind w:left="1416" w:hanging="566"/>
        <w:rPr>
          <w:szCs w:val="24"/>
        </w:rPr>
      </w:pPr>
      <w:r w:rsidRPr="00143228">
        <w:t>f)</w:t>
      </w:r>
      <w:r w:rsidRPr="00143228">
        <w:tab/>
        <w:t>kvalitātes ziņojumu saturu, struktūru, periodiskumu, kārtību un iesniegšanas termiņus, kā arī sīkākas specifikācijas, ja tās ir vajadzīgas un pamatotas.</w:t>
      </w:r>
    </w:p>
    <w:p w:rsidR="00C37615" w:rsidRPr="00143228" w:rsidRDefault="00C37615" w:rsidP="00C37615">
      <w:pPr>
        <w:spacing w:before="120" w:after="120" w:line="360" w:lineRule="auto"/>
        <w:ind w:left="850"/>
        <w:rPr>
          <w:szCs w:val="24"/>
        </w:rPr>
      </w:pPr>
      <w:r w:rsidRPr="00143228">
        <w:t>Minētos īstenošanas aktus pieņem saskaņā ar 18. panta 2. punktā minēto pārbaudes procedūru vismaz 12 mēnešus pirms attiecīgā pārskata laika sākuma, izņemot attiecībā uz iedzīvotāju un mājokļu skaitīšanu, attiecībā uz kuru īstenošanas aktus pieņem vismaz 24 mēnešus pirms tā gada sākuma, kurā iekrīt pārskata datums.</w:t>
      </w:r>
    </w:p>
    <w:p w:rsidR="00C37615" w:rsidRPr="00143228" w:rsidRDefault="00C37615" w:rsidP="00C37615">
      <w:pPr>
        <w:spacing w:before="120" w:after="120" w:line="360" w:lineRule="auto"/>
        <w:jc w:val="center"/>
        <w:rPr>
          <w:szCs w:val="24"/>
        </w:rPr>
      </w:pPr>
      <w:r w:rsidRPr="00143228">
        <w:t>6. pants</w:t>
      </w:r>
      <w:r w:rsidRPr="00143228">
        <w:br/>
        <w:t>Periodiskums un pārskata laiki</w:t>
      </w:r>
    </w:p>
    <w:p w:rsidR="00C37615" w:rsidRPr="00143228" w:rsidRDefault="00C37615" w:rsidP="00C37615">
      <w:pPr>
        <w:spacing w:before="120" w:after="120" w:line="360" w:lineRule="auto"/>
        <w:ind w:left="850" w:hanging="850"/>
        <w:rPr>
          <w:szCs w:val="24"/>
        </w:rPr>
      </w:pPr>
      <w:r w:rsidRPr="00143228">
        <w:t>1.</w:t>
      </w:r>
      <w:r w:rsidRPr="00143228">
        <w:tab/>
        <w:t>Dalībvalstis sagatavo Eiropas statistiku par iedzīvotājiem un mājokļiem reizi ceturksnī, reizi sešos mēnešos, reizi gadā un reizi vairākos gados, kā arī reizi desmit gados veicot iedzīvotāju un mājokļu skaitīšanu.</w:t>
      </w:r>
    </w:p>
    <w:p w:rsidR="00C37615" w:rsidRPr="00143228" w:rsidRDefault="00C37615" w:rsidP="00C37615">
      <w:pPr>
        <w:spacing w:before="120" w:after="120" w:line="360" w:lineRule="auto"/>
        <w:ind w:left="850" w:hanging="850"/>
        <w:rPr>
          <w:szCs w:val="24"/>
        </w:rPr>
      </w:pPr>
      <w:r w:rsidRPr="00143228">
        <w:t>2.</w:t>
      </w:r>
      <w:r w:rsidRPr="00143228">
        <w:tab/>
        <w:t>Gadi, kas beidzas ar “1”, ir pārskata gadi reizi desmit gados veicamajai iedzīvotāju un mājokļu skaitīšanai.</w:t>
      </w:r>
    </w:p>
    <w:p w:rsidR="00C37615" w:rsidRPr="00143228" w:rsidRDefault="00C37615" w:rsidP="00C37615">
      <w:pPr>
        <w:spacing w:before="120" w:after="120" w:line="360" w:lineRule="auto"/>
        <w:ind w:left="850" w:hanging="850"/>
        <w:rPr>
          <w:szCs w:val="24"/>
        </w:rPr>
      </w:pPr>
      <w:r w:rsidRPr="00143228">
        <w:t>3.</w:t>
      </w:r>
      <w:r w:rsidRPr="00143228">
        <w:tab/>
        <w:t>Gadi, kas beidzas ar “1”, “5” un “8”, ir pārskata gadi reizi vairākos gados vācamajai statistikai.</w:t>
      </w:r>
    </w:p>
    <w:p w:rsidR="00C37615" w:rsidRPr="00143228" w:rsidRDefault="00C37615" w:rsidP="00C37615">
      <w:pPr>
        <w:spacing w:before="120" w:after="120" w:line="360" w:lineRule="auto"/>
        <w:ind w:left="850" w:hanging="850"/>
        <w:rPr>
          <w:szCs w:val="24"/>
        </w:rPr>
      </w:pPr>
      <w:r w:rsidRPr="00143228">
        <w:t>4.</w:t>
      </w:r>
      <w:r w:rsidRPr="00143228">
        <w:tab/>
        <w:t>Periodiskums un pārskata laiks ▌katram detalizētajam tematam ir noteikts pielikumā.</w:t>
      </w:r>
    </w:p>
    <w:p w:rsidR="00C37615" w:rsidRPr="00143228" w:rsidRDefault="00C37615" w:rsidP="00C37615">
      <w:pPr>
        <w:spacing w:before="120" w:after="120" w:line="360" w:lineRule="auto"/>
        <w:ind w:left="850" w:hanging="850"/>
        <w:rPr>
          <w:szCs w:val="24"/>
        </w:rPr>
      </w:pPr>
      <w:r w:rsidRPr="00143228">
        <w:lastRenderedPageBreak/>
        <w:t>5.</w:t>
      </w:r>
      <w:r w:rsidRPr="00143228">
        <w:tab/>
        <w:t>Pirmais pārskata datums, par kuru jāsniedz ikgadējā statistika par tematu “iedzīvotāju skaits”, ir 2025. gada 31. decembris. Pirmais pārskata laiks, par kuru jāsniedz cita statistika saskaņā ar šo regulu, ir 2026. gadā.</w:t>
      </w:r>
    </w:p>
    <w:p w:rsidR="00C37615" w:rsidRPr="00143228" w:rsidRDefault="00C37615" w:rsidP="00C37615">
      <w:pPr>
        <w:spacing w:before="120" w:after="120" w:line="360" w:lineRule="auto"/>
        <w:ind w:left="850" w:hanging="850"/>
        <w:rPr>
          <w:szCs w:val="24"/>
        </w:rPr>
      </w:pPr>
      <w:r w:rsidRPr="00143228">
        <w:t>6.</w:t>
      </w:r>
      <w:r w:rsidRPr="00143228">
        <w:tab/>
        <w:t>Komisija ir pilnvarota saskaņā ar 17. pantu pieņemt deleģētos aktus, lai grozītu pielikumu, atjauninot periodiskumu un pārskata laiku.</w:t>
      </w:r>
    </w:p>
    <w:p w:rsidR="00C37615" w:rsidRPr="00143228" w:rsidRDefault="00C37615" w:rsidP="00C37615">
      <w:pPr>
        <w:spacing w:before="120" w:after="120" w:line="360" w:lineRule="auto"/>
        <w:jc w:val="center"/>
        <w:rPr>
          <w:szCs w:val="24"/>
        </w:rPr>
      </w:pPr>
      <w:r w:rsidRPr="00143228">
        <w:t>7. pants</w:t>
      </w:r>
      <w:r w:rsidRPr="00143228">
        <w:br/>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statistikas prasības</w:t>
      </w:r>
    </w:p>
    <w:p w:rsidR="00C37615" w:rsidRPr="00143228" w:rsidRDefault="00C37615" w:rsidP="00C37615">
      <w:pPr>
        <w:spacing w:before="120" w:after="120" w:line="360" w:lineRule="auto"/>
        <w:ind w:left="850" w:hanging="850"/>
        <w:rPr>
          <w:szCs w:val="24"/>
        </w:rPr>
      </w:pPr>
      <w:r w:rsidRPr="00143228">
        <w:t>1.</w:t>
      </w:r>
      <w:r w:rsidRPr="00143228">
        <w:tab/>
        <w:t>Dalībvalstis iesniedz Komisijai (</w:t>
      </w:r>
      <w:proofErr w:type="spellStart"/>
      <w:r w:rsidRPr="00143228">
        <w:rPr>
          <w:i/>
          <w:iCs/>
        </w:rPr>
        <w:t>Eurostat</w:t>
      </w:r>
      <w:proofErr w:type="spellEnd"/>
      <w:r w:rsidRPr="00143228">
        <w:t xml:space="preserve">)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datu kopas un metadatus.</w:t>
      </w:r>
    </w:p>
    <w:p w:rsidR="00C37615" w:rsidRPr="00143228" w:rsidRDefault="00C37615" w:rsidP="00C37615">
      <w:pPr>
        <w:spacing w:before="120" w:after="120" w:line="360" w:lineRule="auto"/>
        <w:ind w:left="850" w:hanging="850"/>
        <w:rPr>
          <w:szCs w:val="24"/>
        </w:rPr>
      </w:pPr>
      <w:r w:rsidRPr="00143228">
        <w:t>2.</w:t>
      </w:r>
      <w:r w:rsidRPr="00143228">
        <w:tab/>
        <w:t xml:space="preserve">Komisija ir pilnvarota saskaņā ar 17. pantu pieņemt deleģētos aktus, lai papildinātu šo regulu, precizējot datu kopas un metadatus, kas dalībvalstīm jāiesniedz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ja papildu statistikas vākšana tiek uzskatīta par nepieciešamu papildu statistikas vajadzību apmierināšanai saskaņā ar šo regulu</w:t>
      </w:r>
      <w:r w:rsidRPr="00143228">
        <w:rPr>
          <w:b/>
          <w:i/>
        </w:rPr>
        <w:t>, vienlaikus prasīto datu vākšanā prioritāti piešķirot administratīvo datu avotu un ierakstu izmantošanai</w:t>
      </w:r>
      <w:r w:rsidRPr="00143228">
        <w:t>.</w:t>
      </w:r>
    </w:p>
    <w:p w:rsidR="00C37615" w:rsidRPr="00143228" w:rsidRDefault="00C37615" w:rsidP="00C37615">
      <w:pPr>
        <w:spacing w:before="120" w:after="120" w:line="360" w:lineRule="auto"/>
        <w:ind w:left="850" w:hanging="850"/>
        <w:rPr>
          <w:szCs w:val="24"/>
        </w:rPr>
      </w:pPr>
      <w:r w:rsidRPr="00143228">
        <w:t>3.</w:t>
      </w:r>
      <w:r w:rsidRPr="00143228">
        <w:tab/>
        <w:t>Šā panta 2. punktā minētajos deleģētajos aktos precizē:</w:t>
      </w:r>
    </w:p>
    <w:p w:rsidR="00C37615" w:rsidRPr="00143228" w:rsidRDefault="00C37615" w:rsidP="00C37615">
      <w:pPr>
        <w:spacing w:before="120" w:after="120" w:line="360" w:lineRule="auto"/>
        <w:ind w:left="1416" w:hanging="566"/>
        <w:rPr>
          <w:szCs w:val="24"/>
        </w:rPr>
      </w:pPr>
      <w:r w:rsidRPr="00143228">
        <w:t>a)</w:t>
      </w:r>
      <w:r w:rsidRPr="00143228">
        <w:tab/>
        <w:t xml:space="preserve">detalizētos tematus, kas iesniedzami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datu kopās, un iemeslus, kāpēc šāda papildu statistika ir vajadzīga;</w:t>
      </w:r>
    </w:p>
    <w:p w:rsidR="00C37615" w:rsidRPr="00143228" w:rsidRDefault="00C37615" w:rsidP="00C37615">
      <w:pPr>
        <w:spacing w:before="120" w:after="120" w:line="360" w:lineRule="auto"/>
        <w:ind w:left="1416" w:hanging="566"/>
        <w:rPr>
          <w:szCs w:val="24"/>
        </w:rPr>
      </w:pPr>
      <w:r w:rsidRPr="00143228">
        <w:t>b)</w:t>
      </w:r>
      <w:r w:rsidRPr="00143228">
        <w:tab/>
        <w:t>pārskata laikus.</w:t>
      </w:r>
    </w:p>
    <w:p w:rsidR="00C37615" w:rsidRPr="00143228" w:rsidRDefault="00C37615" w:rsidP="00C37615">
      <w:pPr>
        <w:spacing w:before="120" w:after="120" w:line="360" w:lineRule="auto"/>
        <w:ind w:left="850" w:hanging="850"/>
        <w:rPr>
          <w:szCs w:val="24"/>
        </w:rPr>
      </w:pPr>
      <w:r w:rsidRPr="00143228">
        <w:t>4.</w:t>
      </w:r>
      <w:r w:rsidRPr="00143228">
        <w:tab/>
        <w:t xml:space="preserve">Komisija ir pilnvarota pieņemt 2. punktā minētos deleģētos aktus, sākot ar 2027. pārskata gadu un ievērojot vismaz divu gadu intervālu starp katru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vākšanu.</w:t>
      </w:r>
    </w:p>
    <w:p w:rsidR="00C37615" w:rsidRPr="00143228" w:rsidRDefault="00C37615" w:rsidP="00C37615">
      <w:pPr>
        <w:spacing w:before="120" w:after="120" w:line="360" w:lineRule="auto"/>
        <w:ind w:left="850" w:hanging="850"/>
        <w:rPr>
          <w:szCs w:val="24"/>
        </w:rPr>
      </w:pPr>
      <w:r w:rsidRPr="00143228">
        <w:t>5.</w:t>
      </w:r>
      <w:r w:rsidRPr="00143228">
        <w:tab/>
        <w:t xml:space="preserve">Komisija pieņem īstenošanas aktus, lai precizētu 2. punktā minēto </w:t>
      </w:r>
      <w:proofErr w:type="spellStart"/>
      <w:r w:rsidRPr="00143228">
        <w:rPr>
          <w:i/>
          <w:iCs/>
        </w:rPr>
        <w:t>ad</w:t>
      </w:r>
      <w:proofErr w:type="spellEnd"/>
      <w:r w:rsidRPr="00143228">
        <w:rPr>
          <w:i/>
          <w:iCs/>
        </w:rPr>
        <w:t xml:space="preserve"> </w:t>
      </w:r>
      <w:proofErr w:type="spellStart"/>
      <w:r w:rsidRPr="00143228">
        <w:rPr>
          <w:i/>
          <w:iCs/>
        </w:rPr>
        <w:t>hoc</w:t>
      </w:r>
      <w:proofErr w:type="spellEnd"/>
      <w:r w:rsidRPr="00143228">
        <w:t xml:space="preserve"> datu kopu un metadatu tehniskās īpašības. Minētajos īstenošanas aktos attiecīgā gadījumā precizē šādus tehniskos elementus:</w:t>
      </w:r>
    </w:p>
    <w:p w:rsidR="00C37615" w:rsidRPr="00143228" w:rsidRDefault="00C37615" w:rsidP="00C37615">
      <w:pPr>
        <w:spacing w:before="120" w:after="120" w:line="360" w:lineRule="auto"/>
        <w:ind w:left="1416" w:hanging="566"/>
        <w:rPr>
          <w:szCs w:val="24"/>
        </w:rPr>
      </w:pPr>
      <w:r w:rsidRPr="00143228">
        <w:t>a)</w:t>
      </w:r>
      <w:r w:rsidRPr="00143228">
        <w:tab/>
        <w:t>mainīgo lielumu nosaukumus, to tehniskās specifikācijas un dalījumus;</w:t>
      </w:r>
    </w:p>
    <w:p w:rsidR="00C37615" w:rsidRPr="00143228" w:rsidRDefault="00C37615" w:rsidP="00C37615">
      <w:pPr>
        <w:spacing w:before="120" w:after="120" w:line="360" w:lineRule="auto"/>
        <w:ind w:left="1416" w:hanging="566"/>
        <w:rPr>
          <w:szCs w:val="24"/>
        </w:rPr>
      </w:pPr>
      <w:r w:rsidRPr="00143228">
        <w:t>b)</w:t>
      </w:r>
      <w:r w:rsidRPr="00143228">
        <w:tab/>
        <w:t>statistikas vienību un metadatu detalizētas specifikācijas;</w:t>
      </w:r>
    </w:p>
    <w:p w:rsidR="00C37615" w:rsidRPr="00143228" w:rsidRDefault="00C37615" w:rsidP="00C37615">
      <w:pPr>
        <w:spacing w:before="120" w:after="120" w:line="360" w:lineRule="auto"/>
        <w:ind w:left="1416" w:hanging="566"/>
        <w:rPr>
          <w:szCs w:val="24"/>
        </w:rPr>
      </w:pPr>
      <w:r w:rsidRPr="00143228">
        <w:t>c)</w:t>
      </w:r>
      <w:r w:rsidRPr="00143228">
        <w:tab/>
        <w:t>izmantojamās statistiskās klasifikācijas;</w:t>
      </w:r>
    </w:p>
    <w:p w:rsidR="00C37615" w:rsidRPr="00143228" w:rsidRDefault="00C37615" w:rsidP="00C37615">
      <w:pPr>
        <w:spacing w:before="120" w:after="120" w:line="360" w:lineRule="auto"/>
        <w:ind w:left="1416" w:hanging="566"/>
        <w:rPr>
          <w:szCs w:val="24"/>
        </w:rPr>
      </w:pPr>
      <w:r w:rsidRPr="00143228">
        <w:t>d)</w:t>
      </w:r>
      <w:r w:rsidRPr="00143228">
        <w:tab/>
        <w:t>iesniegšanas termiņus.</w:t>
      </w:r>
    </w:p>
    <w:p w:rsidR="00C37615" w:rsidRPr="00143228" w:rsidRDefault="00C37615" w:rsidP="00C37615">
      <w:pPr>
        <w:spacing w:before="120" w:after="120" w:line="360" w:lineRule="auto"/>
        <w:ind w:left="850"/>
        <w:rPr>
          <w:szCs w:val="24"/>
        </w:rPr>
      </w:pPr>
      <w:r w:rsidRPr="00143228">
        <w:t>Minētos īstenošanas aktus ne vēlāk kā 12 mēnešus pirms pārskata laika sākuma pieņem saskaņā ar 18. panta 2. punktā minēto pārbaudes procedūru.</w:t>
      </w:r>
    </w:p>
    <w:p w:rsidR="00C37615" w:rsidRPr="00143228" w:rsidRDefault="00C37615" w:rsidP="00C37615">
      <w:pPr>
        <w:spacing w:before="120" w:after="120" w:line="360" w:lineRule="auto"/>
        <w:jc w:val="center"/>
        <w:rPr>
          <w:szCs w:val="24"/>
        </w:rPr>
      </w:pPr>
      <w:r w:rsidRPr="00143228">
        <w:lastRenderedPageBreak/>
        <w:t>8. pants</w:t>
      </w:r>
      <w:r w:rsidRPr="00143228">
        <w:br/>
        <w:t>Komisijai iesniedzamās datu kopas un metadati</w:t>
      </w:r>
    </w:p>
    <w:p w:rsidR="00C37615" w:rsidRPr="00143228" w:rsidRDefault="00C37615" w:rsidP="00C37615">
      <w:pPr>
        <w:spacing w:before="120" w:after="120" w:line="360" w:lineRule="auto"/>
        <w:ind w:left="850" w:hanging="850"/>
        <w:rPr>
          <w:szCs w:val="24"/>
        </w:rPr>
      </w:pPr>
      <w:r w:rsidRPr="00143228">
        <w:t>1.</w:t>
      </w:r>
      <w:r w:rsidRPr="00143228">
        <w:tab/>
        <w:t xml:space="preserve">Dalībvalstis </w:t>
      </w:r>
      <w:r w:rsidRPr="00143228">
        <w:rPr>
          <w:b/>
          <w:i/>
        </w:rPr>
        <w:t>iesniedz Komisijai (</w:t>
      </w:r>
      <w:proofErr w:type="spellStart"/>
      <w:r w:rsidRPr="00143228">
        <w:rPr>
          <w:b/>
          <w:i/>
        </w:rPr>
        <w:t>Eurostat</w:t>
      </w:r>
      <w:proofErr w:type="spellEnd"/>
      <w:r w:rsidRPr="00143228">
        <w:rPr>
          <w:b/>
          <w:i/>
        </w:rPr>
        <w:t>)</w:t>
      </w:r>
      <w:r w:rsidRPr="00143228">
        <w:t xml:space="preserve"> iepriekš pārbaudītas datu kopas un metadatus </w:t>
      </w:r>
      <w:r w:rsidRPr="00143228">
        <w:rPr>
          <w:b/>
          <w:i/>
        </w:rPr>
        <w:t>saskaņā ar pielikumu</w:t>
      </w:r>
      <w:r w:rsidRPr="00143228">
        <w:t>, izmantojot Komisijas (</w:t>
      </w:r>
      <w:proofErr w:type="spellStart"/>
      <w:r w:rsidRPr="00143228">
        <w:rPr>
          <w:i/>
          <w:iCs/>
        </w:rPr>
        <w:t>Eurostat</w:t>
      </w:r>
      <w:proofErr w:type="spellEnd"/>
      <w:r w:rsidRPr="00143228">
        <w:t>) precizēto tehnisko formātu. Lai Komisijai (</w:t>
      </w:r>
      <w:proofErr w:type="spellStart"/>
      <w:r w:rsidRPr="00143228">
        <w:rPr>
          <w:i/>
          <w:iCs/>
        </w:rPr>
        <w:t>Eurostat</w:t>
      </w:r>
      <w:proofErr w:type="spellEnd"/>
      <w:r w:rsidRPr="00143228">
        <w:t>) iesniegtu datu kopas un metadatus, izmanto vienotā kontaktpunkta pakalpojumus.</w:t>
      </w:r>
    </w:p>
    <w:p w:rsidR="00C37615" w:rsidRPr="00143228" w:rsidRDefault="00C37615" w:rsidP="00C37615">
      <w:pPr>
        <w:spacing w:before="120" w:after="120" w:line="360" w:lineRule="auto"/>
        <w:ind w:left="850" w:hanging="850"/>
        <w:rPr>
          <w:szCs w:val="24"/>
        </w:rPr>
      </w:pPr>
      <w:r w:rsidRPr="00143228">
        <w:t>2.</w:t>
      </w:r>
      <w:r w:rsidRPr="00143228">
        <w:tab/>
        <w:t xml:space="preserve">Kad dalībvalstis publicē šajā regulā </w:t>
      </w:r>
      <w:r w:rsidRPr="00143228">
        <w:rPr>
          <w:b/>
          <w:i/>
        </w:rPr>
        <w:t>prasītos datus</w:t>
      </w:r>
      <w:r w:rsidRPr="00143228">
        <w:t xml:space="preserve"> valsts līmenī pirms datu iesniegšanas termiņa, kas noteikts saskaņā ar 5. panta 5. punkta d) apakšpunktu un 7. panta 5. punkta d) apakšpunktu, tās </w:t>
      </w:r>
      <w:r w:rsidRPr="00143228">
        <w:rPr>
          <w:b/>
          <w:i/>
        </w:rPr>
        <w:t>bez liekas kavēšanās, vēlākais 21 kalendārās dienas laikā,</w:t>
      </w:r>
      <w:r w:rsidRPr="00143228">
        <w:t xml:space="preserve"> iesniedz </w:t>
      </w:r>
      <w:r w:rsidRPr="00143228">
        <w:rPr>
          <w:b/>
          <w:i/>
        </w:rPr>
        <w:t>tos</w:t>
      </w:r>
      <w:r w:rsidRPr="00143228">
        <w:t xml:space="preserve"> Komisijai (</w:t>
      </w:r>
      <w:proofErr w:type="spellStart"/>
      <w:r w:rsidRPr="00143228">
        <w:rPr>
          <w:i/>
          <w:iCs/>
        </w:rPr>
        <w:t>Eurostat</w:t>
      </w:r>
      <w:proofErr w:type="spellEnd"/>
      <w:r w:rsidRPr="00143228">
        <w:t>).</w:t>
      </w:r>
    </w:p>
    <w:p w:rsidR="00C37615" w:rsidRPr="00143228" w:rsidRDefault="00C37615" w:rsidP="00C37615">
      <w:pPr>
        <w:spacing w:before="120" w:after="120" w:line="360" w:lineRule="auto"/>
        <w:ind w:left="850" w:hanging="850"/>
        <w:rPr>
          <w:szCs w:val="24"/>
        </w:rPr>
      </w:pPr>
      <w:r w:rsidRPr="00143228">
        <w:t>3.</w:t>
      </w:r>
      <w:r w:rsidRPr="00143228">
        <w:tab/>
        <w:t>Dalībvalstis iesniedz Komisijai (</w:t>
      </w:r>
      <w:proofErr w:type="spellStart"/>
      <w:r w:rsidRPr="00143228">
        <w:rPr>
          <w:i/>
          <w:iCs/>
        </w:rPr>
        <w:t>Eurostat</w:t>
      </w:r>
      <w:proofErr w:type="spellEnd"/>
      <w:r w:rsidRPr="00143228">
        <w:t>):</w:t>
      </w:r>
    </w:p>
    <w:p w:rsidR="00C37615" w:rsidRPr="00143228" w:rsidRDefault="00C37615" w:rsidP="00C37615">
      <w:pPr>
        <w:spacing w:before="120" w:after="120" w:line="360" w:lineRule="auto"/>
        <w:ind w:left="1416" w:hanging="566"/>
        <w:rPr>
          <w:szCs w:val="24"/>
        </w:rPr>
      </w:pPr>
      <w:r w:rsidRPr="00143228">
        <w:t>a)</w:t>
      </w:r>
      <w:r w:rsidRPr="00143228">
        <w:tab/>
        <w:t>pārskatītās datu kopas un metadatus, ja pārskatīšana ir veikta pēc tam, kad sākotnēji tika iesniegtas šajā regulā prasītās datu kopas;</w:t>
      </w:r>
    </w:p>
    <w:p w:rsidR="00C37615" w:rsidRPr="00143228" w:rsidRDefault="00C37615" w:rsidP="00C37615">
      <w:pPr>
        <w:spacing w:before="120" w:after="120" w:line="360" w:lineRule="auto"/>
        <w:ind w:left="1416" w:hanging="566"/>
        <w:rPr>
          <w:szCs w:val="24"/>
        </w:rPr>
      </w:pPr>
      <w:r w:rsidRPr="00143228">
        <w:t>b)</w:t>
      </w:r>
      <w:r w:rsidRPr="00143228">
        <w:tab/>
        <w:t xml:space="preserve">pārskatītās datu kopas un metadatus attiecīgajām </w:t>
      </w:r>
      <w:proofErr w:type="spellStart"/>
      <w:r w:rsidRPr="00143228">
        <w:t>laikrindām</w:t>
      </w:r>
      <w:proofErr w:type="spellEnd"/>
      <w:r w:rsidRPr="00143228">
        <w:t>, ja tiek pārskatītas datu kopas, kas Komisijai (</w:t>
      </w:r>
      <w:proofErr w:type="spellStart"/>
      <w:r w:rsidRPr="00143228">
        <w:rPr>
          <w:i/>
          <w:iCs/>
        </w:rPr>
        <w:t>Eurostat</w:t>
      </w:r>
      <w:proofErr w:type="spellEnd"/>
      <w:r w:rsidRPr="00143228">
        <w:t xml:space="preserve">) ir iesniegtas pirms šīs regulas piemērošanas. </w:t>
      </w:r>
    </w:p>
    <w:p w:rsidR="00C37615" w:rsidRPr="00143228" w:rsidRDefault="00C37615" w:rsidP="00C37615">
      <w:pPr>
        <w:spacing w:before="120" w:after="120" w:line="360" w:lineRule="auto"/>
        <w:ind w:left="850"/>
        <w:rPr>
          <w:szCs w:val="24"/>
        </w:rPr>
      </w:pPr>
      <w:r w:rsidRPr="00143228">
        <w:t xml:space="preserve">Pārskatītās datu kopas un metadatus iesniedz </w:t>
      </w:r>
      <w:r w:rsidRPr="00143228">
        <w:rPr>
          <w:b/>
          <w:i/>
        </w:rPr>
        <w:t>14 kalendāro dienu laikā pēc pārskatīšanas</w:t>
      </w:r>
      <w:r w:rsidRPr="00143228">
        <w:t xml:space="preserve"> un papildina ar kvalitātes ziņojumiem saskaņā ar 12. pantu.</w:t>
      </w:r>
    </w:p>
    <w:p w:rsidR="00C37615" w:rsidRPr="00143228" w:rsidRDefault="00C37615" w:rsidP="00F104EE">
      <w:pPr>
        <w:spacing w:before="120" w:after="120" w:line="360" w:lineRule="auto"/>
        <w:ind w:left="850"/>
        <w:rPr>
          <w:szCs w:val="24"/>
        </w:rPr>
      </w:pPr>
      <w:r w:rsidRPr="00143228">
        <w:rPr>
          <w:b/>
          <w:i/>
        </w:rPr>
        <w:t>Dalībvalstis bez liekas kavēšanās informē Komisiju par ikvienu lēmumu pārskatīt datu kopas un metadatus.</w:t>
      </w:r>
    </w:p>
    <w:p w:rsidR="00C37615" w:rsidRPr="00143228" w:rsidRDefault="00C37615" w:rsidP="00C37615">
      <w:pPr>
        <w:spacing w:before="120" w:after="120" w:line="360" w:lineRule="auto"/>
        <w:jc w:val="center"/>
        <w:rPr>
          <w:szCs w:val="24"/>
        </w:rPr>
      </w:pPr>
      <w:r w:rsidRPr="00143228">
        <w:t>9. pants</w:t>
      </w:r>
      <w:r w:rsidRPr="00143228">
        <w:br/>
        <w:t>Datu avoti un metodes</w:t>
      </w:r>
    </w:p>
    <w:p w:rsidR="00C37615" w:rsidRPr="00143228" w:rsidRDefault="00C37615" w:rsidP="00C37615">
      <w:pPr>
        <w:spacing w:before="120" w:after="120" w:line="360" w:lineRule="auto"/>
        <w:ind w:left="850" w:hanging="850"/>
        <w:rPr>
          <w:szCs w:val="24"/>
        </w:rPr>
      </w:pPr>
      <w:r w:rsidRPr="00143228">
        <w:t>1.</w:t>
      </w:r>
      <w:r w:rsidRPr="00143228">
        <w:tab/>
        <w:t>Dalībvalstis un Komisija (</w:t>
      </w:r>
      <w:proofErr w:type="spellStart"/>
      <w:r w:rsidRPr="00143228">
        <w:rPr>
          <w:i/>
          <w:iCs/>
        </w:rPr>
        <w:t>Eurostat</w:t>
      </w:r>
      <w:proofErr w:type="spellEnd"/>
      <w:r w:rsidRPr="00143228">
        <w:t>) izmanto vienu no šādiem datu avotiem vai to kombināciju, ja tie ļauj sagatavot statistiku, kas atbilst 12. pantā noteiktajām kvalitātes prasībām:</w:t>
      </w:r>
    </w:p>
    <w:p w:rsidR="00C37615" w:rsidRPr="00143228" w:rsidRDefault="00C37615" w:rsidP="00C37615">
      <w:pPr>
        <w:spacing w:before="120" w:after="120" w:line="360" w:lineRule="auto"/>
        <w:ind w:left="1416" w:hanging="566"/>
        <w:rPr>
          <w:szCs w:val="24"/>
        </w:rPr>
      </w:pPr>
      <w:r w:rsidRPr="00143228">
        <w:t>a)</w:t>
      </w:r>
      <w:r w:rsidRPr="00143228">
        <w:tab/>
        <w:t>administratīvo datu avotus;</w:t>
      </w:r>
    </w:p>
    <w:p w:rsidR="00C37615" w:rsidRPr="00143228" w:rsidRDefault="00C37615" w:rsidP="00C37615">
      <w:pPr>
        <w:spacing w:before="120" w:after="120" w:line="360" w:lineRule="auto"/>
        <w:ind w:left="1416" w:hanging="566"/>
        <w:rPr>
          <w:szCs w:val="24"/>
        </w:rPr>
      </w:pPr>
      <w:r w:rsidRPr="00143228">
        <w:t>b)</w:t>
      </w:r>
      <w:r w:rsidRPr="00143228">
        <w:tab/>
        <w:t xml:space="preserve">statistikas </w:t>
      </w:r>
      <w:proofErr w:type="spellStart"/>
      <w:r w:rsidRPr="00143228">
        <w:t>apsekojumus</w:t>
      </w:r>
      <w:proofErr w:type="spellEnd"/>
      <w:r w:rsidRPr="00143228">
        <w:t xml:space="preserve"> vai citas statistikas datu vākšanas;</w:t>
      </w:r>
    </w:p>
    <w:p w:rsidR="00C37615" w:rsidRPr="00143228" w:rsidRDefault="00C37615" w:rsidP="00C37615">
      <w:pPr>
        <w:spacing w:before="120" w:after="120" w:line="360" w:lineRule="auto"/>
        <w:ind w:left="1416" w:hanging="566"/>
        <w:rPr>
          <w:szCs w:val="24"/>
        </w:rPr>
      </w:pPr>
      <w:r w:rsidRPr="00143228">
        <w:t>c)</w:t>
      </w:r>
      <w:r w:rsidRPr="00143228">
        <w:tab/>
        <w:t>citus avotus, t. sk. privāti turētus datus;</w:t>
      </w:r>
    </w:p>
    <w:p w:rsidR="00C37615" w:rsidRPr="00143228" w:rsidRDefault="00C37615" w:rsidP="00C37615">
      <w:pPr>
        <w:spacing w:before="120" w:after="120" w:line="360" w:lineRule="auto"/>
        <w:ind w:left="1416" w:hanging="566"/>
        <w:rPr>
          <w:szCs w:val="24"/>
        </w:rPr>
      </w:pPr>
      <w:r w:rsidRPr="00143228">
        <w:t>d)</w:t>
      </w:r>
      <w:r w:rsidRPr="00143228">
        <w:tab/>
        <w:t xml:space="preserve">to datu </w:t>
      </w:r>
      <w:proofErr w:type="spellStart"/>
      <w:r w:rsidRPr="00143228">
        <w:t>atkalizmantošanu</w:t>
      </w:r>
      <w:proofErr w:type="spellEnd"/>
      <w:r w:rsidRPr="00143228">
        <w:t>, kas Eiropas Statistikas sistēmā iegūti datu kopīgošanā starp valstu statistikas iestādēm un Komisiju (</w:t>
      </w:r>
      <w:proofErr w:type="spellStart"/>
      <w:r w:rsidRPr="00143228">
        <w:rPr>
          <w:i/>
          <w:iCs/>
        </w:rPr>
        <w:t>Eurostat</w:t>
      </w:r>
      <w:proofErr w:type="spellEnd"/>
      <w:r w:rsidRPr="00143228">
        <w:t>).</w:t>
      </w:r>
    </w:p>
    <w:p w:rsidR="00C37615" w:rsidRPr="00143228" w:rsidRDefault="00C37615" w:rsidP="00C37615">
      <w:pPr>
        <w:spacing w:before="120" w:after="120" w:line="360" w:lineRule="auto"/>
        <w:ind w:left="850" w:hanging="850"/>
        <w:rPr>
          <w:szCs w:val="24"/>
        </w:rPr>
      </w:pPr>
      <w:r w:rsidRPr="00143228">
        <w:lastRenderedPageBreak/>
        <w:t>2.</w:t>
      </w:r>
      <w:r w:rsidRPr="00143228">
        <w:tab/>
        <w:t>Dalībvalstis novērtē un uzrauga savu datu avotu, tostarp administratīvo ierakstu un citu piemērotu izmantoto avotu, kvalitāti.</w:t>
      </w:r>
    </w:p>
    <w:p w:rsidR="00C37615" w:rsidRPr="00143228" w:rsidRDefault="00C37615" w:rsidP="00C37615">
      <w:pPr>
        <w:spacing w:before="120" w:after="120" w:line="360" w:lineRule="auto"/>
        <w:ind w:left="850" w:hanging="850"/>
        <w:rPr>
          <w:szCs w:val="24"/>
        </w:rPr>
      </w:pPr>
      <w:r w:rsidRPr="00143228">
        <w:t>3.</w:t>
      </w:r>
      <w:r w:rsidRPr="00143228">
        <w:tab/>
      </w:r>
      <w:r w:rsidRPr="00143228">
        <w:rPr>
          <w:b/>
          <w:i/>
        </w:rPr>
        <w:t xml:space="preserve">Dalībvalstis pastāvīgi tiecas izstrādāt inovatīvus avotus un metodes un izmantot tos, lai uzlabotu statistiku, kas apkopota saskaņā ar šo regulu, ar nosacījumu, ka tie ļauj sagatavot statistiku, kura atbilst 12. pantā noteiktajām kvalitātes prasībām. </w:t>
      </w:r>
      <w:r w:rsidRPr="00143228">
        <w:t>▌</w:t>
      </w:r>
    </w:p>
    <w:p w:rsidR="00C37615" w:rsidRPr="00143228" w:rsidRDefault="00C37615" w:rsidP="00C37615">
      <w:pPr>
        <w:spacing w:before="120" w:after="120" w:line="360" w:lineRule="auto"/>
        <w:ind w:left="850" w:hanging="850"/>
        <w:rPr>
          <w:szCs w:val="24"/>
        </w:rPr>
      </w:pPr>
      <w:r w:rsidRPr="00143228">
        <w:t>4.</w:t>
      </w:r>
      <w:r w:rsidRPr="00143228">
        <w:tab/>
        <w:t xml:space="preserve">Saskaņā ar šo regulu apkopotās statistikas pamatā ir statistiski pareizas un labi dokumentētas metodes, ņemot vērā starptautiskus ieteikumus un </w:t>
      </w:r>
      <w:proofErr w:type="spellStart"/>
      <w:r w:rsidRPr="00143228">
        <w:t>paraugpraksi</w:t>
      </w:r>
      <w:proofErr w:type="spellEnd"/>
      <w:r w:rsidRPr="00143228">
        <w:t>, piemēram, “klātbūtnes pazīmes” ▌un citas zinātniski pamatotas statistiskās novērtēšanas metodes, ko izmanto, lai apkopotu datus par pastāvīgajiem iedzīvotājiem dalībvalstīs.</w:t>
      </w:r>
    </w:p>
    <w:p w:rsidR="00C37615" w:rsidRPr="00143228" w:rsidRDefault="00C37615" w:rsidP="00C37615">
      <w:pPr>
        <w:spacing w:before="120" w:after="120" w:line="360" w:lineRule="auto"/>
        <w:ind w:left="850" w:hanging="850"/>
        <w:rPr>
          <w:szCs w:val="24"/>
        </w:rPr>
      </w:pPr>
      <w:r w:rsidRPr="00143228">
        <w:t>5.</w:t>
      </w:r>
      <w:r w:rsidRPr="00143228">
        <w:tab/>
      </w:r>
      <w:r w:rsidRPr="00143228">
        <w:rPr>
          <w:b/>
          <w:i/>
        </w:rPr>
        <w:t>Pēc pienācīgi pamatota Komisijas (</w:t>
      </w:r>
      <w:proofErr w:type="spellStart"/>
      <w:r w:rsidRPr="00143228">
        <w:rPr>
          <w:b/>
          <w:i/>
        </w:rPr>
        <w:t>Eurostat</w:t>
      </w:r>
      <w:proofErr w:type="spellEnd"/>
      <w:r w:rsidRPr="00143228">
        <w:rPr>
          <w:b/>
          <w:i/>
        </w:rPr>
        <w:t>) pieprasījuma</w:t>
      </w:r>
      <w:r w:rsidRPr="00143228">
        <w:t xml:space="preserve"> dalībvalstis iesniedz Komisijai (</w:t>
      </w:r>
      <w:proofErr w:type="spellStart"/>
      <w:r w:rsidRPr="00143228">
        <w:rPr>
          <w:i/>
          <w:iCs/>
        </w:rPr>
        <w:t>Eurostat</w:t>
      </w:r>
      <w:proofErr w:type="spellEnd"/>
      <w:r w:rsidRPr="00143228">
        <w:t>) datu avotu novērtējuma rezultātus, metožu dokumentāciju un vajadzīgos precizējumus.</w:t>
      </w:r>
    </w:p>
    <w:p w:rsidR="00C37615" w:rsidRPr="00143228" w:rsidRDefault="00C37615" w:rsidP="00C37615">
      <w:pPr>
        <w:spacing w:before="120" w:after="120" w:line="360" w:lineRule="auto"/>
        <w:jc w:val="center"/>
        <w:rPr>
          <w:szCs w:val="24"/>
        </w:rPr>
      </w:pPr>
      <w:r w:rsidRPr="00143228">
        <w:t>10. pants</w:t>
      </w:r>
      <w:r w:rsidRPr="00143228">
        <w:br/>
        <w:t xml:space="preserve">Savlaicīga piekļuve administratīvajiem datiem un to </w:t>
      </w:r>
      <w:proofErr w:type="spellStart"/>
      <w:r w:rsidRPr="00143228">
        <w:t>atkalizmantošana</w:t>
      </w:r>
      <w:proofErr w:type="spellEnd"/>
    </w:p>
    <w:p w:rsidR="00C37615" w:rsidRPr="00143228" w:rsidRDefault="00C37615" w:rsidP="00C37615">
      <w:pPr>
        <w:spacing w:before="120" w:after="120" w:line="360" w:lineRule="auto"/>
        <w:ind w:left="850" w:hanging="850"/>
        <w:rPr>
          <w:szCs w:val="24"/>
        </w:rPr>
      </w:pPr>
      <w:r w:rsidRPr="00143228">
        <w:t>1.</w:t>
      </w:r>
      <w:r w:rsidRPr="00143228">
        <w:tab/>
      </w:r>
      <w:r w:rsidRPr="00143228">
        <w:rPr>
          <w:b/>
          <w:i/>
        </w:rPr>
        <w:t>Saskaņā ar Regulas (EK) Nr. 223/2009 17.a pantu</w:t>
      </w:r>
      <w:r w:rsidRPr="00143228">
        <w:t xml:space="preserve"> valsts iestādes, kas ir atbildīgas par administratīvo datu avotiem, kuri ir būtiski šīs regulas mērķiem, ļauj šos datus </w:t>
      </w:r>
      <w:proofErr w:type="spellStart"/>
      <w:r w:rsidRPr="00143228">
        <w:t>atkalizmantot</w:t>
      </w:r>
      <w:proofErr w:type="spellEnd"/>
      <w:r w:rsidRPr="00143228">
        <w:t xml:space="preserve"> savlaicīgi un tik bieži, kā nepieciešams, lai sagatavotu un iesniegtu statistiku noteiktajos termiņos un ievērojot šajā regulā paredzētās konkrētās kvalitātes prasības. </w:t>
      </w:r>
      <w:r w:rsidRPr="00143228">
        <w:rPr>
          <w:b/>
          <w:i/>
        </w:rPr>
        <w:t>Valsts statistikas iestādes un valsts iestādes, kas ir atbildīgas par</w:t>
      </w:r>
      <w:r w:rsidRPr="00143228">
        <w:t xml:space="preserve"> administratīvajiem ierakstiem,</w:t>
      </w:r>
      <w:r w:rsidRPr="00143228">
        <w:rPr>
          <w:b/>
          <w:i/>
        </w:rPr>
        <w:t xml:space="preserve"> izveido vajadzīgos sadarbības mehānismus, lai nodrošinātu savlaicīgu bezmaksas piekļuvi minētajiem ierakstiem</w:t>
      </w:r>
      <w:r w:rsidRPr="00143228">
        <w:t>.</w:t>
      </w:r>
    </w:p>
    <w:p w:rsidR="00C37615" w:rsidRPr="00143228" w:rsidRDefault="00C37615" w:rsidP="00C37615">
      <w:pPr>
        <w:spacing w:before="120" w:after="120" w:line="360" w:lineRule="auto"/>
        <w:ind w:left="850" w:hanging="850"/>
        <w:rPr>
          <w:szCs w:val="24"/>
        </w:rPr>
      </w:pPr>
      <w:r w:rsidRPr="00143228">
        <w:rPr>
          <w:b/>
          <w:i/>
        </w:rPr>
        <w:t>1.a</w:t>
      </w:r>
      <w:r w:rsidRPr="00143228">
        <w:tab/>
      </w:r>
      <w:r w:rsidRPr="00143228">
        <w:rPr>
          <w:b/>
          <w:i/>
        </w:rPr>
        <w:t>Lai sagatavotu statistiku par detalizēto tematu “Ar enerģiju saistīti ēku raksturlielumi”, valstu statistikas iestādēm ir savlaicīga un regulāra piekļuve valsts ēku energoefek</w:t>
      </w:r>
      <w:r w:rsidR="00F104EE">
        <w:rPr>
          <w:b/>
          <w:i/>
        </w:rPr>
        <w:t xml:space="preserve">tivitātes datubāzēm saskaņā ar </w:t>
      </w:r>
      <w:r w:rsidRPr="00143228">
        <w:rPr>
          <w:b/>
          <w:i/>
        </w:rPr>
        <w:t>Direktīvu</w:t>
      </w:r>
      <w:r w:rsidR="00F104EE">
        <w:rPr>
          <w:b/>
          <w:i/>
        </w:rPr>
        <w:t xml:space="preserve"> </w:t>
      </w:r>
      <w:r w:rsidR="00F104EE" w:rsidRPr="00F104EE">
        <w:rPr>
          <w:b/>
          <w:i/>
        </w:rPr>
        <w:t>(ES) 2024/1</w:t>
      </w:r>
      <w:r w:rsidR="00F104EE" w:rsidRPr="00EF6A92">
        <w:rPr>
          <w:b/>
          <w:i/>
          <w:szCs w:val="24"/>
          <w:lang w:eastAsia="en-US"/>
        </w:rPr>
        <w:t>275</w:t>
      </w:r>
      <w:r w:rsidRPr="00143228">
        <w:rPr>
          <w:b/>
          <w:i/>
        </w:rPr>
        <w:t xml:space="preserve">, un tām ir atļauts </w:t>
      </w:r>
      <w:proofErr w:type="spellStart"/>
      <w:r w:rsidRPr="00143228">
        <w:rPr>
          <w:b/>
          <w:i/>
        </w:rPr>
        <w:t>atkalizmantot</w:t>
      </w:r>
      <w:proofErr w:type="spellEnd"/>
      <w:r w:rsidRPr="00143228">
        <w:rPr>
          <w:b/>
          <w:i/>
        </w:rPr>
        <w:t xml:space="preserve"> administratīvos datus no šīm datubāzēm.</w:t>
      </w:r>
    </w:p>
    <w:p w:rsidR="00C37615" w:rsidRPr="00143228" w:rsidRDefault="00C37615" w:rsidP="00C37615">
      <w:pPr>
        <w:spacing w:before="120" w:after="120" w:line="360" w:lineRule="auto"/>
        <w:ind w:left="850" w:hanging="850"/>
        <w:rPr>
          <w:szCs w:val="24"/>
        </w:rPr>
      </w:pPr>
      <w:r w:rsidRPr="00143228">
        <w:rPr>
          <w:b/>
          <w:i/>
        </w:rPr>
        <w:t>1.b</w:t>
      </w:r>
      <w:r w:rsidRPr="00143228">
        <w:tab/>
      </w:r>
      <w:r w:rsidRPr="00143228">
        <w:rPr>
          <w:b/>
          <w:i/>
        </w:rPr>
        <w:t>Lai datus par iedzīvotājiem sadalītu pēc dzimuma, valstu statistikas iestādes izmanto valsts administratīvo datu avotos pieejamo informāciju.</w:t>
      </w:r>
    </w:p>
    <w:p w:rsidR="00C37615" w:rsidRPr="00143228" w:rsidRDefault="00C37615" w:rsidP="00C37615">
      <w:pPr>
        <w:spacing w:before="120" w:after="120" w:line="360" w:lineRule="auto"/>
        <w:ind w:left="850" w:hanging="850"/>
        <w:rPr>
          <w:szCs w:val="24"/>
        </w:rPr>
      </w:pPr>
      <w:r w:rsidRPr="00143228">
        <w:t>2.</w:t>
      </w:r>
      <w:r w:rsidRPr="00143228">
        <w:tab/>
        <w:t>Šīs regulas nolūkā Komisijai (</w:t>
      </w:r>
      <w:proofErr w:type="spellStart"/>
      <w:r w:rsidRPr="00143228">
        <w:rPr>
          <w:i/>
          <w:iCs/>
        </w:rPr>
        <w:t>Eurostat</w:t>
      </w:r>
      <w:proofErr w:type="spellEnd"/>
      <w:r w:rsidRPr="00143228">
        <w:t xml:space="preserve">) pēc pieprasījuma ir atļauts savlaicīgi piekļūt attiecīgajiem datiem un metadatiem no tādām datubāzēm un </w:t>
      </w:r>
      <w:proofErr w:type="spellStart"/>
      <w:r w:rsidRPr="00143228">
        <w:t>sadarbspējas</w:t>
      </w:r>
      <w:proofErr w:type="spellEnd"/>
      <w:r w:rsidRPr="00143228">
        <w:t xml:space="preserve"> sistēmām </w:t>
      </w:r>
      <w:r w:rsidRPr="00143228">
        <w:lastRenderedPageBreak/>
        <w:t xml:space="preserve">un tos </w:t>
      </w:r>
      <w:proofErr w:type="spellStart"/>
      <w:r w:rsidRPr="00143228">
        <w:t>atkalizmantot</w:t>
      </w:r>
      <w:proofErr w:type="spellEnd"/>
      <w:r w:rsidRPr="00143228">
        <w:t>, ko uztur Savienības struktūras un aģentūras, tostarp saskaņā ar Regulu (ES) Nr. 910/2014 un Regulu (ES) 2018/1724, un statistikas datiem, kas tiek glabāti centrālajā ziņošanas un statistikas repozitorijā (CRRS)</w:t>
      </w:r>
      <w:r w:rsidRPr="00143228">
        <w:rPr>
          <w:b/>
          <w:i/>
        </w:rPr>
        <w:t>. Konkrētāk, Komisija (</w:t>
      </w:r>
      <w:proofErr w:type="spellStart"/>
      <w:r w:rsidRPr="00143228">
        <w:rPr>
          <w:b/>
          <w:i/>
        </w:rPr>
        <w:t>Eurostat</w:t>
      </w:r>
      <w:proofErr w:type="spellEnd"/>
      <w:r w:rsidRPr="00143228">
        <w:rPr>
          <w:b/>
          <w:i/>
        </w:rPr>
        <w:t xml:space="preserve">), izmantojot </w:t>
      </w:r>
      <w:proofErr w:type="spellStart"/>
      <w:r w:rsidRPr="00143228">
        <w:rPr>
          <w:b/>
          <w:i/>
        </w:rPr>
        <w:t>CRRS</w:t>
      </w:r>
      <w:proofErr w:type="spellEnd"/>
      <w:r w:rsidRPr="00143228">
        <w:rPr>
          <w:b/>
          <w:i/>
        </w:rPr>
        <w:t xml:space="preserve">, piekļūst datiem no </w:t>
      </w:r>
      <w:proofErr w:type="spellStart"/>
      <w:r w:rsidRPr="00143228">
        <w:rPr>
          <w:b/>
          <w:i/>
        </w:rPr>
        <w:t>sadarbspējīgām</w:t>
      </w:r>
      <w:proofErr w:type="spellEnd"/>
      <w:r w:rsidRPr="00143228">
        <w:rPr>
          <w:b/>
          <w:i/>
        </w:rPr>
        <w:t xml:space="preserve"> </w:t>
      </w:r>
      <w:proofErr w:type="spellStart"/>
      <w:r w:rsidRPr="00143228">
        <w:rPr>
          <w:b/>
          <w:i/>
        </w:rPr>
        <w:t>lielapjoma</w:t>
      </w:r>
      <w:proofErr w:type="spellEnd"/>
      <w:r w:rsidRPr="00143228">
        <w:rPr>
          <w:b/>
          <w:i/>
        </w:rPr>
        <w:t xml:space="preserve"> IT sistēmām brīvības, drošības un tiesiskuma telpā,</w:t>
      </w:r>
      <w:r w:rsidRPr="00143228">
        <w:t xml:space="preserve"> ievērojot Regulu (ES) 2019/817 un Regulu (ES) 2019/818, un regulas, ar ko izveido sistēmas, kuru statistikas dati tiek glabāti </w:t>
      </w:r>
      <w:r w:rsidRPr="00143228">
        <w:rPr>
          <w:i/>
          <w:iCs/>
        </w:rPr>
        <w:t>CRRS</w:t>
      </w:r>
      <w:r w:rsidRPr="00143228">
        <w:t>. Šajā nolūkā Komisija (</w:t>
      </w:r>
      <w:proofErr w:type="spellStart"/>
      <w:r w:rsidRPr="00143228">
        <w:rPr>
          <w:i/>
          <w:iCs/>
        </w:rPr>
        <w:t>Eurostat</w:t>
      </w:r>
      <w:proofErr w:type="spellEnd"/>
      <w:r w:rsidRPr="00143228">
        <w:t>) turpina sadarboties ar attiecīgajām Savienības struktūrām un aģentūrām, lai precizētu pielāgotus statistikas datus un metadatus, kas, ja iespējams saskaņā ar Savienības tiesību aktiem, nepieciešami Eiropas statistikai par iedzīvotājiem un mājokļiem, to iesniegšanas kārtību un nepieciešamos papildu fiziskos un loģiskos aizsardzības pasākumus.</w:t>
      </w:r>
    </w:p>
    <w:p w:rsidR="00C37615" w:rsidRPr="00143228" w:rsidRDefault="00C37615" w:rsidP="00C37615">
      <w:pPr>
        <w:spacing w:before="120" w:after="120" w:line="360" w:lineRule="auto"/>
        <w:jc w:val="center"/>
        <w:rPr>
          <w:szCs w:val="24"/>
        </w:rPr>
      </w:pPr>
      <w:r w:rsidRPr="00143228">
        <w:t>11. pants</w:t>
      </w:r>
      <w:r w:rsidRPr="00143228">
        <w:br/>
        <w:t>Valstu un teritoriju saraksti</w:t>
      </w:r>
    </w:p>
    <w:p w:rsidR="00C37615" w:rsidRPr="00143228" w:rsidRDefault="00C37615" w:rsidP="00C37615">
      <w:pPr>
        <w:spacing w:before="120" w:after="120" w:line="360" w:lineRule="auto"/>
        <w:ind w:left="850" w:hanging="850"/>
        <w:rPr>
          <w:szCs w:val="24"/>
        </w:rPr>
      </w:pPr>
      <w:r w:rsidRPr="00143228">
        <w:t>1.</w:t>
      </w:r>
      <w:r w:rsidRPr="00143228">
        <w:tab/>
        <w:t>Ja datu kopās ir iekļauta informācija pa valstīm vai teritorijām, dalībvalstis šīs regulas un Regulas (EK) Nr. 862/2007 mērķiem izmanto īpašus dalījumus.</w:t>
      </w:r>
    </w:p>
    <w:p w:rsidR="00C37615" w:rsidRPr="00143228" w:rsidRDefault="00C37615" w:rsidP="00C37615">
      <w:pPr>
        <w:spacing w:before="120" w:after="120" w:line="360" w:lineRule="auto"/>
        <w:ind w:left="850" w:hanging="850"/>
        <w:rPr>
          <w:szCs w:val="24"/>
        </w:rPr>
      </w:pPr>
      <w:r w:rsidRPr="00143228">
        <w:t>2.</w:t>
      </w:r>
      <w:r w:rsidRPr="00143228">
        <w:tab/>
        <w:t xml:space="preserve">Komisija pieņem īstenošanas aktus, ar ko precizē vai atjaunina to valstu un </w:t>
      </w:r>
      <w:r w:rsidRPr="00143228">
        <w:rPr>
          <w:b/>
          <w:i/>
        </w:rPr>
        <w:t>teritoriju</w:t>
      </w:r>
      <w:r w:rsidRPr="00143228">
        <w:t xml:space="preserve"> sarakstus, ko piemēro saskaņā ar šo regulu apkopotās statistikas dalījumiem. Minētos īstenošanas aktus pieņem saskaņā ar šīs regulas 18. panta 2. punktā minēto pārbaudes procedūru. ▌</w:t>
      </w:r>
    </w:p>
    <w:p w:rsidR="00C37615" w:rsidRPr="00143228" w:rsidRDefault="00C37615" w:rsidP="00C37615">
      <w:pPr>
        <w:spacing w:before="120" w:after="120" w:line="360" w:lineRule="auto"/>
        <w:ind w:left="850" w:hanging="850"/>
        <w:rPr>
          <w:szCs w:val="24"/>
        </w:rPr>
      </w:pPr>
      <w:r w:rsidRPr="00143228">
        <w:t>3.</w:t>
      </w:r>
      <w:r w:rsidRPr="00143228">
        <w:tab/>
        <w:t>Īstenošanas aktus, ar ko groza vairāk nekā vienu trešdaļu valstu vai teritoriju dalījumu kategoriju, piemēro ne agrāk kā 12 mēnešus pēc to stāšanās spēkā.</w:t>
      </w:r>
    </w:p>
    <w:p w:rsidR="00C37615" w:rsidRPr="00143228" w:rsidRDefault="00C37615" w:rsidP="00C37615">
      <w:pPr>
        <w:spacing w:before="120" w:after="120" w:line="360" w:lineRule="auto"/>
        <w:jc w:val="center"/>
        <w:rPr>
          <w:szCs w:val="24"/>
        </w:rPr>
      </w:pPr>
      <w:r w:rsidRPr="00143228">
        <w:t>12. pants</w:t>
      </w:r>
      <w:r w:rsidRPr="00143228">
        <w:br/>
        <w:t>Kvalitātes prasības un ziņošana par kvalitāti</w:t>
      </w:r>
    </w:p>
    <w:p w:rsidR="00C37615" w:rsidRPr="00143228" w:rsidRDefault="00C37615" w:rsidP="00C37615">
      <w:pPr>
        <w:spacing w:before="120" w:after="120" w:line="360" w:lineRule="auto"/>
        <w:ind w:left="850" w:hanging="850"/>
        <w:rPr>
          <w:szCs w:val="24"/>
        </w:rPr>
      </w:pPr>
      <w:r w:rsidRPr="00143228">
        <w:t>1.</w:t>
      </w:r>
      <w:r w:rsidRPr="00143228">
        <w:tab/>
        <w:t>Dalībvalstis veic vajadzīgos pasākumus, lai nodrošinātu iesniegto datu kopu un metadatu kvalitāti.</w:t>
      </w:r>
    </w:p>
    <w:p w:rsidR="00C37615" w:rsidRPr="00143228" w:rsidRDefault="00C37615" w:rsidP="00C37615">
      <w:pPr>
        <w:spacing w:before="120" w:after="120" w:line="360" w:lineRule="auto"/>
        <w:ind w:left="850" w:hanging="850"/>
        <w:rPr>
          <w:szCs w:val="24"/>
        </w:rPr>
      </w:pPr>
      <w:r w:rsidRPr="00143228">
        <w:t>2.</w:t>
      </w:r>
      <w:r w:rsidRPr="00143228">
        <w:tab/>
        <w:t>Dalībvalstis veic atbilstīgus un efektīvus pasākumus, lai:</w:t>
      </w:r>
    </w:p>
    <w:p w:rsidR="00C37615" w:rsidRPr="00143228" w:rsidRDefault="00C37615" w:rsidP="00C37615">
      <w:pPr>
        <w:spacing w:before="120" w:after="120" w:line="360" w:lineRule="auto"/>
        <w:ind w:left="1416" w:hanging="566"/>
        <w:rPr>
          <w:szCs w:val="24"/>
        </w:rPr>
      </w:pPr>
      <w:r w:rsidRPr="00143228">
        <w:t>a)</w:t>
      </w:r>
      <w:r w:rsidRPr="00143228">
        <w:tab/>
        <w:t>vienoti un neatkarīgi no izmantotajiem datu avotiem īstenotu noteikumus, kas attiecas uz iedzīvotāju bāzi, kura paredzēta 3. pantā;</w:t>
      </w:r>
    </w:p>
    <w:p w:rsidR="00C37615" w:rsidRPr="00143228" w:rsidRDefault="00C37615" w:rsidP="00C37615">
      <w:pPr>
        <w:spacing w:before="120" w:after="120" w:line="360" w:lineRule="auto"/>
        <w:ind w:left="1416" w:hanging="566"/>
        <w:rPr>
          <w:szCs w:val="24"/>
        </w:rPr>
      </w:pPr>
      <w:r w:rsidRPr="00143228">
        <w:t>b)</w:t>
      </w:r>
      <w:r w:rsidRPr="00143228">
        <w:tab/>
        <w:t>iegūtu datus par grūti sasniedzamām iedzīvotāju grupām un tos novērtētu;</w:t>
      </w:r>
    </w:p>
    <w:p w:rsidR="00C37615" w:rsidRPr="00143228" w:rsidRDefault="00C37615" w:rsidP="00C37615">
      <w:pPr>
        <w:spacing w:before="120" w:after="120" w:line="360" w:lineRule="auto"/>
        <w:ind w:left="1416" w:hanging="566"/>
        <w:rPr>
          <w:szCs w:val="24"/>
        </w:rPr>
      </w:pPr>
      <w:r w:rsidRPr="00143228">
        <w:t>c)</w:t>
      </w:r>
      <w:r w:rsidRPr="00143228">
        <w:tab/>
        <w:t>kontrolētu datu par aptvertajiem iedzīvotājiem pilnīgumu un precizitāti, ievērojot 3. pantu;</w:t>
      </w:r>
    </w:p>
    <w:p w:rsidR="00C37615" w:rsidRPr="00143228" w:rsidRDefault="00C37615" w:rsidP="00C37615">
      <w:pPr>
        <w:spacing w:before="120" w:after="120" w:line="360" w:lineRule="auto"/>
        <w:ind w:left="1416" w:hanging="566"/>
        <w:rPr>
          <w:szCs w:val="24"/>
        </w:rPr>
      </w:pPr>
      <w:r w:rsidRPr="00143228">
        <w:lastRenderedPageBreak/>
        <w:t>d)</w:t>
      </w:r>
      <w:r w:rsidRPr="00143228">
        <w:tab/>
        <w:t>izveidotu rāmjus, kas atbilst šīs regulas un Regulas (ES) 2019/1700 12. panta mērķiem;</w:t>
      </w:r>
    </w:p>
    <w:p w:rsidR="00C37615" w:rsidRPr="00143228" w:rsidRDefault="00C37615" w:rsidP="00C37615">
      <w:pPr>
        <w:spacing w:before="120" w:after="120" w:line="360" w:lineRule="auto"/>
        <w:ind w:left="1416" w:hanging="566"/>
        <w:rPr>
          <w:szCs w:val="24"/>
        </w:rPr>
      </w:pPr>
      <w:r w:rsidRPr="00143228">
        <w:t>e)</w:t>
      </w:r>
      <w:r w:rsidRPr="00143228">
        <w:tab/>
        <w:t>novērstu —</w:t>
      </w:r>
      <w:r w:rsidRPr="00143228">
        <w:rPr>
          <w:b/>
          <w:i/>
        </w:rPr>
        <w:t xml:space="preserve"> piemēram, ieviešot vienotus digitālus identifikatorus, </w:t>
      </w:r>
      <w:r w:rsidRPr="00143228">
        <w:t xml:space="preserve">— iespējamos riskus, kas saistīti ar nepietiekamu uzskaiti vai </w:t>
      </w:r>
      <w:proofErr w:type="spellStart"/>
      <w:r w:rsidRPr="00143228">
        <w:t>dubultuzskaiti</w:t>
      </w:r>
      <w:proofErr w:type="spellEnd"/>
      <w:r w:rsidRPr="00143228">
        <w:t xml:space="preserve"> saistībā ar personu brīvu pārvietošanos Savienībā, personu piekļuvi pārrobežu pakalpojumiem, kuri saistīti ar būtiskiem notikumiem, un personu tiesībām pāri robežām visā Savienībā iegādāties, turēt īpašumā un izmantot nekustamo īpašumu;</w:t>
      </w:r>
    </w:p>
    <w:p w:rsidR="00C37615" w:rsidRPr="00143228" w:rsidRDefault="00C37615" w:rsidP="00C37615">
      <w:pPr>
        <w:spacing w:before="120" w:after="120" w:line="360" w:lineRule="auto"/>
        <w:ind w:left="1416" w:hanging="566"/>
        <w:rPr>
          <w:szCs w:val="24"/>
        </w:rPr>
      </w:pPr>
      <w:r w:rsidRPr="00143228">
        <w:t>f)</w:t>
      </w:r>
      <w:r w:rsidRPr="00143228">
        <w:tab/>
      </w:r>
      <w:r w:rsidRPr="00143228">
        <w:rPr>
          <w:b/>
          <w:i/>
        </w:rPr>
        <w:t>novērstu iespējamos</w:t>
      </w:r>
      <w:r w:rsidRPr="00143228">
        <w:t xml:space="preserve"> migrācijas plūsmu </w:t>
      </w:r>
      <w:r w:rsidRPr="00143228">
        <w:rPr>
          <w:b/>
          <w:i/>
        </w:rPr>
        <w:t xml:space="preserve">nepietiekamas uzskaites vai </w:t>
      </w:r>
      <w:proofErr w:type="spellStart"/>
      <w:r w:rsidRPr="00143228">
        <w:rPr>
          <w:b/>
          <w:i/>
        </w:rPr>
        <w:t>dubultuzskaites</w:t>
      </w:r>
      <w:proofErr w:type="spellEnd"/>
      <w:r w:rsidRPr="00143228">
        <w:rPr>
          <w:b/>
          <w:i/>
        </w:rPr>
        <w:t xml:space="preserve"> riskus un nodrošinātu labāku salīdzināmību</w:t>
      </w:r>
      <w:r w:rsidRPr="00143228">
        <w:t>;</w:t>
      </w:r>
    </w:p>
    <w:p w:rsidR="00C37615" w:rsidRPr="00143228" w:rsidRDefault="00C37615" w:rsidP="00C37615">
      <w:pPr>
        <w:spacing w:before="120" w:after="120" w:line="360" w:lineRule="auto"/>
        <w:ind w:left="1416" w:hanging="566"/>
        <w:rPr>
          <w:szCs w:val="24"/>
        </w:rPr>
      </w:pPr>
      <w:r w:rsidRPr="00143228">
        <w:t>g)</w:t>
      </w:r>
      <w:r w:rsidRPr="00143228">
        <w:tab/>
        <w:t>sniegtu Komisijai (</w:t>
      </w:r>
      <w:proofErr w:type="spellStart"/>
      <w:r w:rsidRPr="00143228">
        <w:rPr>
          <w:i/>
          <w:iCs/>
        </w:rPr>
        <w:t>Eurostat</w:t>
      </w:r>
      <w:proofErr w:type="spellEnd"/>
      <w:r w:rsidRPr="00143228">
        <w:t>) visus datus, kas nepieciešami, lai nodrošinātu publicētās Eiropas statistikas pilnīgumu.</w:t>
      </w:r>
    </w:p>
    <w:p w:rsidR="00C37615" w:rsidRPr="00143228" w:rsidRDefault="00C37615" w:rsidP="00C37615">
      <w:pPr>
        <w:spacing w:before="120" w:after="120" w:line="360" w:lineRule="auto"/>
        <w:ind w:left="851" w:hanging="851"/>
        <w:rPr>
          <w:szCs w:val="24"/>
        </w:rPr>
      </w:pPr>
      <w:r w:rsidRPr="00143228">
        <w:rPr>
          <w:b/>
          <w:i/>
        </w:rPr>
        <w:t>2.a</w:t>
      </w:r>
      <w:r w:rsidRPr="00143228">
        <w:tab/>
      </w:r>
      <w:r w:rsidRPr="00143228">
        <w:rPr>
          <w:b/>
          <w:i/>
        </w:rPr>
        <w:t>Komisija (</w:t>
      </w:r>
      <w:proofErr w:type="spellStart"/>
      <w:r w:rsidRPr="00143228">
        <w:rPr>
          <w:b/>
          <w:i/>
        </w:rPr>
        <w:t>Eurostat</w:t>
      </w:r>
      <w:proofErr w:type="spellEnd"/>
      <w:r w:rsidRPr="00143228">
        <w:rPr>
          <w:b/>
          <w:i/>
        </w:rPr>
        <w:t>) izvērtē datu specifikāciju metadatu kvalitāti, lai cita starpā tos lietotājdraudzīgā veidā publicētu Komisijas (</w:t>
      </w:r>
      <w:proofErr w:type="spellStart"/>
      <w:r w:rsidRPr="00143228">
        <w:rPr>
          <w:b/>
          <w:i/>
        </w:rPr>
        <w:t>Eurostat</w:t>
      </w:r>
      <w:proofErr w:type="spellEnd"/>
      <w:r w:rsidRPr="00143228">
        <w:rPr>
          <w:b/>
          <w:i/>
        </w:rPr>
        <w:t>) tīmekļa vietnē.</w:t>
      </w:r>
    </w:p>
    <w:p w:rsidR="00C37615" w:rsidRPr="00143228" w:rsidRDefault="00C37615" w:rsidP="00C37615">
      <w:pPr>
        <w:spacing w:before="120" w:after="120" w:line="360" w:lineRule="auto"/>
        <w:ind w:left="850" w:hanging="850"/>
        <w:rPr>
          <w:szCs w:val="24"/>
        </w:rPr>
      </w:pPr>
      <w:r w:rsidRPr="00143228">
        <w:t>3.</w:t>
      </w:r>
      <w:r w:rsidRPr="00143228">
        <w:tab/>
        <w:t xml:space="preserve">Dalībvalstis pirmo reizi līdz 2027. gada 31. martam un pēc tam katru gadu, kas beidzas ar “0”, “3” vai “7”, </w:t>
      </w:r>
      <w:proofErr w:type="spellStart"/>
      <w:r w:rsidRPr="00143228">
        <w:t>nosūta</w:t>
      </w:r>
      <w:proofErr w:type="spellEnd"/>
      <w:r w:rsidRPr="00143228">
        <w:t xml:space="preserve"> Komisijai (</w:t>
      </w:r>
      <w:proofErr w:type="spellStart"/>
      <w:r w:rsidRPr="00143228">
        <w:rPr>
          <w:i/>
          <w:iCs/>
        </w:rPr>
        <w:t>Eurostat</w:t>
      </w:r>
      <w:proofErr w:type="spellEnd"/>
      <w:r w:rsidRPr="00143228">
        <w:t>) kvalitātes ziņojumu, kurā aprakstīta iesniegtās statistikas kvalitāte un statistikas procesi attiecībā uz attiecīgajā periodā iesniegtajām datu kopām</w:t>
      </w:r>
      <w:r w:rsidRPr="00143228">
        <w:rPr>
          <w:b/>
          <w:i/>
        </w:rPr>
        <w:t>. Kvalitātes ziņojumos iekļauj informāciju par</w:t>
      </w:r>
      <w:r w:rsidRPr="00143228">
        <w:t xml:space="preserve"> izmantotajiem datu avotiem un metodēm, jēdzienu un definīciju piemērošanu un saistīto iespējamo ietekmi uz izvēlēto datu avotu kvalitāti, datu pārskatīšanām un to iemesliem un ietekmi </w:t>
      </w:r>
      <w:r w:rsidRPr="00143228">
        <w:rPr>
          <w:b/>
          <w:i/>
        </w:rPr>
        <w:t>un</w:t>
      </w:r>
      <w:r w:rsidRPr="00143228">
        <w:t xml:space="preserve"> statistiskās informācijas izpaušanas kontroles metodēm</w:t>
      </w:r>
      <w:r w:rsidRPr="00143228">
        <w:rPr>
          <w:b/>
          <w:i/>
        </w:rPr>
        <w:t>. Kvalitātes ziņojumos arī</w:t>
      </w:r>
      <w:r w:rsidRPr="00143228">
        <w:t xml:space="preserve"> sīki </w:t>
      </w:r>
      <w:r w:rsidRPr="00143228">
        <w:rPr>
          <w:b/>
          <w:i/>
        </w:rPr>
        <w:t>izklāsta</w:t>
      </w:r>
      <w:r w:rsidRPr="00143228">
        <w:t xml:space="preserve">, </w:t>
      </w:r>
      <w:r w:rsidRPr="00143228">
        <w:rPr>
          <w:b/>
          <w:i/>
        </w:rPr>
        <w:t>kā dalībvalstis piemērojušas 1. punktā minētos pasākumus un</w:t>
      </w:r>
      <w:r w:rsidRPr="00143228">
        <w:t xml:space="preserve"> kā ir izpildīti 2. punktā minētie kvalitātes kritēriji ▌.</w:t>
      </w:r>
    </w:p>
    <w:p w:rsidR="00C37615" w:rsidRPr="00143228" w:rsidRDefault="00C37615" w:rsidP="00C37615">
      <w:pPr>
        <w:spacing w:before="120" w:after="120" w:line="360" w:lineRule="auto"/>
        <w:ind w:left="850" w:hanging="850"/>
        <w:rPr>
          <w:szCs w:val="24"/>
        </w:rPr>
      </w:pPr>
      <w:r w:rsidRPr="00143228">
        <w:t>4.</w:t>
      </w:r>
      <w:r w:rsidRPr="00143228">
        <w:tab/>
        <w:t xml:space="preserve">Komisija pieņem īstenošanas aktus, kuros paredz praktiskus pasākumus attiecībā uz kvalitātes ziņojumiem un to saturu. </w:t>
      </w:r>
    </w:p>
    <w:p w:rsidR="00C37615" w:rsidRPr="00143228" w:rsidRDefault="00C37615" w:rsidP="00C37615">
      <w:pPr>
        <w:spacing w:before="120" w:after="120" w:line="360" w:lineRule="auto"/>
        <w:ind w:left="850" w:hanging="130"/>
        <w:rPr>
          <w:szCs w:val="24"/>
        </w:rPr>
      </w:pPr>
      <w:r w:rsidRPr="00143228">
        <w:rPr>
          <w:b/>
          <w:i/>
        </w:rPr>
        <w:t>Minētie</w:t>
      </w:r>
      <w:r w:rsidRPr="00143228">
        <w:t xml:space="preserve"> īstenošanas </w:t>
      </w:r>
      <w:r w:rsidRPr="00143228">
        <w:rPr>
          <w:b/>
          <w:i/>
        </w:rPr>
        <w:t>akti nedrīkst radīt ievērojamu papildu slogu un izmaksas dalībvalstīm.</w:t>
      </w:r>
      <w:r w:rsidRPr="00143228">
        <w:t xml:space="preserve"> </w:t>
      </w:r>
    </w:p>
    <w:p w:rsidR="00C37615" w:rsidRPr="00143228" w:rsidRDefault="00C37615" w:rsidP="00C37615">
      <w:pPr>
        <w:spacing w:before="120" w:after="120" w:line="360" w:lineRule="auto"/>
        <w:ind w:left="850" w:hanging="130"/>
        <w:rPr>
          <w:szCs w:val="24"/>
        </w:rPr>
      </w:pPr>
      <w:r w:rsidRPr="00143228">
        <w:rPr>
          <w:b/>
          <w:i/>
        </w:rPr>
        <w:t>Tos</w:t>
      </w:r>
      <w:r w:rsidRPr="00143228">
        <w:t xml:space="preserve"> pieņem saskaņā ar 18. panta 2. punktā minēto pārbaudes procedūru.</w:t>
      </w:r>
    </w:p>
    <w:p w:rsidR="00C37615" w:rsidRPr="00143228" w:rsidRDefault="00C37615" w:rsidP="00C37615">
      <w:pPr>
        <w:spacing w:before="120" w:after="120" w:line="360" w:lineRule="auto"/>
        <w:ind w:left="850" w:hanging="850"/>
        <w:rPr>
          <w:szCs w:val="24"/>
        </w:rPr>
      </w:pPr>
      <w:r w:rsidRPr="00143228">
        <w:rPr>
          <w:b/>
          <w:i/>
        </w:rPr>
        <w:t>4.a</w:t>
      </w:r>
      <w:r w:rsidRPr="00143228">
        <w:tab/>
      </w:r>
      <w:r w:rsidRPr="00143228">
        <w:rPr>
          <w:b/>
          <w:i/>
        </w:rPr>
        <w:t>Jebkādu šādos īstenošanos aktos paredzētu būtisku pielāgojumu veikšanai var būt iespējams saņemt finansiālu un tehnisku atbalstu saskaņā ar 15. pantu vai piemērot atkāpi atbilstoši 19. panta 1.a punktam.</w:t>
      </w:r>
    </w:p>
    <w:p w:rsidR="00C37615" w:rsidRPr="00143228" w:rsidRDefault="00C37615" w:rsidP="00C37615">
      <w:pPr>
        <w:spacing w:before="120" w:after="120" w:line="360" w:lineRule="auto"/>
        <w:ind w:left="850" w:hanging="850"/>
        <w:rPr>
          <w:szCs w:val="24"/>
        </w:rPr>
      </w:pPr>
      <w:r w:rsidRPr="00143228">
        <w:lastRenderedPageBreak/>
        <w:t>5.</w:t>
      </w:r>
      <w:r w:rsidRPr="00143228">
        <w:tab/>
        <w:t>Dalībvalstis iespējami drīz sniedz Komisijai (</w:t>
      </w:r>
      <w:proofErr w:type="spellStart"/>
      <w:r w:rsidRPr="00143228">
        <w:rPr>
          <w:i/>
          <w:iCs/>
        </w:rPr>
        <w:t>Eurostat</w:t>
      </w:r>
      <w:proofErr w:type="spellEnd"/>
      <w:r w:rsidRPr="00143228">
        <w:t>) visu attiecīgo informāciju vai ziņas par izmaiņām attiecībā uz šīs regulas īstenošanu, kas varētu ietekmēt iesniegtās statistikas kvalitāti</w:t>
      </w:r>
      <w:r w:rsidRPr="00143228">
        <w:rPr>
          <w:b/>
          <w:i/>
        </w:rPr>
        <w:t>, un bez liekas kavēšanās veic pasākumus, lai atrisinātu attiecīgo problēmu</w:t>
      </w:r>
      <w:r w:rsidRPr="00143228">
        <w:t>.</w:t>
      </w:r>
    </w:p>
    <w:p w:rsidR="00C37615" w:rsidRPr="00143228" w:rsidRDefault="00C37615" w:rsidP="00C37615">
      <w:pPr>
        <w:spacing w:before="120" w:after="120" w:line="360" w:lineRule="auto"/>
        <w:ind w:left="850" w:hanging="850"/>
        <w:rPr>
          <w:szCs w:val="24"/>
        </w:rPr>
      </w:pPr>
      <w:r w:rsidRPr="00143228">
        <w:t>6.</w:t>
      </w:r>
      <w:r w:rsidRPr="00143228">
        <w:tab/>
        <w:t xml:space="preserve">Pēc </w:t>
      </w:r>
      <w:r w:rsidRPr="00143228">
        <w:rPr>
          <w:b/>
          <w:i/>
        </w:rPr>
        <w:t>pienācīgi pamatota</w:t>
      </w:r>
      <w:r w:rsidRPr="00143228">
        <w:t xml:space="preserve"> Komisijas (</w:t>
      </w:r>
      <w:proofErr w:type="spellStart"/>
      <w:r w:rsidRPr="00143228">
        <w:rPr>
          <w:i/>
          <w:iCs/>
        </w:rPr>
        <w:t>Eurostat</w:t>
      </w:r>
      <w:proofErr w:type="spellEnd"/>
      <w:r w:rsidRPr="00143228">
        <w:t xml:space="preserve">) pieprasījuma dalībvalstis bez liekas kavēšanās sniedz papildu skaidrojumus, kas nepieciešami, lai novērtētu </w:t>
      </w:r>
      <w:r w:rsidRPr="00143228">
        <w:rPr>
          <w:b/>
          <w:i/>
        </w:rPr>
        <w:t>statistiskās informācijas</w:t>
      </w:r>
      <w:r w:rsidRPr="00143228">
        <w:t xml:space="preserve"> kvalitāti</w:t>
      </w:r>
      <w:r w:rsidRPr="00143228">
        <w:rPr>
          <w:b/>
          <w:i/>
        </w:rPr>
        <w:t xml:space="preserve">, piemēram, datu avotu </w:t>
      </w:r>
      <w:proofErr w:type="spellStart"/>
      <w:r w:rsidRPr="00143228">
        <w:rPr>
          <w:b/>
          <w:i/>
        </w:rPr>
        <w:t>izvērtējuma</w:t>
      </w:r>
      <w:proofErr w:type="spellEnd"/>
      <w:r w:rsidRPr="00143228">
        <w:rPr>
          <w:b/>
          <w:i/>
        </w:rPr>
        <w:t xml:space="preserve"> rezultātus un metožu dokumentāciju</w:t>
      </w:r>
      <w:r w:rsidRPr="00143228">
        <w:t>.</w:t>
      </w:r>
    </w:p>
    <w:p w:rsidR="00C37615" w:rsidRPr="00143228" w:rsidRDefault="00C37615" w:rsidP="00C37615">
      <w:pPr>
        <w:spacing w:before="120" w:after="120" w:line="360" w:lineRule="auto"/>
        <w:jc w:val="center"/>
        <w:rPr>
          <w:szCs w:val="24"/>
        </w:rPr>
      </w:pPr>
      <w:r w:rsidRPr="00143228">
        <w:t>13. pants</w:t>
      </w:r>
      <w:r w:rsidRPr="00143228">
        <w:br/>
        <w:t>Datu kopīgošana</w:t>
      </w:r>
    </w:p>
    <w:p w:rsidR="00C37615" w:rsidRPr="00143228" w:rsidRDefault="00C37615" w:rsidP="00C37615">
      <w:pPr>
        <w:spacing w:before="120" w:after="120" w:line="360" w:lineRule="auto"/>
        <w:ind w:left="850" w:hanging="850"/>
        <w:rPr>
          <w:szCs w:val="24"/>
        </w:rPr>
      </w:pPr>
      <w:r w:rsidRPr="00143228">
        <w:t>1.</w:t>
      </w:r>
      <w:r w:rsidRPr="00143228">
        <w:tab/>
      </w:r>
      <w:r w:rsidRPr="00143228">
        <w:rPr>
          <w:b/>
          <w:i/>
        </w:rPr>
        <w:t>Datu kopīgošana starp valstu statistikas iestādēm un citām valsts iestādēm, kas iekļautas Regulas (EK) Nr. 223/2009 5. panta 2. punktā minētajā sarakstā (valstu statistikas iestādes), kā arī minētajām valstu statistikas</w:t>
      </w:r>
      <w:r w:rsidRPr="00143228">
        <w:t xml:space="preserve"> iestādēm un Komisiju (</w:t>
      </w:r>
      <w:proofErr w:type="spellStart"/>
      <w:r w:rsidRPr="00143228">
        <w:rPr>
          <w:i/>
          <w:iCs/>
        </w:rPr>
        <w:t>Eurostat</w:t>
      </w:r>
      <w:proofErr w:type="spellEnd"/>
      <w:r w:rsidRPr="00143228">
        <w:t xml:space="preserve">) </w:t>
      </w:r>
      <w:r w:rsidRPr="00143228">
        <w:rPr>
          <w:b/>
          <w:i/>
        </w:rPr>
        <w:t>notiek</w:t>
      </w:r>
      <w:r w:rsidRPr="00143228">
        <w:t xml:space="preserve"> vienīgi nolūkā izstrādāt un sagatavot Eiropas statistiku, ko reglamentē šī regula, un uzlabot tās kvalitāti.</w:t>
      </w:r>
    </w:p>
    <w:p w:rsidR="00C37615" w:rsidRPr="00143228" w:rsidRDefault="00C37615" w:rsidP="00C37615">
      <w:pPr>
        <w:spacing w:before="120" w:after="120" w:line="360" w:lineRule="auto"/>
        <w:ind w:left="850" w:hanging="850"/>
        <w:rPr>
          <w:szCs w:val="24"/>
        </w:rPr>
      </w:pPr>
      <w:r w:rsidRPr="00143228">
        <w:t>2.</w:t>
      </w:r>
      <w:r w:rsidRPr="00143228">
        <w:tab/>
        <w:t xml:space="preserve">Lai nodrošinātu datu drošu kopīgošanu Eiropas Statistikas sistēmā, </w:t>
      </w:r>
      <w:r w:rsidRPr="00143228">
        <w:rPr>
          <w:b/>
          <w:i/>
        </w:rPr>
        <w:t>tostarp drošu datu kopīgošanas infrastruktūru,</w:t>
      </w:r>
      <w:r w:rsidRPr="00143228">
        <w:t xml:space="preserve"> veic visus vajadzīgos aizsardzības pasākumus attiecībā uz datu fizisko</w:t>
      </w:r>
      <w:r w:rsidRPr="00143228">
        <w:rPr>
          <w:b/>
          <w:i/>
        </w:rPr>
        <w:t>, tehnisko</w:t>
      </w:r>
      <w:r w:rsidRPr="00143228">
        <w:t xml:space="preserve"> un loģisko aizsardzību. Komisija (</w:t>
      </w:r>
      <w:proofErr w:type="spellStart"/>
      <w:r w:rsidRPr="00143228">
        <w:rPr>
          <w:i/>
          <w:iCs/>
        </w:rPr>
        <w:t>Eurostat</w:t>
      </w:r>
      <w:proofErr w:type="spellEnd"/>
      <w:r w:rsidRPr="00143228">
        <w:t xml:space="preserve">) izveido drošu infrastruktūru, lai atvieglotu datu kopīgošanu, kas minēta 1. punktā. </w:t>
      </w:r>
      <w:r w:rsidRPr="00143228">
        <w:rPr>
          <w:b/>
          <w:i/>
        </w:rPr>
        <w:t>Valstu statistikas</w:t>
      </w:r>
      <w:r w:rsidRPr="00143228">
        <w:t xml:space="preserve"> iestādes ▌var izmantot šo datu kopīgošanas drošo infrastruktūru 1. punktā norādītajam mērķim.</w:t>
      </w:r>
      <w:r w:rsidRPr="00143228">
        <w:rPr>
          <w:b/>
          <w:i/>
        </w:rPr>
        <w:t xml:space="preserve"> Komisiju (</w:t>
      </w:r>
      <w:proofErr w:type="spellStart"/>
      <w:r w:rsidRPr="00143228">
        <w:rPr>
          <w:b/>
          <w:i/>
        </w:rPr>
        <w:t>Eurostat</w:t>
      </w:r>
      <w:proofErr w:type="spellEnd"/>
      <w:r w:rsidRPr="00143228">
        <w:rPr>
          <w:b/>
          <w:i/>
        </w:rPr>
        <w:t>) un valstu statistikas iestādes, kas šo datu kopīgošanas drošo infrastruktūru izmanto personas datu apstrādei saskaņā ar 3. punktu, uzskata par kopīgiem pārziņiem personas datu apstrādei drošajā datu kopīgošanas infrastruktūrā. Ja valstu statistikas iestādes izmanto citu datu kopīgošanas infrastruktūru, tās nodrošina, ka šāda infrastruktūra sniedz vismaz līdzvērtīgu drošību kā Komisijas (</w:t>
      </w:r>
      <w:proofErr w:type="spellStart"/>
      <w:r w:rsidRPr="00143228">
        <w:rPr>
          <w:b/>
          <w:i/>
        </w:rPr>
        <w:t>Eurostat</w:t>
      </w:r>
      <w:proofErr w:type="spellEnd"/>
      <w:r w:rsidRPr="00143228">
        <w:rPr>
          <w:b/>
          <w:i/>
        </w:rPr>
        <w:t>) izveidotā infrastruktūra.</w:t>
      </w:r>
    </w:p>
    <w:p w:rsidR="00C37615" w:rsidRPr="00143228" w:rsidRDefault="00C37615" w:rsidP="00C37615">
      <w:pPr>
        <w:spacing w:before="120" w:after="120" w:line="360" w:lineRule="auto"/>
        <w:ind w:left="850" w:hanging="850"/>
        <w:rPr>
          <w:szCs w:val="24"/>
        </w:rPr>
      </w:pPr>
      <w:r w:rsidRPr="00143228">
        <w:t>3.</w:t>
      </w:r>
      <w:r w:rsidRPr="00143228">
        <w:tab/>
        <w:t>Ja attiecīgie dati ir konfidenciāli dati Regulas (EK) Nr. 223/2009 3. panta 7. punkta nozīmē vai personas dati saskaņā ar Regulu (ES) 2016/679 un Regulu (ES) 2018/1725, šādu datu kopīgošana ▌var notikt brīvprātīgi, ar nosacījumu, ka tā:</w:t>
      </w:r>
    </w:p>
    <w:p w:rsidR="00C37615" w:rsidRPr="00143228" w:rsidRDefault="00C37615" w:rsidP="00C37615">
      <w:pPr>
        <w:spacing w:before="120" w:after="120" w:line="360" w:lineRule="auto"/>
        <w:ind w:left="1416" w:hanging="566"/>
        <w:rPr>
          <w:szCs w:val="24"/>
        </w:rPr>
      </w:pPr>
      <w:r w:rsidRPr="00143228">
        <w:t>a)</w:t>
      </w:r>
      <w:r w:rsidRPr="00143228">
        <w:tab/>
        <w:t>ir balstīta pieprasījumā, kas katrā atsevišķā gadījumā pamato nepieciešamību kopīgot datus, jo īpaši attiecībā uz konkrēti risināmiem kvalitātes jautājumiem;</w:t>
      </w:r>
    </w:p>
    <w:p w:rsidR="00C37615" w:rsidRPr="00143228" w:rsidRDefault="00C37615" w:rsidP="00C37615">
      <w:pPr>
        <w:spacing w:before="120" w:after="120" w:line="360" w:lineRule="auto"/>
        <w:ind w:left="1416" w:hanging="566"/>
        <w:rPr>
          <w:szCs w:val="24"/>
        </w:rPr>
      </w:pPr>
      <w:r w:rsidRPr="00143228">
        <w:t>b)</w:t>
      </w:r>
      <w:r w:rsidRPr="00143228">
        <w:tab/>
        <w:t xml:space="preserve">▌ir balstīta privātuma aizsardzības tehnoloģijās, kas ir īpaši izstrādātas, lai </w:t>
      </w:r>
      <w:r w:rsidRPr="00143228">
        <w:lastRenderedPageBreak/>
        <w:t>īstenotu Regulas (ES) 2016/679 un Regulas (ES) 2018/1725 principus, jo īpaši attiecībā uz mērķa ierobežojumu, datu minimizēšanu, glabāšanas ierobežojumu, integritāti un konfidencialitāti;</w:t>
      </w:r>
    </w:p>
    <w:p w:rsidR="00C37615" w:rsidRPr="00143228" w:rsidRDefault="00C37615" w:rsidP="00C37615">
      <w:pPr>
        <w:spacing w:before="120" w:after="120" w:line="360" w:lineRule="auto"/>
        <w:ind w:left="1416" w:hanging="566"/>
        <w:rPr>
          <w:szCs w:val="24"/>
        </w:rPr>
      </w:pPr>
      <w:r w:rsidRPr="00143228">
        <w:t>c)</w:t>
      </w:r>
      <w:r w:rsidRPr="00143228">
        <w:tab/>
        <w:t>neskar Regulas (EK) Nr. 223/2009 V nodaļu.</w:t>
      </w:r>
    </w:p>
    <w:p w:rsidR="00C37615" w:rsidRPr="00143228" w:rsidRDefault="00C37615" w:rsidP="00C37615">
      <w:pPr>
        <w:spacing w:before="120" w:after="120" w:line="360" w:lineRule="auto"/>
        <w:ind w:left="1416" w:hanging="566"/>
        <w:rPr>
          <w:szCs w:val="24"/>
        </w:rPr>
      </w:pPr>
      <w:r w:rsidRPr="00143228">
        <w:rPr>
          <w:b/>
          <w:i/>
        </w:rPr>
        <w:t>3.a</w:t>
      </w:r>
      <w:r w:rsidRPr="00143228">
        <w:tab/>
      </w:r>
      <w:r w:rsidRPr="00143228">
        <w:rPr>
          <w:b/>
          <w:i/>
        </w:rPr>
        <w:t>Šā panta 1. punktā minētās datu kopīgošanas nolūkā nekonfidenciālos datus kopīgo starp valstu statistikas iestādēm un citām valsts iestādēm dažādās dalībvalstīs, kā arī starp minētajām valstu statistikas iestādēm un Komisiju (</w:t>
      </w:r>
      <w:proofErr w:type="spellStart"/>
      <w:r w:rsidRPr="00143228">
        <w:rPr>
          <w:b/>
          <w:i/>
        </w:rPr>
        <w:t>Eurostat</w:t>
      </w:r>
      <w:proofErr w:type="spellEnd"/>
      <w:r w:rsidRPr="00143228">
        <w:rPr>
          <w:b/>
          <w:i/>
        </w:rPr>
        <w:t>).</w:t>
      </w:r>
    </w:p>
    <w:p w:rsidR="00C37615" w:rsidRPr="00143228" w:rsidRDefault="00C37615" w:rsidP="00C37615">
      <w:pPr>
        <w:spacing w:before="120" w:after="120" w:line="360" w:lineRule="auto"/>
        <w:ind w:left="850" w:hanging="850"/>
        <w:rPr>
          <w:szCs w:val="24"/>
        </w:rPr>
      </w:pPr>
      <w:r w:rsidRPr="00143228">
        <w:t>4.</w:t>
      </w:r>
      <w:r w:rsidRPr="00143228">
        <w:tab/>
        <w:t>Komisija (</w:t>
      </w:r>
      <w:proofErr w:type="spellStart"/>
      <w:r w:rsidRPr="00143228">
        <w:rPr>
          <w:i/>
          <w:iCs/>
        </w:rPr>
        <w:t>Eurostat</w:t>
      </w:r>
      <w:proofErr w:type="spellEnd"/>
      <w:r w:rsidRPr="00143228">
        <w:t xml:space="preserve">) un dalībvalstis, izmantojot izmēģinājuma pētījumus, pārbauda un novērtē </w:t>
      </w:r>
      <w:r w:rsidRPr="00143228">
        <w:rPr>
          <w:b/>
          <w:i/>
        </w:rPr>
        <w:t>datu kopīgošanas infrastruktūru</w:t>
      </w:r>
      <w:r w:rsidRPr="00143228">
        <w:t xml:space="preserve"> un attiecīgo privātuma aizsardzības tehnoloģiju piemērotību datu kopīgošanai.</w:t>
      </w:r>
    </w:p>
    <w:p w:rsidR="00C37615" w:rsidRPr="00143228" w:rsidRDefault="00C37615" w:rsidP="00C37615">
      <w:pPr>
        <w:spacing w:before="120" w:after="120" w:line="360" w:lineRule="auto"/>
        <w:ind w:left="850" w:hanging="850"/>
        <w:rPr>
          <w:szCs w:val="24"/>
        </w:rPr>
      </w:pPr>
      <w:r w:rsidRPr="00143228">
        <w:t>5.</w:t>
      </w:r>
      <w:r w:rsidRPr="00143228">
        <w:tab/>
        <w:t>Ja šā panta 4. punktā minētajos izmēģinājuma pētījumos ir apzināti efektīvi un droši datu kopīgošanas risinājumi šā panta 1. punktā minētajiem mērķiem, Komisija var pieņemt īstenošanas aktus, ar kuriem nosaka tehniskās specifikācijas datu kopīgošanai un pasākumus informācijas konfidencialitātei un drošībai. Minētos īstenošanas aktus pieņem saskaņā ar pārbaudes procedūru, kas minēta 18. panta 2. punktā.</w:t>
      </w:r>
    </w:p>
    <w:p w:rsidR="00C37615" w:rsidRPr="00143228" w:rsidRDefault="00C37615" w:rsidP="00C37615">
      <w:pPr>
        <w:spacing w:before="120" w:after="120" w:line="360" w:lineRule="auto"/>
        <w:jc w:val="center"/>
        <w:rPr>
          <w:szCs w:val="24"/>
        </w:rPr>
      </w:pPr>
      <w:r w:rsidRPr="00143228">
        <w:t>14. pants</w:t>
      </w:r>
      <w:r w:rsidRPr="00143228">
        <w:br/>
        <w:t xml:space="preserve">Izmēģinājuma pētījumi un </w:t>
      </w:r>
      <w:proofErr w:type="spellStart"/>
      <w:r w:rsidRPr="00143228">
        <w:t>priekšizpēte</w:t>
      </w:r>
      <w:proofErr w:type="spellEnd"/>
    </w:p>
    <w:p w:rsidR="00C37615" w:rsidRPr="00143228" w:rsidRDefault="00C37615" w:rsidP="00C37615">
      <w:pPr>
        <w:spacing w:before="120" w:after="120" w:line="360" w:lineRule="auto"/>
        <w:ind w:left="850" w:hanging="850"/>
        <w:rPr>
          <w:szCs w:val="24"/>
        </w:rPr>
      </w:pPr>
      <w:r w:rsidRPr="00143228">
        <w:t>1.</w:t>
      </w:r>
      <w:r w:rsidRPr="00143228">
        <w:tab/>
        <w:t>Komisija (</w:t>
      </w:r>
      <w:proofErr w:type="spellStart"/>
      <w:r w:rsidRPr="00143228">
        <w:rPr>
          <w:i/>
          <w:iCs/>
        </w:rPr>
        <w:t>Eurostat</w:t>
      </w:r>
      <w:proofErr w:type="spellEnd"/>
      <w:r w:rsidRPr="00143228">
        <w:t xml:space="preserve">), ja tas ir nepieciešams un lietderīgi šīs regulas mērķiem, sāk izmēģinājuma pētījumus un </w:t>
      </w:r>
      <w:proofErr w:type="spellStart"/>
      <w:r w:rsidRPr="00143228">
        <w:t>priekšizpēti</w:t>
      </w:r>
      <w:proofErr w:type="spellEnd"/>
      <w:r w:rsidRPr="00143228">
        <w:t>, kuru mērķis ir:</w:t>
      </w:r>
    </w:p>
    <w:p w:rsidR="00C37615" w:rsidRPr="00143228" w:rsidRDefault="00C37615" w:rsidP="00C37615">
      <w:pPr>
        <w:spacing w:before="120" w:after="120" w:line="360" w:lineRule="auto"/>
        <w:ind w:left="1416" w:hanging="566"/>
        <w:rPr>
          <w:szCs w:val="24"/>
        </w:rPr>
      </w:pPr>
      <w:r w:rsidRPr="00143228">
        <w:t>a)</w:t>
      </w:r>
      <w:r w:rsidRPr="00143228">
        <w:tab/>
        <w:t>novērtēt datu avotu, tostarp publiski un privāti glabātu datu, pieejamību un kvalitāti dalībvalstīs un Savienības līmenī;</w:t>
      </w:r>
    </w:p>
    <w:p w:rsidR="00C37615" w:rsidRPr="00143228" w:rsidRDefault="00C37615" w:rsidP="00C37615">
      <w:pPr>
        <w:spacing w:before="120" w:after="120" w:line="360" w:lineRule="auto"/>
        <w:ind w:left="1416" w:hanging="566"/>
        <w:rPr>
          <w:szCs w:val="24"/>
        </w:rPr>
      </w:pPr>
      <w:r w:rsidRPr="00143228">
        <w:t>b)</w:t>
      </w:r>
      <w:r w:rsidRPr="00143228">
        <w:tab/>
        <w:t xml:space="preserve">izstrādāt un novērtēt jaunu ▌detalizēto tematu, statistikas vienību, mainīgo lielumu un to dalījumu </w:t>
      </w:r>
      <w:proofErr w:type="spellStart"/>
      <w:r w:rsidRPr="00143228">
        <w:t>īstenojamību</w:t>
      </w:r>
      <w:proofErr w:type="spellEnd"/>
      <w:r w:rsidRPr="00143228">
        <w:t>;</w:t>
      </w:r>
    </w:p>
    <w:p w:rsidR="00C37615" w:rsidRPr="00143228" w:rsidRDefault="00C37615" w:rsidP="00C37615">
      <w:pPr>
        <w:spacing w:before="120" w:after="120" w:line="360" w:lineRule="auto"/>
        <w:ind w:left="1416" w:hanging="566"/>
        <w:rPr>
          <w:szCs w:val="24"/>
        </w:rPr>
      </w:pPr>
      <w:proofErr w:type="spellStart"/>
      <w:r w:rsidRPr="00143228">
        <w:rPr>
          <w:b/>
          <w:i/>
        </w:rPr>
        <w:t>ba</w:t>
      </w:r>
      <w:proofErr w:type="spellEnd"/>
      <w:r w:rsidRPr="00143228">
        <w:rPr>
          <w:b/>
          <w:i/>
        </w:rPr>
        <w:t>)</w:t>
      </w:r>
      <w:r w:rsidRPr="00143228">
        <w:tab/>
      </w:r>
      <w:r w:rsidRPr="00143228">
        <w:rPr>
          <w:b/>
          <w:i/>
        </w:rPr>
        <w:t>izvērtēt datu avotu pieejamību un uzlabot metodes statistikas nodrošināšanai par personu invaliditāti un pārbaudīt statistikas sadalījumu, tostarp tās salīdzināmību, saskaņā ar valsts tiesību aktiem un praksi datu aizsardzības un izpaušanas kontroles jomā;</w:t>
      </w:r>
    </w:p>
    <w:p w:rsidR="00C37615" w:rsidRPr="00143228" w:rsidRDefault="00C37615" w:rsidP="00C37615">
      <w:pPr>
        <w:spacing w:before="120" w:after="120" w:line="360" w:lineRule="auto"/>
        <w:ind w:left="1416" w:hanging="566"/>
        <w:rPr>
          <w:szCs w:val="24"/>
        </w:rPr>
      </w:pPr>
      <w:r w:rsidRPr="00143228">
        <w:t>c)</w:t>
      </w:r>
      <w:r w:rsidRPr="00143228">
        <w:tab/>
        <w:t xml:space="preserve">izstrādāt jaunas metodikas un statistikas paņēmienus kvalitātes stiprināšanai </w:t>
      </w:r>
      <w:r w:rsidRPr="00143228">
        <w:rPr>
          <w:b/>
          <w:i/>
        </w:rPr>
        <w:t>un uzlabot informāciju par grūti sasniedzamām iedzīvotāju kategorijām</w:t>
      </w:r>
      <w:r w:rsidRPr="00143228">
        <w:t>;</w:t>
      </w:r>
    </w:p>
    <w:p w:rsidR="00C37615" w:rsidRPr="00143228" w:rsidRDefault="00C37615" w:rsidP="00C37615">
      <w:pPr>
        <w:spacing w:before="120" w:after="120" w:line="360" w:lineRule="auto"/>
        <w:ind w:left="1416" w:hanging="566"/>
        <w:rPr>
          <w:szCs w:val="24"/>
        </w:rPr>
      </w:pPr>
      <w:r w:rsidRPr="00143228">
        <w:lastRenderedPageBreak/>
        <w:t>d)</w:t>
      </w:r>
      <w:r w:rsidRPr="00143228">
        <w:tab/>
        <w:t xml:space="preserve">samazināt </w:t>
      </w:r>
      <w:r w:rsidRPr="00143228">
        <w:rPr>
          <w:b/>
          <w:i/>
        </w:rPr>
        <w:t>neatbilstību datos par</w:t>
      </w:r>
      <w:r w:rsidRPr="00143228">
        <w:t xml:space="preserve"> migrācijas </w:t>
      </w:r>
      <w:r w:rsidRPr="00143228">
        <w:rPr>
          <w:b/>
          <w:i/>
        </w:rPr>
        <w:t>plūsmām un nodrošināt to labāku salīdzināmību</w:t>
      </w:r>
      <w:r w:rsidRPr="00143228">
        <w:t>;</w:t>
      </w:r>
    </w:p>
    <w:p w:rsidR="00C37615" w:rsidRPr="00143228" w:rsidRDefault="00C37615" w:rsidP="00C37615">
      <w:pPr>
        <w:spacing w:before="120" w:after="120" w:line="360" w:lineRule="auto"/>
        <w:ind w:left="1416" w:hanging="566"/>
        <w:rPr>
          <w:szCs w:val="24"/>
        </w:rPr>
      </w:pPr>
      <w:proofErr w:type="spellStart"/>
      <w:r w:rsidRPr="00143228">
        <w:rPr>
          <w:b/>
          <w:i/>
        </w:rPr>
        <w:t>da</w:t>
      </w:r>
      <w:proofErr w:type="spellEnd"/>
      <w:r w:rsidRPr="00143228">
        <w:rPr>
          <w:b/>
          <w:i/>
        </w:rPr>
        <w:t>)</w:t>
      </w:r>
      <w:r w:rsidRPr="00143228">
        <w:tab/>
      </w:r>
      <w:r w:rsidRPr="00143228">
        <w:rPr>
          <w:b/>
          <w:i/>
        </w:rPr>
        <w:t xml:space="preserve">samazināt iespējamo nepietiekamo personu uzskaiti vai </w:t>
      </w:r>
      <w:proofErr w:type="spellStart"/>
      <w:r w:rsidRPr="00143228">
        <w:rPr>
          <w:b/>
          <w:i/>
        </w:rPr>
        <w:t>dubultuzskaiti</w:t>
      </w:r>
      <w:proofErr w:type="spellEnd"/>
      <w:r w:rsidRPr="00143228">
        <w:rPr>
          <w:b/>
          <w:i/>
        </w:rPr>
        <w:t>;</w:t>
      </w:r>
    </w:p>
    <w:p w:rsidR="00C37615" w:rsidRPr="00143228" w:rsidRDefault="00C37615" w:rsidP="00C37615">
      <w:pPr>
        <w:spacing w:before="120" w:after="120" w:line="360" w:lineRule="auto"/>
        <w:ind w:left="1416" w:hanging="566"/>
        <w:rPr>
          <w:szCs w:val="24"/>
        </w:rPr>
      </w:pPr>
      <w:r w:rsidRPr="00143228">
        <w:t>e)</w:t>
      </w:r>
      <w:r w:rsidRPr="00143228">
        <w:tab/>
        <w:t xml:space="preserve">testēt un novērtēt </w:t>
      </w:r>
      <w:r w:rsidRPr="00143228">
        <w:rPr>
          <w:b/>
          <w:i/>
        </w:rPr>
        <w:t>datu kopīgošanas infrastruktūras un</w:t>
      </w:r>
      <w:r w:rsidRPr="00143228">
        <w:t xml:space="preserve"> attiecīgo privātuma aizsardzības tehnoloģiju piemērotību drošai datu kopīgošanai Eiropas Statistikas sistēmā saskaņā ar 13. panta 4. punktu.</w:t>
      </w:r>
    </w:p>
    <w:p w:rsidR="00C37615" w:rsidRPr="00143228" w:rsidRDefault="00C37615" w:rsidP="00C37615">
      <w:pPr>
        <w:spacing w:before="120" w:after="120" w:line="360" w:lineRule="auto"/>
        <w:ind w:left="850" w:hanging="850"/>
        <w:rPr>
          <w:szCs w:val="24"/>
        </w:rPr>
      </w:pPr>
      <w:r w:rsidRPr="00143228">
        <w:t>2.</w:t>
      </w:r>
      <w:r w:rsidRPr="00143228">
        <w:tab/>
        <w:t>Dalībvalstis var piedalīties minētajos pētījumos, bet kopā ar Komisiju (</w:t>
      </w:r>
      <w:proofErr w:type="spellStart"/>
      <w:r w:rsidRPr="00143228">
        <w:rPr>
          <w:i/>
          <w:iCs/>
        </w:rPr>
        <w:t>Eurostat</w:t>
      </w:r>
      <w:proofErr w:type="spellEnd"/>
      <w:r w:rsidRPr="00143228">
        <w:t>) nodrošina minēto pētījumu reprezentativitāti Savienības līmenī.</w:t>
      </w:r>
    </w:p>
    <w:p w:rsidR="00C37615" w:rsidRPr="00143228" w:rsidRDefault="00C37615" w:rsidP="00C37615">
      <w:pPr>
        <w:spacing w:before="120" w:after="120" w:line="360" w:lineRule="auto"/>
        <w:ind w:left="850" w:hanging="850"/>
        <w:rPr>
          <w:szCs w:val="24"/>
        </w:rPr>
      </w:pPr>
      <w:r w:rsidRPr="00143228">
        <w:t>3.</w:t>
      </w:r>
      <w:r w:rsidRPr="00143228">
        <w:tab/>
        <w:t>Komisija (</w:t>
      </w:r>
      <w:proofErr w:type="spellStart"/>
      <w:r w:rsidRPr="00143228">
        <w:rPr>
          <w:i/>
          <w:iCs/>
        </w:rPr>
        <w:t>Eurostat</w:t>
      </w:r>
      <w:proofErr w:type="spellEnd"/>
      <w:r w:rsidRPr="00143228">
        <w:t>) sadarbībā ar dalībvalstīm izvērtē šo pētījumu rezultātus. Komisija (</w:t>
      </w:r>
      <w:proofErr w:type="spellStart"/>
      <w:r w:rsidRPr="00143228">
        <w:rPr>
          <w:i/>
          <w:iCs/>
        </w:rPr>
        <w:t>Eurostat</w:t>
      </w:r>
      <w:proofErr w:type="spellEnd"/>
      <w:r w:rsidRPr="00143228">
        <w:t>) sadarbībā ar dalībvalstīm sagatavo ziņojumus par minēto pētījumu konstatējumiem.</w:t>
      </w:r>
    </w:p>
    <w:p w:rsidR="00C37615" w:rsidRPr="00143228" w:rsidRDefault="00C37615" w:rsidP="00C37615">
      <w:pPr>
        <w:spacing w:before="120" w:after="120" w:line="360" w:lineRule="auto"/>
        <w:jc w:val="center"/>
        <w:rPr>
          <w:szCs w:val="24"/>
        </w:rPr>
      </w:pPr>
      <w:r w:rsidRPr="00143228">
        <w:t>15. pants</w:t>
      </w:r>
      <w:r w:rsidRPr="00143228">
        <w:br/>
        <w:t>Finansējums</w:t>
      </w:r>
    </w:p>
    <w:p w:rsidR="00C37615" w:rsidRPr="00143228" w:rsidRDefault="00C37615" w:rsidP="00C37615">
      <w:pPr>
        <w:spacing w:before="120" w:after="120" w:line="360" w:lineRule="auto"/>
        <w:ind w:left="850" w:hanging="850"/>
        <w:rPr>
          <w:szCs w:val="24"/>
        </w:rPr>
      </w:pPr>
      <w:r w:rsidRPr="00143228">
        <w:t>1.</w:t>
      </w:r>
      <w:r w:rsidRPr="00143228">
        <w:tab/>
        <w:t>Šīs regulas īstenošanas vajadzībām Regulas (EK) Nr. 223/2009 5. panta 2. punktā minētajām valsts statistikas iestādēm</w:t>
      </w:r>
      <w:r w:rsidRPr="00143228">
        <w:rPr>
          <w:b/>
          <w:i/>
        </w:rPr>
        <w:t xml:space="preserve">, ievērojot Regulu (ES, Euratom) 2018/1046, tiek darīts pieejams finansiālais atbalsts no Vienotā tirgus programmas, kas izveidota ar Regulu </w:t>
      </w:r>
      <w:r w:rsidR="00F104EE">
        <w:rPr>
          <w:b/>
          <w:i/>
        </w:rPr>
        <w:t xml:space="preserve">(ES) </w:t>
      </w:r>
      <w:r w:rsidRPr="00143228">
        <w:rPr>
          <w:b/>
          <w:i/>
        </w:rPr>
        <w:t>2021/690, šādiem mērķiem</w:t>
      </w:r>
      <w:r w:rsidRPr="00143228">
        <w:t>:</w:t>
      </w:r>
    </w:p>
    <w:p w:rsidR="00C37615" w:rsidRPr="00143228" w:rsidRDefault="00C37615" w:rsidP="00C37615">
      <w:pPr>
        <w:spacing w:before="120" w:after="120" w:line="360" w:lineRule="auto"/>
        <w:ind w:left="1416" w:hanging="566"/>
        <w:rPr>
          <w:szCs w:val="24"/>
        </w:rPr>
      </w:pPr>
      <w:r w:rsidRPr="00143228">
        <w:t>a)</w:t>
      </w:r>
      <w:r w:rsidRPr="00143228">
        <w:tab/>
      </w:r>
      <w:r w:rsidRPr="00143228">
        <w:rPr>
          <w:b/>
          <w:i/>
        </w:rPr>
        <w:t>valsts statistikas sistēmas infrastruktūras pielāgošanai un apmācībai, kas nepieciešams</w:t>
      </w:r>
      <w:r w:rsidRPr="00143228">
        <w:t xml:space="preserve"> jaunu vai uzlabotu datu avotu, metodiku, datu kopīgošanas, statistikas vienību, tematu, detalizēto tematu, mainīgo lielumu un to dalījumu izstrādei un īstenošanai;</w:t>
      </w:r>
    </w:p>
    <w:p w:rsidR="00C37615" w:rsidRPr="00143228" w:rsidRDefault="00C37615" w:rsidP="00C37615">
      <w:pPr>
        <w:spacing w:before="120" w:after="120" w:line="360" w:lineRule="auto"/>
        <w:ind w:left="1416" w:hanging="566"/>
        <w:rPr>
          <w:szCs w:val="24"/>
        </w:rPr>
      </w:pPr>
      <w:proofErr w:type="spellStart"/>
      <w:r w:rsidRPr="00143228">
        <w:rPr>
          <w:b/>
          <w:i/>
        </w:rPr>
        <w:t>aa</w:t>
      </w:r>
      <w:proofErr w:type="spellEnd"/>
      <w:r w:rsidRPr="00143228">
        <w:rPr>
          <w:b/>
          <w:i/>
        </w:rPr>
        <w:t>)</w:t>
      </w:r>
      <w:r w:rsidRPr="00143228">
        <w:tab/>
      </w:r>
      <w:r w:rsidRPr="00143228">
        <w:rPr>
          <w:b/>
          <w:i/>
        </w:rPr>
        <w:t xml:space="preserve">7. pantā minētās </w:t>
      </w:r>
      <w:proofErr w:type="spellStart"/>
      <w:r w:rsidRPr="00143228">
        <w:rPr>
          <w:b/>
          <w:i/>
        </w:rPr>
        <w:t>ad</w:t>
      </w:r>
      <w:proofErr w:type="spellEnd"/>
      <w:r w:rsidRPr="00143228">
        <w:rPr>
          <w:b/>
          <w:i/>
        </w:rPr>
        <w:t xml:space="preserve"> </w:t>
      </w:r>
      <w:proofErr w:type="spellStart"/>
      <w:r w:rsidRPr="00143228">
        <w:rPr>
          <w:b/>
          <w:i/>
        </w:rPr>
        <w:t>hoc</w:t>
      </w:r>
      <w:proofErr w:type="spellEnd"/>
      <w:r w:rsidRPr="00143228">
        <w:rPr>
          <w:b/>
          <w:i/>
        </w:rPr>
        <w:t xml:space="preserve"> datu vākšanas sagatavošanai un īstenošanai;</w:t>
      </w:r>
    </w:p>
    <w:p w:rsidR="00C37615" w:rsidRPr="00143228" w:rsidRDefault="00C37615" w:rsidP="00C37615">
      <w:pPr>
        <w:spacing w:before="120" w:after="120" w:line="360" w:lineRule="auto"/>
        <w:ind w:left="1416" w:hanging="566"/>
        <w:rPr>
          <w:szCs w:val="24"/>
        </w:rPr>
      </w:pPr>
      <w:r w:rsidRPr="00143228">
        <w:t>b)</w:t>
      </w:r>
      <w:r w:rsidRPr="00143228">
        <w:tab/>
        <w:t xml:space="preserve">dalībvalstu dalībai 14. pantā minētajos reprezentatīvajos izmēģinājuma pētījumos un </w:t>
      </w:r>
      <w:proofErr w:type="spellStart"/>
      <w:r w:rsidRPr="00143228">
        <w:t>priekšizpētē</w:t>
      </w:r>
      <w:proofErr w:type="spellEnd"/>
      <w:r w:rsidRPr="00143228">
        <w:t>.</w:t>
      </w:r>
    </w:p>
    <w:p w:rsidR="00C37615" w:rsidRPr="00143228" w:rsidRDefault="00C37615" w:rsidP="00C37615">
      <w:pPr>
        <w:spacing w:before="120" w:after="120" w:line="360" w:lineRule="auto"/>
        <w:ind w:left="851" w:hanging="851"/>
        <w:rPr>
          <w:szCs w:val="24"/>
        </w:rPr>
      </w:pPr>
      <w:r w:rsidRPr="00143228">
        <w:rPr>
          <w:b/>
          <w:i/>
        </w:rPr>
        <w:t>1.a</w:t>
      </w:r>
      <w:r w:rsidRPr="00143228">
        <w:tab/>
      </w:r>
      <w:r w:rsidRPr="00143228">
        <w:rPr>
          <w:b/>
          <w:i/>
        </w:rPr>
        <w:t>Savienības finansiālā ieguldījuma apmēru, ko dara pieejamu saskaņā ar šo pantu, nosaka atbilstoši Vienotā tirgus programmas noteikumiem un ikgadējās budžeta procedūras ietvaros, ņemot vērā finansējuma pieejamību.</w:t>
      </w:r>
    </w:p>
    <w:p w:rsidR="00C37615" w:rsidRPr="00143228" w:rsidRDefault="00C37615" w:rsidP="00C37615">
      <w:pPr>
        <w:spacing w:before="120" w:after="120" w:line="360" w:lineRule="auto"/>
        <w:ind w:left="850"/>
        <w:rPr>
          <w:szCs w:val="24"/>
        </w:rPr>
      </w:pPr>
      <w:r w:rsidRPr="00143228">
        <w:rPr>
          <w:b/>
          <w:i/>
        </w:rPr>
        <w:t xml:space="preserve">Turklāt Regulas (EK) Nr. 223/2009 5. panta 2. punktā minētās valstu statistikas iestādes var pieteikties atbalsta saņemšanai no citām piemērojamām Eiropas Savienības programmām saskaņā ar attiecīgo programmu noteikumiem. </w:t>
      </w:r>
      <w:r w:rsidRPr="00143228">
        <w:rPr>
          <w:b/>
          <w:i/>
        </w:rPr>
        <w:lastRenderedPageBreak/>
        <w:t>Dalībvalstis var arī pieteikties atbalstam no tehniskā atbalsta instrumenta, lai uzlabotu statistikas kvalitāti un izstrādātu metodiku atbilstoši šīs regulas prasībām saskaņā ar tehniskā atbalsta instrumenta noteikumiem un tā mērķi veicināt datu un statistikas sagatavošanu, sniegšanu un kvalitātes uzraudzību.</w:t>
      </w:r>
    </w:p>
    <w:p w:rsidR="00C37615" w:rsidRPr="00143228" w:rsidRDefault="00C37615" w:rsidP="00C37615">
      <w:pPr>
        <w:spacing w:before="120" w:after="120" w:line="360" w:lineRule="auto"/>
        <w:ind w:left="850" w:hanging="850"/>
        <w:rPr>
          <w:szCs w:val="24"/>
        </w:rPr>
      </w:pPr>
      <w:r w:rsidRPr="00143228">
        <w:t>2.</w:t>
      </w:r>
      <w:r w:rsidRPr="00143228">
        <w:tab/>
        <w:t>Savienības finansiālais ieguldījums nepārsniedz 90 % no attiecināmajām izmaksām.</w:t>
      </w:r>
    </w:p>
    <w:p w:rsidR="00C37615" w:rsidRPr="00143228" w:rsidRDefault="00C37615" w:rsidP="00C37615">
      <w:pPr>
        <w:spacing w:before="120" w:after="120" w:line="360" w:lineRule="auto"/>
        <w:jc w:val="center"/>
        <w:rPr>
          <w:szCs w:val="24"/>
        </w:rPr>
      </w:pPr>
      <w:r w:rsidRPr="00143228">
        <w:t>16. pants</w:t>
      </w:r>
      <w:r w:rsidRPr="00143228">
        <w:br/>
        <w:t>Savienības finanšu interešu aizsardzība</w:t>
      </w:r>
    </w:p>
    <w:p w:rsidR="00C37615" w:rsidRPr="00143228" w:rsidRDefault="00C37615" w:rsidP="00C37615">
      <w:pPr>
        <w:spacing w:before="120" w:after="120" w:line="360" w:lineRule="auto"/>
        <w:rPr>
          <w:szCs w:val="24"/>
        </w:rPr>
      </w:pPr>
      <w:r w:rsidRPr="00143228">
        <w:t>Ja trešā valsts piedalās darbībās, ko finansē saskaņā ar šo regulu, ar lēmumu, kas pieņemts, ievērojot starptautisku nolīgumu vai pamatojoties uz kādu citu juridisku instrumentu, šī trešā valsts piešķir vajadzīgās tiesības un piekļuvi, lai atbildīgais kredītrīkotājs, Eiropas Birojs krāpšanas apkarošanai (</w:t>
      </w:r>
      <w:r w:rsidRPr="00143228">
        <w:rPr>
          <w:i/>
          <w:iCs/>
        </w:rPr>
        <w:t>OLAF</w:t>
      </w:r>
      <w:r w:rsidRPr="00143228">
        <w:t>), Revīzijas palāta un Eiropas Prokuratūra (</w:t>
      </w:r>
      <w:r w:rsidRPr="00143228">
        <w:rPr>
          <w:i/>
          <w:iCs/>
        </w:rPr>
        <w:t>EPPO</w:t>
      </w:r>
      <w:r w:rsidRPr="00143228">
        <w:t xml:space="preserve">) varētu visaptveroši īstenot savu attiecīgo kompetenci. </w:t>
      </w:r>
      <w:r w:rsidRPr="00143228">
        <w:rPr>
          <w:i/>
          <w:iCs/>
        </w:rPr>
        <w:t>OLAF</w:t>
      </w:r>
      <w:r w:rsidRPr="00143228">
        <w:t xml:space="preserve"> gadījumā šādas tiesības ietver tiesības veikt izmeklēšanu, tostarp pārbaudes uz vietas un inspekcijas, kā paredzēts Regulā (ES, Euratom) Nr. 883/2013.</w:t>
      </w:r>
    </w:p>
    <w:p w:rsidR="00C37615" w:rsidRPr="00143228" w:rsidRDefault="00C37615" w:rsidP="00C37615">
      <w:pPr>
        <w:spacing w:before="120" w:after="120" w:line="360" w:lineRule="auto"/>
        <w:jc w:val="center"/>
        <w:rPr>
          <w:szCs w:val="24"/>
        </w:rPr>
      </w:pPr>
      <w:r w:rsidRPr="00143228">
        <w:t>17. pants</w:t>
      </w:r>
      <w:r w:rsidRPr="00143228">
        <w:br/>
        <w:t>Deleģēšanas īstenošana</w:t>
      </w:r>
    </w:p>
    <w:p w:rsidR="00C37615" w:rsidRPr="00143228" w:rsidRDefault="00C37615" w:rsidP="00C37615">
      <w:pPr>
        <w:spacing w:before="120" w:after="120" w:line="360" w:lineRule="auto"/>
        <w:ind w:left="850" w:hanging="850"/>
        <w:rPr>
          <w:szCs w:val="24"/>
        </w:rPr>
      </w:pPr>
      <w:r w:rsidRPr="00143228">
        <w:t>1.</w:t>
      </w:r>
      <w:r w:rsidRPr="00143228">
        <w:tab/>
        <w:t>Pilnvaras pieņemt deleģētos aktus Komisijai piešķir, ievērojot šajā pantā izklāstītos nosacījumus.</w:t>
      </w:r>
    </w:p>
    <w:p w:rsidR="00C37615" w:rsidRPr="00143228" w:rsidRDefault="00C37615" w:rsidP="00C37615">
      <w:pPr>
        <w:spacing w:before="120" w:after="120" w:line="360" w:lineRule="auto"/>
        <w:ind w:left="850" w:hanging="850"/>
        <w:rPr>
          <w:szCs w:val="24"/>
        </w:rPr>
      </w:pPr>
      <w:r w:rsidRPr="00143228">
        <w:t>2.</w:t>
      </w:r>
      <w:r w:rsidRPr="00143228">
        <w:tab/>
        <w:t>Pilnvaras pieņemt 5. panta 3. punktā, 6. panta 6. punktā un 7. panta 2. punktā minētos deleģētos aktus Komisijai piešķir uz nenoteiktu laiku no [Publikāciju birojs: lūdzu ierakstīt precīzu regulas spēkā stāšanās dienu].</w:t>
      </w:r>
    </w:p>
    <w:p w:rsidR="00C37615" w:rsidRPr="00143228" w:rsidRDefault="00C37615" w:rsidP="00C37615">
      <w:pPr>
        <w:spacing w:before="120" w:after="120" w:line="360" w:lineRule="auto"/>
        <w:ind w:left="850" w:hanging="850"/>
        <w:rPr>
          <w:szCs w:val="24"/>
        </w:rPr>
      </w:pPr>
      <w:r w:rsidRPr="00143228">
        <w:t>3.</w:t>
      </w:r>
      <w:r w:rsidRPr="00143228">
        <w:tab/>
        <w:t xml:space="preserve">Eiropas Parlaments vai Padome jebkurā laikā var atsaukt 5. panta 3. punktā, 6. panta 6. punktā un 7. panta 2. punktā minēto pilnvaru deleģēšanu. Ar lēmumu par atsaukšanu izbeidz tajā norādīto pilnvaru deleģēšanu. Lēmums stājas spēkā nākamajā dienā pēc tā publicēšanas </w:t>
      </w:r>
      <w:r w:rsidRPr="00143228">
        <w:rPr>
          <w:i/>
          <w:iCs/>
        </w:rPr>
        <w:t>Eiropas Savienības Oficiālajā Vēstnesī</w:t>
      </w:r>
      <w:r w:rsidRPr="00143228">
        <w:t xml:space="preserve"> vai arī vēlākā dienā, kas tajā norādīta. Tas neskar jau spēkā esošos deleģētos aktus.</w:t>
      </w:r>
    </w:p>
    <w:p w:rsidR="00C37615" w:rsidRPr="00143228" w:rsidRDefault="00C37615" w:rsidP="00C37615">
      <w:pPr>
        <w:spacing w:before="120" w:after="120" w:line="360" w:lineRule="auto"/>
        <w:ind w:left="850" w:hanging="850"/>
        <w:rPr>
          <w:szCs w:val="24"/>
        </w:rPr>
      </w:pPr>
      <w:r w:rsidRPr="00143228">
        <w:t>4.</w:t>
      </w:r>
      <w:r w:rsidRPr="00143228">
        <w:tab/>
        <w:t>Pirms deleģētā akta pieņemšanas Kom</w:t>
      </w:r>
      <w:bookmarkStart w:id="8" w:name="_GoBack"/>
      <w:bookmarkEnd w:id="8"/>
      <w:r w:rsidRPr="00143228">
        <w:t>isija apspriežas ar katras dalībvalsts ieceltajiem ekspertiem saskaņā ar principiem, kas noteikti 2016. gada 13. aprīļa Iestāžu nolīgumā par labāku likumdošanas procesu</w:t>
      </w:r>
      <w:r w:rsidRPr="00143228">
        <w:rPr>
          <w:b/>
          <w:i/>
        </w:rPr>
        <w:t>, un pastāvīgi informē Eiropas Parlamentu par veikto sagatavošanas darbu</w:t>
      </w:r>
      <w:r w:rsidRPr="00143228">
        <w:t>.</w:t>
      </w:r>
    </w:p>
    <w:p w:rsidR="00C37615" w:rsidRPr="00143228" w:rsidRDefault="00C37615" w:rsidP="00C37615">
      <w:pPr>
        <w:spacing w:before="120" w:after="120" w:line="360" w:lineRule="auto"/>
        <w:ind w:left="850" w:hanging="850"/>
        <w:rPr>
          <w:szCs w:val="24"/>
        </w:rPr>
      </w:pPr>
      <w:r w:rsidRPr="00143228">
        <w:t>5.</w:t>
      </w:r>
      <w:r w:rsidRPr="00143228">
        <w:tab/>
        <w:t xml:space="preserve">Tiklīdz Komisija pieņem deleģētu aktu, tā par to paziņo vienlaikus Eiropas </w:t>
      </w:r>
      <w:r w:rsidRPr="00143228">
        <w:lastRenderedPageBreak/>
        <w:t>Parlamentam un Padomei.</w:t>
      </w:r>
    </w:p>
    <w:p w:rsidR="00C37615" w:rsidRPr="00143228" w:rsidRDefault="00C37615" w:rsidP="00C37615">
      <w:pPr>
        <w:spacing w:before="120" w:after="120" w:line="360" w:lineRule="auto"/>
        <w:ind w:left="850" w:hanging="850"/>
        <w:rPr>
          <w:szCs w:val="24"/>
        </w:rPr>
      </w:pPr>
      <w:r w:rsidRPr="00143228">
        <w:t>6.</w:t>
      </w:r>
      <w:r w:rsidRPr="00143228">
        <w:tab/>
        <w:t>Saskaņā ar 5. panta 32. punktu, 6. panta 6. punktu vai 7. panta 2.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C37615" w:rsidRPr="00143228" w:rsidRDefault="00C37615" w:rsidP="00C37615">
      <w:pPr>
        <w:spacing w:before="120" w:after="120" w:line="360" w:lineRule="auto"/>
        <w:jc w:val="center"/>
        <w:rPr>
          <w:szCs w:val="24"/>
        </w:rPr>
      </w:pPr>
      <w:r w:rsidRPr="00143228">
        <w:t>18. pants</w:t>
      </w:r>
      <w:r w:rsidRPr="00143228">
        <w:br/>
        <w:t>Komiteju procedūra</w:t>
      </w:r>
    </w:p>
    <w:p w:rsidR="00C37615" w:rsidRPr="00143228" w:rsidRDefault="00C37615" w:rsidP="00C37615">
      <w:pPr>
        <w:spacing w:before="120" w:after="120" w:line="360" w:lineRule="auto"/>
        <w:ind w:left="850" w:hanging="850"/>
        <w:rPr>
          <w:szCs w:val="24"/>
        </w:rPr>
      </w:pPr>
      <w:r w:rsidRPr="00143228">
        <w:t>1.</w:t>
      </w:r>
      <w:r w:rsidRPr="00143228">
        <w:tab/>
        <w:t>Komisijai palīdz Eiropas Statistikas sistēmas komiteja, kas izveidota ar Regulas (EK) Nr. 223/2009 7. pantu. Minētā komiteja ir komiteja Regulas (ES) Nr. 182/2011 nozīmē.</w:t>
      </w:r>
    </w:p>
    <w:p w:rsidR="00C37615" w:rsidRPr="00143228" w:rsidRDefault="00C37615" w:rsidP="00C37615">
      <w:pPr>
        <w:spacing w:before="120" w:after="120" w:line="360" w:lineRule="auto"/>
        <w:ind w:left="850" w:hanging="850"/>
        <w:rPr>
          <w:szCs w:val="24"/>
        </w:rPr>
      </w:pPr>
      <w:r w:rsidRPr="00143228">
        <w:t>2.</w:t>
      </w:r>
      <w:r w:rsidRPr="00143228">
        <w:tab/>
        <w:t>Ja ir atsauce uz šo punktu, piemēro Regulas (ES) Nr. 182/2011 5. pantu.</w:t>
      </w:r>
    </w:p>
    <w:p w:rsidR="00C37615" w:rsidRPr="00143228" w:rsidRDefault="00C37615" w:rsidP="00C37615">
      <w:pPr>
        <w:spacing w:before="120" w:after="120" w:line="360" w:lineRule="auto"/>
        <w:jc w:val="center"/>
        <w:rPr>
          <w:szCs w:val="24"/>
        </w:rPr>
      </w:pPr>
      <w:r w:rsidRPr="00143228">
        <w:t>19. pants</w:t>
      </w:r>
      <w:r w:rsidRPr="00143228">
        <w:br/>
        <w:t>Atkāpes</w:t>
      </w:r>
    </w:p>
    <w:p w:rsidR="00C37615" w:rsidRPr="00143228" w:rsidRDefault="00C37615" w:rsidP="00C37615">
      <w:pPr>
        <w:spacing w:before="120" w:after="120" w:line="360" w:lineRule="auto"/>
        <w:ind w:left="850" w:hanging="850"/>
        <w:rPr>
          <w:szCs w:val="24"/>
        </w:rPr>
      </w:pPr>
      <w:r w:rsidRPr="00143228">
        <w:t>1.</w:t>
      </w:r>
      <w:r w:rsidRPr="00143228">
        <w:tab/>
        <w:t xml:space="preserve">Ja šīs regulas ▌piemērošanai dalībvalsts statistikas sistēmā ir jāveic būtiski pielāgojumi, Komisija ar īstenošanas aktiem var piešķirt </w:t>
      </w:r>
      <w:r w:rsidRPr="00143228">
        <w:rPr>
          <w:b/>
          <w:i/>
        </w:rPr>
        <w:t>šai</w:t>
      </w:r>
      <w:r w:rsidRPr="00143228">
        <w:t xml:space="preserve"> dalībvalstij atkāpes uz laiku, kas nepārsniedz </w:t>
      </w:r>
      <w:r w:rsidRPr="00143228">
        <w:rPr>
          <w:b/>
          <w:i/>
        </w:rPr>
        <w:t>septiņus</w:t>
      </w:r>
      <w:r w:rsidRPr="00143228">
        <w:t xml:space="preserve"> gadus.</w:t>
      </w:r>
    </w:p>
    <w:p w:rsidR="00C37615" w:rsidRPr="00143228" w:rsidRDefault="00C37615" w:rsidP="00C37615">
      <w:pPr>
        <w:spacing w:before="120" w:after="120" w:line="360" w:lineRule="auto"/>
        <w:ind w:left="850" w:hanging="850"/>
        <w:rPr>
          <w:szCs w:val="24"/>
        </w:rPr>
      </w:pPr>
      <w:r w:rsidRPr="00143228">
        <w:rPr>
          <w:b/>
          <w:i/>
        </w:rPr>
        <w:t>1.a</w:t>
      </w:r>
      <w:r w:rsidRPr="00143228">
        <w:tab/>
      </w:r>
      <w:r w:rsidRPr="00143228">
        <w:rPr>
          <w:b/>
          <w:i/>
        </w:rPr>
        <w:t xml:space="preserve">Ja saskaņā ar šo regulu pieņemti deleģētie vai īstenošanas akti liek veikt būtiskus pielāgojumus dalībvalsts statistikas sistēmā, Komisija, izmantojot īstenošanas aktus, var piešķirt šai dalībvalstij atkāpes uz laiku, kas nepārsniedz trīs gadus. </w:t>
      </w:r>
    </w:p>
    <w:p w:rsidR="00C37615" w:rsidRPr="00143228" w:rsidRDefault="00C37615" w:rsidP="00C37615">
      <w:pPr>
        <w:spacing w:before="120" w:after="120" w:line="360" w:lineRule="auto"/>
        <w:ind w:left="850" w:hanging="850"/>
        <w:rPr>
          <w:szCs w:val="24"/>
        </w:rPr>
      </w:pPr>
      <w:r w:rsidRPr="00143228">
        <w:t>2.</w:t>
      </w:r>
      <w:r w:rsidRPr="00143228">
        <w:tab/>
        <w:t>Piešķirot atkāpes saskaņā ar šā panta 1. punktu, Komisija ņem vērā dalībvalstu statistikas salīdzināmību un vajadzīgo reprezentatīvo un uzticamo Eiropas datu apkopojumu savlaicīgu aprēķināšanu. Piešķirot atkāpes, Komisija arī nodrošina, ka prasības attiecībā uz statistiku, metadatiem un kvalitāti, uz kurām attiecas šī regula un uz kurām iepriekš attiecās Regula (ES) Nr. 1260/2013 vai Regulas (EK) Nr. 862/2007 3. pants, tiek turpinātas bez pārtraukuma.</w:t>
      </w:r>
    </w:p>
    <w:p w:rsidR="00C37615" w:rsidRPr="00143228" w:rsidRDefault="00C37615" w:rsidP="00C37615">
      <w:pPr>
        <w:spacing w:before="120" w:after="120" w:line="360" w:lineRule="auto"/>
        <w:ind w:left="850" w:hanging="850"/>
        <w:rPr>
          <w:szCs w:val="24"/>
        </w:rPr>
      </w:pPr>
      <w:r w:rsidRPr="00143228">
        <w:t>3.</w:t>
      </w:r>
      <w:r w:rsidRPr="00143228">
        <w:tab/>
        <w:t>Dalībvalsts divos mēnešos pēc attiecīgā akta spēkā stāšanās dienas iesniedz Komisijai pienācīgi pamatotu pieprasījumu atkāpes piešķiršanai.</w:t>
      </w:r>
    </w:p>
    <w:p w:rsidR="00C37615" w:rsidRPr="00143228" w:rsidRDefault="00C37615" w:rsidP="00C37615">
      <w:pPr>
        <w:spacing w:before="120" w:after="120" w:line="360" w:lineRule="auto"/>
        <w:ind w:left="850" w:hanging="850"/>
        <w:rPr>
          <w:szCs w:val="24"/>
        </w:rPr>
      </w:pPr>
      <w:r w:rsidRPr="00143228">
        <w:t>4.</w:t>
      </w:r>
      <w:r w:rsidRPr="00143228">
        <w:tab/>
        <w:t xml:space="preserve">Komisija pieņem šā panta 1., </w:t>
      </w:r>
      <w:r w:rsidRPr="00143228">
        <w:rPr>
          <w:b/>
          <w:i/>
        </w:rPr>
        <w:t>1.a un 3. </w:t>
      </w:r>
      <w:r w:rsidRPr="00143228">
        <w:t xml:space="preserve">punktā minētos īstenošanas aktus saskaņā ar </w:t>
      </w:r>
      <w:r w:rsidRPr="00143228">
        <w:lastRenderedPageBreak/>
        <w:t>pārbaudes procedūru, kas minēta 18. panta 2. punktā.</w:t>
      </w:r>
    </w:p>
    <w:p w:rsidR="00C37615" w:rsidRPr="00143228" w:rsidRDefault="00C37615" w:rsidP="00C37615">
      <w:pPr>
        <w:spacing w:before="120" w:after="120" w:line="360" w:lineRule="auto"/>
        <w:jc w:val="center"/>
        <w:rPr>
          <w:szCs w:val="24"/>
        </w:rPr>
      </w:pPr>
      <w:r w:rsidRPr="00143228">
        <w:t>20. pants</w:t>
      </w:r>
      <w:r w:rsidRPr="00143228">
        <w:br/>
        <w:t>Grozījumi Regulā (EK) Nr. 862/2007</w:t>
      </w:r>
    </w:p>
    <w:p w:rsidR="00C37615" w:rsidRPr="00143228" w:rsidRDefault="00C37615" w:rsidP="00C37615">
      <w:pPr>
        <w:spacing w:before="120" w:after="120" w:line="360" w:lineRule="auto"/>
        <w:rPr>
          <w:szCs w:val="24"/>
        </w:rPr>
      </w:pPr>
      <w:r w:rsidRPr="00143228">
        <w:t>Regulu (EK) Nr. 862/2007 groza šādi:</w:t>
      </w:r>
    </w:p>
    <w:p w:rsidR="00C37615" w:rsidRPr="00143228" w:rsidRDefault="00C37615" w:rsidP="00C37615">
      <w:pPr>
        <w:spacing w:before="120" w:after="120" w:line="360" w:lineRule="auto"/>
        <w:ind w:left="850" w:hanging="850"/>
        <w:rPr>
          <w:szCs w:val="24"/>
        </w:rPr>
      </w:pPr>
      <w:r w:rsidRPr="00143228">
        <w:t>(1)</w:t>
      </w:r>
      <w:r w:rsidRPr="00143228">
        <w:tab/>
        <w:t>regulas nosaukumu aizstāj ar šādu: “Regula (EK) Nr. 862/2007 (2007. gada 11. jūlijs) par Eiropas statistiku attiecībā uz patvērumu un administratīvajām un juridiskajām procedūrām saistībā ar imigrācijas tiesību aktiem un ar ko atceļ Padomes Regulu (EEK) Nr. 311/76 attiecībā uz statistikas vākšanu par ārvalstu darba ņēmējiem”;</w:t>
      </w:r>
    </w:p>
    <w:p w:rsidR="00C37615" w:rsidRPr="00143228" w:rsidRDefault="00C37615" w:rsidP="00C37615">
      <w:pPr>
        <w:spacing w:before="120" w:after="120" w:line="360" w:lineRule="auto"/>
        <w:ind w:left="850" w:hanging="850"/>
        <w:rPr>
          <w:szCs w:val="24"/>
        </w:rPr>
      </w:pPr>
      <w:r w:rsidRPr="00143228">
        <w:t>(2)</w:t>
      </w:r>
      <w:r w:rsidRPr="00143228">
        <w:tab/>
        <w:t>regulas 1. panta a) un b) apakšpunktu svītro;</w:t>
      </w:r>
    </w:p>
    <w:p w:rsidR="00C37615" w:rsidRPr="00143228" w:rsidRDefault="00C37615" w:rsidP="00C37615">
      <w:pPr>
        <w:spacing w:before="120" w:after="120" w:line="360" w:lineRule="auto"/>
        <w:ind w:left="850" w:hanging="850"/>
        <w:rPr>
          <w:szCs w:val="24"/>
        </w:rPr>
      </w:pPr>
      <w:r w:rsidRPr="00143228">
        <w:t>(3)</w:t>
      </w:r>
      <w:r w:rsidRPr="00143228">
        <w:tab/>
        <w:t>regulas 2. panta 1. punkta a), b), c), f) un g) apakšpunktu svītro;</w:t>
      </w:r>
    </w:p>
    <w:p w:rsidR="00C37615" w:rsidRPr="00143228" w:rsidRDefault="00C37615" w:rsidP="00C37615">
      <w:pPr>
        <w:spacing w:before="120" w:after="120" w:line="360" w:lineRule="auto"/>
        <w:ind w:left="850" w:hanging="850"/>
        <w:rPr>
          <w:b/>
          <w:i/>
          <w:szCs w:val="24"/>
        </w:rPr>
      </w:pPr>
      <w:r w:rsidRPr="00143228">
        <w:rPr>
          <w:b/>
          <w:i/>
        </w:rPr>
        <w:t>(3a)</w:t>
      </w:r>
      <w:r w:rsidRPr="00143228">
        <w:tab/>
      </w:r>
      <w:r w:rsidRPr="00143228">
        <w:rPr>
          <w:b/>
          <w:i/>
        </w:rPr>
        <w:t xml:space="preserve">regulas 2. panta 1. punkta d) apakšpunktu aizstāj ar šādu: </w:t>
      </w:r>
    </w:p>
    <w:p w:rsidR="00C37615" w:rsidRPr="00143228" w:rsidRDefault="00C37615" w:rsidP="00C37615">
      <w:pPr>
        <w:spacing w:before="120" w:after="120" w:line="360" w:lineRule="auto"/>
        <w:ind w:left="850"/>
        <w:rPr>
          <w:szCs w:val="24"/>
        </w:rPr>
      </w:pPr>
      <w:r w:rsidRPr="00143228">
        <w:rPr>
          <w:b/>
          <w:i/>
        </w:rPr>
        <w:t>“d)</w:t>
      </w:r>
      <w:r w:rsidRPr="00143228">
        <w:rPr>
          <w:b/>
          <w:i/>
        </w:rPr>
        <w:tab/>
        <w:t>“pilsonība” ir pilsonība atbilstoši definīcijai Eiropas Parlamenta un Padomes Regulas (ES) .../... 2. panta 1. punktā</w:t>
      </w:r>
      <w:r w:rsidRPr="00143228">
        <w:rPr>
          <w:vertAlign w:val="superscript"/>
        </w:rPr>
        <w:t>*</w:t>
      </w:r>
      <w:r w:rsidRPr="00143228">
        <w:rPr>
          <w:noProof/>
          <w:w w:val="0"/>
          <w:szCs w:val="24"/>
          <w:vertAlign w:val="superscript"/>
          <w:lang w:eastAsia="en-US"/>
        </w:rPr>
        <w:footnoteReference w:customMarkFollows="1" w:id="33"/>
        <w:t>+</w:t>
      </w:r>
      <w:r w:rsidRPr="00143228">
        <w:rPr>
          <w:b/>
          <w:i/>
        </w:rPr>
        <w:t>”;</w:t>
      </w:r>
    </w:p>
    <w:p w:rsidR="00C37615" w:rsidRPr="00143228" w:rsidRDefault="00C37615" w:rsidP="00C37615">
      <w:pPr>
        <w:spacing w:before="120" w:after="120" w:line="360" w:lineRule="auto"/>
        <w:ind w:left="850" w:hanging="850"/>
        <w:rPr>
          <w:szCs w:val="24"/>
        </w:rPr>
      </w:pPr>
      <w:r w:rsidRPr="00143228">
        <w:t>(4)</w:t>
      </w:r>
      <w:r w:rsidRPr="00143228">
        <w:tab/>
        <w:t>regulas 3. pantu svītro;</w:t>
      </w:r>
    </w:p>
    <w:p w:rsidR="00C37615" w:rsidRPr="00143228" w:rsidRDefault="00C37615" w:rsidP="00C37615">
      <w:pPr>
        <w:spacing w:before="120" w:after="120" w:line="360" w:lineRule="auto"/>
        <w:ind w:left="850" w:hanging="850"/>
        <w:rPr>
          <w:szCs w:val="24"/>
        </w:rPr>
      </w:pPr>
      <w:r w:rsidRPr="00143228">
        <w:t>(5)</w:t>
      </w:r>
      <w:r w:rsidRPr="00143228">
        <w:tab/>
        <w:t>regulā iekļauj šādu pantu:</w:t>
      </w:r>
    </w:p>
    <w:p w:rsidR="00C37615" w:rsidRPr="00143228" w:rsidRDefault="00C37615" w:rsidP="00C37615">
      <w:pPr>
        <w:spacing w:before="120" w:after="120" w:line="360" w:lineRule="auto"/>
        <w:ind w:left="850"/>
        <w:rPr>
          <w:szCs w:val="24"/>
        </w:rPr>
      </w:pPr>
      <w:r w:rsidRPr="00143228">
        <w:t>“9.c pants</w:t>
      </w:r>
    </w:p>
    <w:p w:rsidR="00C37615" w:rsidRPr="00143228" w:rsidRDefault="00C37615" w:rsidP="00C37615">
      <w:pPr>
        <w:spacing w:before="120" w:after="120" w:line="360" w:lineRule="auto"/>
        <w:ind w:left="850"/>
        <w:rPr>
          <w:szCs w:val="24"/>
        </w:rPr>
      </w:pPr>
      <w:r w:rsidRPr="00143228">
        <w:t xml:space="preserve">Savlaicīga piekļuve administratīvajiem datiem un to </w:t>
      </w:r>
      <w:proofErr w:type="spellStart"/>
      <w:r w:rsidRPr="00143228">
        <w:t>atkalizmantošana</w:t>
      </w:r>
      <w:proofErr w:type="spellEnd"/>
    </w:p>
    <w:p w:rsidR="00C37615" w:rsidRPr="00143228" w:rsidRDefault="00C37615" w:rsidP="00C37615">
      <w:pPr>
        <w:spacing w:before="120" w:after="120" w:line="360" w:lineRule="auto"/>
        <w:ind w:left="1416" w:hanging="566"/>
        <w:rPr>
          <w:szCs w:val="24"/>
        </w:rPr>
      </w:pPr>
      <w:r w:rsidRPr="00143228">
        <w:t>1.</w:t>
      </w:r>
      <w:r w:rsidRPr="00143228">
        <w:tab/>
      </w:r>
      <w:r w:rsidRPr="00143228">
        <w:rPr>
          <w:b/>
          <w:i/>
        </w:rPr>
        <w:t>Saskaņā ar Regulas (EK) Nr. 223/2009 17.a pantu</w:t>
      </w:r>
      <w:r w:rsidRPr="00143228">
        <w:t xml:space="preserve"> valsts iestādes, kas ir atbildīgas par administratīvo datu avotiem, kuri ir būtiski šīs regulas mērķiem, ļauj šos datus </w:t>
      </w:r>
      <w:proofErr w:type="spellStart"/>
      <w:r w:rsidRPr="00143228">
        <w:t>atkalizmantot</w:t>
      </w:r>
      <w:proofErr w:type="spellEnd"/>
      <w:r w:rsidRPr="00143228">
        <w:t xml:space="preserve"> savlaicīgi un tik bieži, kā nepieciešams, lai sagatavotu un iesniegtu statistiku noteiktajos termiņos un ievērojot šajā regulā paredzētās konkrētās kvalitātes prasības. </w:t>
      </w:r>
      <w:r w:rsidRPr="00143228">
        <w:rPr>
          <w:b/>
          <w:i/>
        </w:rPr>
        <w:t>Valstu statistikas iestādes un valsts iestādes, kas ir atbildīgas par</w:t>
      </w:r>
      <w:r w:rsidRPr="00143228">
        <w:t xml:space="preserve"> administratīvajiem ierakstiem,</w:t>
      </w:r>
      <w:r w:rsidRPr="00143228">
        <w:rPr>
          <w:b/>
          <w:i/>
        </w:rPr>
        <w:t xml:space="preserve"> izveido vajadzīgos</w:t>
      </w:r>
      <w:r w:rsidRPr="00143228">
        <w:t xml:space="preserve"> sadarbības </w:t>
      </w:r>
      <w:r w:rsidRPr="00143228">
        <w:rPr>
          <w:b/>
          <w:i/>
        </w:rPr>
        <w:t>mehānismus, lai nodrošinātu savlaicīgu bezmaksas piekļuvi minētajiem ierakstiem</w:t>
      </w:r>
      <w:r w:rsidRPr="00143228">
        <w:t>.</w:t>
      </w:r>
    </w:p>
    <w:p w:rsidR="00C37615" w:rsidRPr="00143228" w:rsidRDefault="00C37615" w:rsidP="00C37615">
      <w:pPr>
        <w:spacing w:before="120" w:after="120" w:line="360" w:lineRule="auto"/>
        <w:ind w:left="1416" w:hanging="566"/>
        <w:rPr>
          <w:szCs w:val="24"/>
        </w:rPr>
      </w:pPr>
      <w:r w:rsidRPr="00143228">
        <w:t>2.</w:t>
      </w:r>
      <w:r w:rsidRPr="00143228">
        <w:tab/>
        <w:t>Šīs regulas nolūkā Komisijai (</w:t>
      </w:r>
      <w:proofErr w:type="spellStart"/>
      <w:r w:rsidRPr="00143228">
        <w:rPr>
          <w:i/>
          <w:iCs/>
        </w:rPr>
        <w:t>Eurostat</w:t>
      </w:r>
      <w:proofErr w:type="spellEnd"/>
      <w:r w:rsidRPr="00143228">
        <w:t xml:space="preserve">) pēc pieprasījuma ir atļauts savlaicīgi </w:t>
      </w:r>
      <w:r w:rsidRPr="00143228">
        <w:lastRenderedPageBreak/>
        <w:t xml:space="preserve">piekļūt attiecīgajiem datiem un metadatiem no tādām datubāzēm un </w:t>
      </w:r>
      <w:proofErr w:type="spellStart"/>
      <w:r w:rsidRPr="00143228">
        <w:t>sadarbspējas</w:t>
      </w:r>
      <w:proofErr w:type="spellEnd"/>
      <w:r w:rsidRPr="00143228">
        <w:t xml:space="preserve"> sistēmām un tos </w:t>
      </w:r>
      <w:proofErr w:type="spellStart"/>
      <w:r w:rsidRPr="00143228">
        <w:t>atkalizmantot</w:t>
      </w:r>
      <w:proofErr w:type="spellEnd"/>
      <w:r w:rsidRPr="00143228">
        <w:t>, ko uztur Savienības struktūras un aģentūras, tostarp saskaņā ar Regulu (ES) Nr. 910/2014 un Regulu (ES) 2018/1724, un statistikas datiem, kas tiek glabāti centrālajā ziņošanas un statistikas repozitorijā (</w:t>
      </w:r>
      <w:r w:rsidRPr="00143228">
        <w:rPr>
          <w:i/>
          <w:iCs/>
        </w:rPr>
        <w:t>CRRS</w:t>
      </w:r>
      <w:r w:rsidRPr="00143228">
        <w:t>)</w:t>
      </w:r>
      <w:r w:rsidRPr="00143228">
        <w:rPr>
          <w:b/>
          <w:i/>
        </w:rPr>
        <w:t>. Konkrētāk, Komisija (</w:t>
      </w:r>
      <w:proofErr w:type="spellStart"/>
      <w:r w:rsidRPr="00143228">
        <w:rPr>
          <w:b/>
          <w:i/>
        </w:rPr>
        <w:t>Eurostat</w:t>
      </w:r>
      <w:proofErr w:type="spellEnd"/>
      <w:r w:rsidRPr="00143228">
        <w:rPr>
          <w:b/>
          <w:i/>
        </w:rPr>
        <w:t xml:space="preserve">), izmantojot </w:t>
      </w:r>
      <w:proofErr w:type="spellStart"/>
      <w:r w:rsidRPr="00143228">
        <w:rPr>
          <w:b/>
          <w:i/>
        </w:rPr>
        <w:t>CRRS</w:t>
      </w:r>
      <w:proofErr w:type="spellEnd"/>
      <w:r w:rsidRPr="00143228">
        <w:rPr>
          <w:b/>
          <w:i/>
        </w:rPr>
        <w:t xml:space="preserve">, piekļūst datiem no </w:t>
      </w:r>
      <w:proofErr w:type="spellStart"/>
      <w:r w:rsidRPr="00143228">
        <w:rPr>
          <w:b/>
          <w:i/>
        </w:rPr>
        <w:t>sadarbspējīgām</w:t>
      </w:r>
      <w:proofErr w:type="spellEnd"/>
      <w:r w:rsidRPr="00143228">
        <w:rPr>
          <w:b/>
          <w:i/>
        </w:rPr>
        <w:t xml:space="preserve"> </w:t>
      </w:r>
      <w:proofErr w:type="spellStart"/>
      <w:r w:rsidRPr="00143228">
        <w:rPr>
          <w:b/>
          <w:i/>
        </w:rPr>
        <w:t>lielapjoma</w:t>
      </w:r>
      <w:proofErr w:type="spellEnd"/>
      <w:r w:rsidRPr="00143228">
        <w:rPr>
          <w:b/>
          <w:i/>
        </w:rPr>
        <w:t xml:space="preserve"> IT sistēmām brīvības, drošības un tiesiskuma telpā,</w:t>
      </w:r>
      <w:r w:rsidRPr="00143228">
        <w:t xml:space="preserve"> ievērojot Regulu (ES) 2019/817 un Regulu (ES) 2019/818, un regulas, ar ko izveido sistēmas, kuru statistikas dati tiek glabāti </w:t>
      </w:r>
      <w:r w:rsidRPr="00143228">
        <w:rPr>
          <w:i/>
          <w:iCs/>
        </w:rPr>
        <w:t>CRRS</w:t>
      </w:r>
      <w:r w:rsidRPr="00143228">
        <w:t>. Šajā nolūkā Komisija (</w:t>
      </w:r>
      <w:proofErr w:type="spellStart"/>
      <w:r w:rsidRPr="00143228">
        <w:rPr>
          <w:i/>
          <w:iCs/>
        </w:rPr>
        <w:t>Eurostat</w:t>
      </w:r>
      <w:proofErr w:type="spellEnd"/>
      <w:r w:rsidRPr="00143228">
        <w:t>) turpina sadarboties ar attiecīgajām Savienības struktūrām un aģentūrām, lai precizētu pielāgotus statistikas datus un metadatus, kas, ja iespējams saskaņā ar Savienības tiesību aktiem, nepieciešami Eiropas statistikai par iedzīvotājiem un mājokļiem, to iesniegšanas kārtību un nepieciešamos papildu fiziskos un loģiskos aizsardzības pasākumus.”.</w:t>
      </w:r>
    </w:p>
    <w:p w:rsidR="00C37615" w:rsidRPr="00143228" w:rsidRDefault="00C37615" w:rsidP="00C37615">
      <w:pPr>
        <w:spacing w:before="120" w:after="120" w:line="360" w:lineRule="auto"/>
        <w:ind w:left="850" w:hanging="850"/>
        <w:rPr>
          <w:szCs w:val="24"/>
        </w:rPr>
      </w:pPr>
      <w:r w:rsidRPr="00143228">
        <w:t>(6)</w:t>
      </w:r>
      <w:r w:rsidRPr="00143228">
        <w:tab/>
        <w:t>regulā iekļauj šādu pantu:</w:t>
      </w:r>
    </w:p>
    <w:p w:rsidR="00C37615" w:rsidRPr="00143228" w:rsidRDefault="00C37615" w:rsidP="00C37615">
      <w:pPr>
        <w:spacing w:before="120" w:after="120" w:line="360" w:lineRule="auto"/>
        <w:ind w:left="850"/>
        <w:rPr>
          <w:szCs w:val="24"/>
        </w:rPr>
      </w:pPr>
      <w:r w:rsidRPr="00143228">
        <w:t>“10.a pants</w:t>
      </w:r>
    </w:p>
    <w:p w:rsidR="00C37615" w:rsidRPr="00143228" w:rsidRDefault="00C37615" w:rsidP="00C37615">
      <w:pPr>
        <w:spacing w:before="120" w:after="120" w:line="360" w:lineRule="auto"/>
        <w:ind w:left="850"/>
        <w:rPr>
          <w:szCs w:val="24"/>
        </w:rPr>
      </w:pPr>
      <w:r w:rsidRPr="00143228">
        <w:t>Valstu un teritoriju saraksti</w:t>
      </w:r>
    </w:p>
    <w:p w:rsidR="00C37615" w:rsidRPr="00143228" w:rsidRDefault="00C37615" w:rsidP="00C37615">
      <w:pPr>
        <w:spacing w:before="120" w:after="120" w:line="360" w:lineRule="auto"/>
        <w:ind w:left="850"/>
        <w:rPr>
          <w:szCs w:val="24"/>
        </w:rPr>
      </w:pPr>
      <w:r w:rsidRPr="00143228">
        <w:t xml:space="preserve">Regulas (ES) </w:t>
      </w:r>
      <w:r w:rsidRPr="00143228">
        <w:rPr>
          <w:vertAlign w:val="superscript"/>
        </w:rPr>
        <w:t>*</w:t>
      </w:r>
      <w:r w:rsidRPr="00143228">
        <w:rPr>
          <w:noProof/>
          <w:w w:val="0"/>
          <w:szCs w:val="24"/>
          <w:vertAlign w:val="superscript"/>
          <w:lang w:eastAsia="en-US"/>
        </w:rPr>
        <w:footnoteReference w:customMarkFollows="1" w:id="34"/>
        <w:t>+</w:t>
      </w:r>
      <w:r w:rsidRPr="00143228">
        <w:rPr>
          <w:b/>
          <w:i/>
          <w:vertAlign w:val="superscript"/>
        </w:rPr>
        <w:t xml:space="preserve"> </w:t>
      </w:r>
      <w:r w:rsidRPr="00143228">
        <w:t xml:space="preserve"> 11. pantā minētos valstu un teritoriju sarakstus</w:t>
      </w:r>
      <w:r w:rsidRPr="00143228">
        <w:rPr>
          <w:vertAlign w:val="superscript"/>
        </w:rPr>
        <w:t xml:space="preserve"> </w:t>
      </w:r>
      <w:r w:rsidRPr="00143228">
        <w:t>piemēro statistikas apkopošanai saskaņā ar šo regulu, lai nodrošinātu valstu un teritoriju īpašās informācijas salīdzināmību visā Eiropas statistikā. Dalībvalstis šos sarakstus pirmo reizi piemēro, lai apkopotu statistiku, kas iesniedzama saskaņā ar šo regulu, sākot ar datu nosūtīšanām par 2026. pārskata gadu.</w:t>
      </w:r>
    </w:p>
    <w:p w:rsidR="00C37615" w:rsidRPr="00143228" w:rsidRDefault="00C37615" w:rsidP="00C37615">
      <w:pPr>
        <w:spacing w:before="120" w:after="120" w:line="360" w:lineRule="auto"/>
        <w:rPr>
          <w:szCs w:val="24"/>
        </w:rPr>
      </w:pPr>
      <w:r w:rsidRPr="00143228">
        <w:t>________</w:t>
      </w:r>
    </w:p>
    <w:p w:rsidR="00C37615" w:rsidRPr="00143228" w:rsidRDefault="00C37615" w:rsidP="00C37615">
      <w:pPr>
        <w:spacing w:before="120" w:after="120" w:line="360" w:lineRule="auto"/>
        <w:rPr>
          <w:szCs w:val="24"/>
        </w:rPr>
      </w:pPr>
      <w:r w:rsidRPr="00143228">
        <w:rPr>
          <w:vertAlign w:val="superscript"/>
        </w:rPr>
        <w:t>*</w:t>
      </w:r>
      <w:r w:rsidRPr="00143228">
        <w:tab/>
        <w:t>Eiropas Parlamenta un Padomes Regula (ES) .../... par Eiropas statistiku par iedzīvotājiem un mājokļiem, ar ko groza Regulu (EK) Nr. 862/2007 un atceļ Regulas (EK) Nr. 763/2008 un (ES) Nr. 1260/2013 (OV ...).”.</w:t>
      </w:r>
    </w:p>
    <w:p w:rsidR="00C37615" w:rsidRPr="00143228" w:rsidRDefault="00C37615" w:rsidP="00C37615">
      <w:pPr>
        <w:spacing w:before="120" w:after="120" w:line="360" w:lineRule="auto"/>
        <w:rPr>
          <w:szCs w:val="24"/>
          <w:lang w:eastAsia="en-US"/>
        </w:rPr>
      </w:pPr>
    </w:p>
    <w:p w:rsidR="00C37615" w:rsidRPr="00143228" w:rsidRDefault="00C37615" w:rsidP="00C37615">
      <w:pPr>
        <w:spacing w:before="120" w:after="120" w:line="360" w:lineRule="auto"/>
        <w:jc w:val="center"/>
        <w:rPr>
          <w:szCs w:val="24"/>
        </w:rPr>
      </w:pPr>
      <w:r w:rsidRPr="00143228">
        <w:t>21. pants</w:t>
      </w:r>
      <w:r w:rsidRPr="00143228">
        <w:br/>
      </w:r>
      <w:r w:rsidRPr="00143228">
        <w:lastRenderedPageBreak/>
        <w:t>Atcelšana</w:t>
      </w:r>
    </w:p>
    <w:p w:rsidR="00C37615" w:rsidRPr="00143228" w:rsidRDefault="00C37615" w:rsidP="00C37615">
      <w:pPr>
        <w:spacing w:before="120" w:after="120" w:line="360" w:lineRule="auto"/>
        <w:rPr>
          <w:szCs w:val="24"/>
        </w:rPr>
      </w:pPr>
      <w:r w:rsidRPr="00143228">
        <w:t>Regulu (EK) Nr. 763/2008 un Regulu (ES) Nr. 1260/2013 atceļ no 2026. gada 1. janvāra, neskarot minētajos tiesību aktos noteiktos pienākumus attiecībā uz pārskata periodiem, kas pilnībā vai daļēji iekrīt laikā pirms minētā datuma.</w:t>
      </w:r>
    </w:p>
    <w:p w:rsidR="00C37615" w:rsidRPr="00143228" w:rsidRDefault="00C37615" w:rsidP="00C37615">
      <w:pPr>
        <w:spacing w:before="120" w:after="120" w:line="360" w:lineRule="auto"/>
        <w:rPr>
          <w:szCs w:val="24"/>
        </w:rPr>
      </w:pPr>
      <w:r w:rsidRPr="00143228">
        <w:t>Atsauces uz atceltajām regulām uzskata par atsaucēm uz šo regulu.</w:t>
      </w:r>
    </w:p>
    <w:p w:rsidR="00C37615" w:rsidRPr="00143228" w:rsidRDefault="00C37615" w:rsidP="00C37615">
      <w:pPr>
        <w:spacing w:before="120" w:after="120" w:line="360" w:lineRule="auto"/>
        <w:jc w:val="center"/>
        <w:rPr>
          <w:szCs w:val="24"/>
        </w:rPr>
      </w:pPr>
      <w:r w:rsidRPr="00143228">
        <w:t>22. pants</w:t>
      </w:r>
      <w:r w:rsidRPr="00143228">
        <w:br/>
        <w:t>Stāšanās spēkā un piemērošana</w:t>
      </w:r>
    </w:p>
    <w:p w:rsidR="00C37615" w:rsidRPr="00143228" w:rsidRDefault="00C37615" w:rsidP="00C37615">
      <w:pPr>
        <w:spacing w:before="120" w:after="120" w:line="360" w:lineRule="auto"/>
        <w:rPr>
          <w:szCs w:val="24"/>
        </w:rPr>
      </w:pPr>
      <w:r w:rsidRPr="00143228">
        <w:t xml:space="preserve">Šī regula stājas spēkā divdesmitajā dienā pēc tās publicēšanas </w:t>
      </w:r>
      <w:r w:rsidRPr="00143228">
        <w:rPr>
          <w:i/>
        </w:rPr>
        <w:t>Eiropas Savienības Oficiālajā Vēstnesī.</w:t>
      </w:r>
    </w:p>
    <w:p w:rsidR="00C37615" w:rsidRPr="00143228" w:rsidRDefault="00C37615" w:rsidP="00C37615">
      <w:pPr>
        <w:spacing w:before="120" w:after="120" w:line="360" w:lineRule="auto"/>
        <w:rPr>
          <w:szCs w:val="24"/>
        </w:rPr>
      </w:pPr>
      <w:r w:rsidRPr="00143228">
        <w:t>To piemēro no 2026. gada 1. janvāra.</w:t>
      </w:r>
    </w:p>
    <w:p w:rsidR="00C37615" w:rsidRPr="00143228" w:rsidRDefault="00C37615" w:rsidP="00C37615">
      <w:pPr>
        <w:spacing w:before="120" w:after="120" w:line="360" w:lineRule="auto"/>
        <w:rPr>
          <w:szCs w:val="24"/>
        </w:rPr>
      </w:pPr>
      <w:r w:rsidRPr="00143228">
        <w:t>Šī regula uzliek saistības kopumā un ir tieši piemērojama visās dalībvalstīs.</w:t>
      </w:r>
    </w:p>
    <w:p w:rsidR="00C37615" w:rsidRPr="00143228" w:rsidRDefault="00C37615" w:rsidP="00C37615">
      <w:pPr>
        <w:keepNext/>
        <w:widowControl/>
        <w:spacing w:before="120" w:line="360" w:lineRule="auto"/>
        <w:rPr>
          <w:szCs w:val="24"/>
        </w:rPr>
      </w:pPr>
      <w:r w:rsidRPr="00143228">
        <w:t>…[vieta], … [datums]</w:t>
      </w:r>
    </w:p>
    <w:p w:rsidR="00C37615" w:rsidRPr="00143228" w:rsidRDefault="00C37615" w:rsidP="00C37615">
      <w:pPr>
        <w:keepNext/>
        <w:widowControl/>
        <w:tabs>
          <w:tab w:val="left" w:pos="4252"/>
        </w:tabs>
        <w:spacing w:before="720" w:after="100" w:line="360" w:lineRule="auto"/>
        <w:jc w:val="both"/>
        <w:rPr>
          <w:i/>
          <w:szCs w:val="24"/>
        </w:rPr>
      </w:pPr>
      <w:r w:rsidRPr="00143228">
        <w:rPr>
          <w:i/>
        </w:rPr>
        <w:t>Eiropas Parlamenta vārdā —</w:t>
      </w:r>
      <w:r w:rsidRPr="00143228">
        <w:rPr>
          <w:i/>
        </w:rPr>
        <w:tab/>
        <w:t>Padomes vārdā —</w:t>
      </w:r>
    </w:p>
    <w:p w:rsidR="00C37615" w:rsidRPr="00143228" w:rsidRDefault="00C37615" w:rsidP="00C37615">
      <w:pPr>
        <w:widowControl/>
        <w:tabs>
          <w:tab w:val="left" w:pos="4252"/>
        </w:tabs>
        <w:spacing w:line="360" w:lineRule="auto"/>
        <w:rPr>
          <w:i/>
          <w:szCs w:val="24"/>
        </w:rPr>
      </w:pPr>
      <w:r w:rsidRPr="00143228">
        <w:rPr>
          <w:i/>
        </w:rPr>
        <w:t>priekšsēdētāja</w:t>
      </w:r>
      <w:r w:rsidRPr="00143228">
        <w:rPr>
          <w:i/>
        </w:rPr>
        <w:tab/>
        <w:t>priekšsēdētājs</w:t>
      </w:r>
    </w:p>
    <w:p w:rsidR="00C37615" w:rsidRPr="00143228" w:rsidRDefault="00C37615" w:rsidP="00C37615">
      <w:pPr>
        <w:widowControl/>
        <w:spacing w:before="120" w:after="120"/>
        <w:jc w:val="center"/>
        <w:rPr>
          <w:rFonts w:eastAsia="Calibri"/>
          <w:b/>
          <w:noProof/>
          <w:szCs w:val="22"/>
          <w:u w:val="single"/>
        </w:rPr>
      </w:pPr>
      <w:r w:rsidRPr="00143228">
        <w:br w:type="page"/>
      </w:r>
      <w:r w:rsidRPr="00143228">
        <w:rPr>
          <w:b/>
          <w:u w:val="single"/>
        </w:rPr>
        <w:lastRenderedPageBreak/>
        <w:t>PIELIKUMS</w:t>
      </w:r>
    </w:p>
    <w:p w:rsidR="00C37615" w:rsidRPr="00143228" w:rsidRDefault="00C37615" w:rsidP="00C37615">
      <w:pPr>
        <w:keepNext/>
        <w:widowControl/>
        <w:tabs>
          <w:tab w:val="left" w:pos="850"/>
        </w:tabs>
        <w:spacing w:before="120" w:after="120"/>
        <w:ind w:left="850" w:hanging="850"/>
        <w:jc w:val="center"/>
        <w:outlineLvl w:val="1"/>
        <w:rPr>
          <w:rFonts w:eastAsia="Calibri"/>
          <w:b/>
          <w:noProof/>
          <w:szCs w:val="22"/>
        </w:rPr>
      </w:pPr>
      <w:r w:rsidRPr="00143228">
        <w:rPr>
          <w:b/>
        </w:rPr>
        <w:t>Jomas, temati un detalizēti temati ar periodiskumu un pārskata laiku katram detalizētam tematam</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C37615" w:rsidRPr="00143228" w:rsidTr="00C4128F">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b/>
                <w:noProof/>
                <w:sz w:val="20"/>
                <w:szCs w:val="24"/>
              </w:rPr>
            </w:pPr>
            <w:r w:rsidRPr="00143228">
              <w:rPr>
                <w:b/>
                <w:sz w:val="20"/>
              </w:rPr>
              <w:t>Joma</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b/>
                <w:noProof/>
                <w:sz w:val="20"/>
                <w:szCs w:val="24"/>
              </w:rPr>
            </w:pPr>
            <w:r w:rsidRPr="00143228">
              <w:rPr>
                <w:b/>
                <w:sz w:val="20"/>
              </w:rPr>
              <w:t>Temats</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b/>
                <w:noProof/>
                <w:sz w:val="20"/>
                <w:szCs w:val="24"/>
              </w:rPr>
            </w:pPr>
            <w:r w:rsidRPr="00143228">
              <w:rPr>
                <w:b/>
                <w:sz w:val="20"/>
              </w:rPr>
              <w:t>Detalizēts temats</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b/>
                <w:noProof/>
                <w:sz w:val="20"/>
                <w:szCs w:val="24"/>
              </w:rPr>
            </w:pPr>
            <w:r w:rsidRPr="00143228">
              <w:rPr>
                <w:b/>
                <w:sz w:val="20"/>
              </w:rPr>
              <w:t xml:space="preserve">Periodiskums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b/>
                <w:noProof/>
                <w:sz w:val="20"/>
                <w:szCs w:val="24"/>
              </w:rPr>
            </w:pPr>
            <w:r w:rsidRPr="00143228">
              <w:rPr>
                <w:b/>
                <w:sz w:val="20"/>
              </w:rPr>
              <w:t>Pārskata laiks (datums vai periods)</w:t>
            </w:r>
          </w:p>
        </w:tc>
      </w:tr>
      <w:tr w:rsidR="00C37615" w:rsidRPr="00143228" w:rsidTr="00C4128F">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C37615" w:rsidRPr="00143228" w:rsidRDefault="00C37615" w:rsidP="00C4128F">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C37615" w:rsidRPr="00143228" w:rsidRDefault="00C37615" w:rsidP="00C4128F">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C37615" w:rsidRPr="00143228" w:rsidRDefault="00C37615" w:rsidP="00C4128F">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C37615" w:rsidRPr="00143228" w:rsidRDefault="00C37615" w:rsidP="00C4128F">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C37615" w:rsidRPr="00143228" w:rsidRDefault="00C37615" w:rsidP="00C4128F">
            <w:pPr>
              <w:spacing w:before="120" w:after="120" w:line="276" w:lineRule="auto"/>
              <w:rPr>
                <w:b/>
                <w:noProof/>
                <w:sz w:val="20"/>
                <w:szCs w:val="22"/>
              </w:rPr>
            </w:pPr>
          </w:p>
        </w:tc>
      </w:tr>
      <w:tr w:rsidR="00C37615" w:rsidRPr="00143228" w:rsidTr="00C4128F">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Demogrāfija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Iedzīvotāju skaits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Personas galvenie raksturlielumi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 xml:space="preserve">30.6.GG. un </w:t>
            </w:r>
          </w:p>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Personas sociālekonomiskie raksturlielumi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before="120" w:after="120" w:line="360"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31.12.GG.</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Dzimstība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Dzimušie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Mēnesis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Legāli aborti</w:t>
            </w:r>
            <w:r w:rsidRPr="00143228">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Mirstība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Mirušie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Mēnesis, nedēļa</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Zīdaiņu nāves gadījumi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Augļa vēlīni bojāejas gadījumi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Partnerattiecības</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Laulības un reģistrētas partnerattiecības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37615" w:rsidRPr="00143228" w:rsidRDefault="00C37615" w:rsidP="00C4128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To personu raksturlielumi, kuras noslēdz laulību vai iesaistās reģistrētās partnerattiecībās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37615" w:rsidRPr="00143228" w:rsidRDefault="00C37615" w:rsidP="00C4128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Laulības šķiršanas un izbeigtās reģistrētās partnerattiecības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Migrācija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Imigranti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Mēnesis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Emigranti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b/>
                <w:i/>
                <w:sz w:val="20"/>
              </w:rPr>
            </w:pPr>
            <w:r w:rsidRPr="00143228">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b/>
                <w:i/>
                <w:sz w:val="20"/>
              </w:rPr>
            </w:pPr>
            <w:r w:rsidRPr="00143228">
              <w:rPr>
                <w:b/>
                <w:i/>
                <w:sz w:val="20"/>
              </w:rPr>
              <w:t>Mēnesis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Iekšējā migrācija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 xml:space="preserve">ES </w:t>
            </w:r>
            <w:r w:rsidRPr="00143228">
              <w:rPr>
                <w:sz w:val="20"/>
              </w:rPr>
              <w:lastRenderedPageBreak/>
              <w:t>dalībvalstu un Savienības pilsonības iegūšana un zaudēšana</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lastRenderedPageBreak/>
              <w:t>Personas, kas ieguvušas pilsonību</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Personas, kas zaudējušas pilsonību / atteikušās no pilsonības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Gads</w:t>
            </w:r>
          </w:p>
        </w:tc>
      </w:tr>
      <w:tr w:rsidR="00C37615" w:rsidRPr="00143228" w:rsidTr="00C4128F">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Mājoklis</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Dzīvojamās telpas</w:t>
            </w:r>
          </w:p>
        </w:tc>
        <w:tc>
          <w:tcPr>
            <w:tcW w:w="3402"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Dzīvojamo telpu raksturlielumi</w:t>
            </w:r>
          </w:p>
        </w:tc>
        <w:tc>
          <w:tcPr>
            <w:tcW w:w="1276"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360" w:lineRule="auto"/>
              <w:jc w:val="center"/>
              <w:rPr>
                <w:noProof/>
                <w:sz w:val="20"/>
                <w:szCs w:val="24"/>
              </w:rPr>
            </w:pPr>
            <w:r w:rsidRPr="00143228">
              <w:rPr>
                <w:sz w:val="20"/>
              </w:rPr>
              <w:t>Tradicionālie mājokļi</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Ēkas galvenie raksturlielumi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360" w:lineRule="auto"/>
              <w:jc w:val="center"/>
              <w:rPr>
                <w:noProof/>
                <w:sz w:val="20"/>
                <w:szCs w:val="24"/>
              </w:rPr>
            </w:pPr>
            <w:r w:rsidRPr="00143228">
              <w:rPr>
                <w:sz w:val="20"/>
              </w:rPr>
              <w:t>Ar enerģiju saistīti ēkas raksturlielumi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MA</w:t>
            </w:r>
            <w:r w:rsidRPr="00143228">
              <w:rPr>
                <w:sz w:val="20"/>
              </w:rPr>
              <w:br/>
              <w:t>(A, sākot ar 2031. gadu)</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Apdzīvotie tradicionālie mājokļi</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Apdzīvoto tradicionālo mājokļu raksturlielumi</w:t>
            </w:r>
          </w:p>
        </w:tc>
        <w:tc>
          <w:tcPr>
            <w:tcW w:w="1276"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Apdzīvoto tradicionālo mājokļu izmantošana</w:t>
            </w:r>
          </w:p>
        </w:tc>
        <w:tc>
          <w:tcPr>
            <w:tcW w:w="1276"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Ģimenes un mājsaimniecības</w:t>
            </w:r>
          </w:p>
        </w:tc>
        <w:tc>
          <w:tcPr>
            <w:tcW w:w="1701"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Ģimenes</w:t>
            </w:r>
          </w:p>
        </w:tc>
        <w:tc>
          <w:tcPr>
            <w:tcW w:w="3402"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Ģimenes raksturlielumi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Mājsaimniecības</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Mājsaimniecības raksturlielumi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Personas stāvoklis mājsaimniecībā</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C37615" w:rsidRPr="00143228" w:rsidRDefault="00C37615" w:rsidP="00C412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31.12.GG.</w:t>
            </w:r>
          </w:p>
        </w:tc>
      </w:tr>
      <w:tr w:rsidR="00C37615" w:rsidRPr="00143228" w:rsidTr="00C412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rPr>
              <w:t>_______________________________________</w:t>
            </w:r>
          </w:p>
        </w:tc>
      </w:tr>
      <w:tr w:rsidR="00C37615" w:rsidRPr="00143228" w:rsidTr="00C412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37615" w:rsidRPr="00143228" w:rsidRDefault="00C37615" w:rsidP="00C4128F">
            <w:pPr>
              <w:spacing w:after="120" w:line="276" w:lineRule="auto"/>
              <w:rPr>
                <w:sz w:val="20"/>
                <w:lang w:eastAsia="en-US"/>
              </w:rPr>
            </w:pPr>
          </w:p>
        </w:tc>
      </w:tr>
      <w:tr w:rsidR="00C37615" w:rsidRPr="00143228" w:rsidTr="00C412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37615" w:rsidRPr="00143228" w:rsidRDefault="00C37615" w:rsidP="00C4128F">
            <w:pPr>
              <w:spacing w:after="120" w:line="276" w:lineRule="auto"/>
              <w:rPr>
                <w:sz w:val="20"/>
              </w:rPr>
            </w:pPr>
            <w:r w:rsidRPr="00143228">
              <w:rPr>
                <w:sz w:val="20"/>
                <w:vertAlign w:val="superscript"/>
              </w:rPr>
              <w:t>1</w:t>
            </w:r>
            <w:r w:rsidRPr="00143228">
              <w:rPr>
                <w:sz w:val="20"/>
              </w:rPr>
              <w:t xml:space="preserve"> Sniedz pēc brīvprātības principa.</w:t>
            </w:r>
          </w:p>
        </w:tc>
      </w:tr>
    </w:tbl>
    <w:p w:rsidR="00C37615" w:rsidRPr="00143228" w:rsidRDefault="00C37615" w:rsidP="00C37615">
      <w:pPr>
        <w:spacing w:before="120" w:after="120" w:line="360" w:lineRule="auto"/>
        <w:outlineLvl w:val="0"/>
        <w:rPr>
          <w:b/>
          <w:i/>
          <w:iCs/>
          <w:noProof/>
          <w:szCs w:val="24"/>
          <w:lang w:eastAsia="en-US"/>
        </w:rPr>
      </w:pPr>
    </w:p>
    <w:p w:rsidR="00C37615" w:rsidRPr="00143228" w:rsidRDefault="00C37615" w:rsidP="00C37615">
      <w:pPr>
        <w:keepNext/>
        <w:widowControl/>
        <w:tabs>
          <w:tab w:val="left" w:pos="850"/>
        </w:tabs>
        <w:spacing w:before="120" w:after="120"/>
        <w:ind w:left="850" w:hanging="850"/>
        <w:jc w:val="both"/>
        <w:outlineLvl w:val="1"/>
        <w:rPr>
          <w:rFonts w:eastAsia="Calibri"/>
          <w:b/>
          <w:noProof/>
          <w:szCs w:val="22"/>
        </w:rPr>
      </w:pPr>
      <w:r w:rsidRPr="00143228">
        <w:rPr>
          <w:b/>
        </w:rPr>
        <w:lastRenderedPageBreak/>
        <w:t>Apzīmējumi</w:t>
      </w:r>
    </w:p>
    <w:tbl>
      <w:tblPr>
        <w:tblW w:w="5660" w:type="dxa"/>
        <w:tblLook w:val="04A0" w:firstRow="1" w:lastRow="0" w:firstColumn="1" w:lastColumn="0" w:noHBand="0" w:noVBand="1"/>
      </w:tblPr>
      <w:tblGrid>
        <w:gridCol w:w="4644"/>
        <w:gridCol w:w="1016"/>
      </w:tblGrid>
      <w:tr w:rsidR="00C37615" w:rsidRPr="00143228" w:rsidTr="00C4128F">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C37615" w:rsidRPr="00143228" w:rsidRDefault="00C37615" w:rsidP="00C4128F">
            <w:pPr>
              <w:keepNext/>
              <w:widowControl/>
              <w:tabs>
                <w:tab w:val="left" w:pos="850"/>
              </w:tabs>
              <w:spacing w:before="120" w:after="120"/>
              <w:ind w:left="850" w:hanging="850"/>
              <w:jc w:val="center"/>
              <w:outlineLvl w:val="1"/>
              <w:rPr>
                <w:rFonts w:eastAsia="Calibri"/>
                <w:b/>
                <w:noProof/>
                <w:sz w:val="20"/>
                <w:szCs w:val="22"/>
              </w:rPr>
            </w:pPr>
            <w:r w:rsidRPr="00143228">
              <w:rPr>
                <w:b/>
                <w:sz w:val="20"/>
              </w:rPr>
              <w:t>Periodiskums</w:t>
            </w:r>
          </w:p>
        </w:tc>
      </w:tr>
      <w:tr w:rsidR="00C37615" w:rsidRPr="00143228" w:rsidTr="00C412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Reizi ceturksnī</w:t>
            </w:r>
          </w:p>
        </w:tc>
        <w:tc>
          <w:tcPr>
            <w:tcW w:w="1016" w:type="dxa"/>
            <w:tcBorders>
              <w:top w:val="nil"/>
              <w:left w:val="nil"/>
              <w:bottom w:val="single" w:sz="4" w:space="0" w:color="auto"/>
              <w:right w:val="single" w:sz="8"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Q</w:t>
            </w:r>
          </w:p>
        </w:tc>
      </w:tr>
      <w:tr w:rsidR="00C37615" w:rsidRPr="00143228" w:rsidTr="00C412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Reizi 6 mēnešos</w:t>
            </w:r>
          </w:p>
        </w:tc>
        <w:tc>
          <w:tcPr>
            <w:tcW w:w="1016" w:type="dxa"/>
            <w:tcBorders>
              <w:top w:val="nil"/>
              <w:left w:val="nil"/>
              <w:bottom w:val="single" w:sz="4" w:space="0" w:color="auto"/>
              <w:right w:val="single" w:sz="8"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6M</w:t>
            </w:r>
          </w:p>
        </w:tc>
      </w:tr>
      <w:tr w:rsidR="00C37615" w:rsidRPr="00143228" w:rsidTr="00C412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Reizi gadā</w:t>
            </w:r>
          </w:p>
        </w:tc>
        <w:tc>
          <w:tcPr>
            <w:tcW w:w="1016" w:type="dxa"/>
            <w:tcBorders>
              <w:top w:val="nil"/>
              <w:left w:val="nil"/>
              <w:bottom w:val="single" w:sz="4" w:space="0" w:color="auto"/>
              <w:right w:val="single" w:sz="8"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A</w:t>
            </w:r>
          </w:p>
        </w:tc>
      </w:tr>
      <w:tr w:rsidR="00C37615" w:rsidRPr="00143228" w:rsidTr="00C412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Reizi vairākos gados (gadi, kas beidzas ar "1", "5", "8")</w:t>
            </w:r>
          </w:p>
        </w:tc>
        <w:tc>
          <w:tcPr>
            <w:tcW w:w="1016" w:type="dxa"/>
            <w:tcBorders>
              <w:top w:val="nil"/>
              <w:left w:val="nil"/>
              <w:bottom w:val="single" w:sz="4" w:space="0" w:color="auto"/>
              <w:right w:val="single" w:sz="8"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MA</w:t>
            </w:r>
          </w:p>
        </w:tc>
      </w:tr>
      <w:tr w:rsidR="00C37615" w:rsidRPr="00143228" w:rsidTr="00C4128F">
        <w:tc>
          <w:tcPr>
            <w:tcW w:w="4644" w:type="dxa"/>
            <w:tcBorders>
              <w:top w:val="nil"/>
              <w:left w:val="single" w:sz="8" w:space="0" w:color="auto"/>
              <w:bottom w:val="single" w:sz="8" w:space="0" w:color="auto"/>
              <w:right w:val="single" w:sz="4"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Reizi 10 gados (gadi, kas beidzas ar "1")</w:t>
            </w:r>
          </w:p>
        </w:tc>
        <w:tc>
          <w:tcPr>
            <w:tcW w:w="1016" w:type="dxa"/>
            <w:tcBorders>
              <w:top w:val="nil"/>
              <w:left w:val="nil"/>
              <w:bottom w:val="single" w:sz="8" w:space="0" w:color="auto"/>
              <w:right w:val="single" w:sz="8" w:space="0" w:color="auto"/>
            </w:tcBorders>
            <w:shd w:val="clear" w:color="000000" w:fill="FFFFFF"/>
            <w:vAlign w:val="center"/>
            <w:hideMark/>
          </w:tcPr>
          <w:p w:rsidR="00C37615" w:rsidRPr="00143228" w:rsidRDefault="00C37615" w:rsidP="00C4128F">
            <w:pPr>
              <w:spacing w:before="120" w:after="120" w:line="360" w:lineRule="auto"/>
              <w:jc w:val="center"/>
              <w:rPr>
                <w:noProof/>
                <w:sz w:val="20"/>
                <w:szCs w:val="24"/>
              </w:rPr>
            </w:pPr>
            <w:r w:rsidRPr="00143228">
              <w:rPr>
                <w:sz w:val="20"/>
              </w:rPr>
              <w:t>D</w:t>
            </w:r>
          </w:p>
        </w:tc>
      </w:tr>
    </w:tbl>
    <w:p w:rsidR="00C37615" w:rsidRPr="00143228" w:rsidRDefault="00C37615" w:rsidP="00C37615">
      <w:pPr>
        <w:spacing w:before="120" w:after="120" w:line="360" w:lineRule="auto"/>
        <w:outlineLvl w:val="0"/>
        <w:rPr>
          <w:b/>
          <w:noProof/>
          <w:szCs w:val="24"/>
          <w:lang w:eastAsia="en-US"/>
        </w:rPr>
      </w:pPr>
    </w:p>
    <w:p w:rsidR="00E208F3" w:rsidRPr="00143228" w:rsidRDefault="00E208F3" w:rsidP="00E208F3"/>
    <w:sectPr w:rsidR="00E208F3" w:rsidRPr="00143228" w:rsidSect="002945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1F9" w:rsidRPr="00294530" w:rsidRDefault="008D01F9">
      <w:r w:rsidRPr="00294530">
        <w:separator/>
      </w:r>
    </w:p>
  </w:endnote>
  <w:endnote w:type="continuationSeparator" w:id="0">
    <w:p w:rsidR="008D01F9" w:rsidRPr="00294530" w:rsidRDefault="008D01F9">
      <w:r w:rsidRPr="00294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1F9" w:rsidRPr="00294530" w:rsidRDefault="008D01F9">
      <w:r w:rsidRPr="00294530">
        <w:separator/>
      </w:r>
    </w:p>
  </w:footnote>
  <w:footnote w:type="continuationSeparator" w:id="0">
    <w:p w:rsidR="008D01F9" w:rsidRPr="00294530" w:rsidRDefault="008D01F9">
      <w:r w:rsidRPr="00294530">
        <w:continuationSeparator/>
      </w:r>
    </w:p>
  </w:footnote>
  <w:footnote w:id="1">
    <w:p w:rsidR="00097E65" w:rsidRPr="00C37615" w:rsidRDefault="00097E65" w:rsidP="00143228">
      <w:pPr>
        <w:pStyle w:val="FootnoteText"/>
        <w:ind w:left="567" w:hanging="567"/>
        <w:rPr>
          <w:rFonts w:cs="Mangal"/>
          <w:sz w:val="24"/>
          <w:szCs w:val="24"/>
          <w:lang w:val="sv-SE" w:bidi="sa-IN"/>
        </w:rPr>
      </w:pPr>
      <w:r w:rsidRPr="00C37615">
        <w:rPr>
          <w:rStyle w:val="FootnoteReference"/>
          <w:rFonts w:cs="Mangal"/>
          <w:sz w:val="24"/>
          <w:szCs w:val="24"/>
          <w:lang w:bidi="sa-IN"/>
        </w:rPr>
        <w:footnoteRef/>
      </w:r>
      <w:r w:rsidRPr="00C37615">
        <w:rPr>
          <w:rFonts w:cs="Mangal"/>
          <w:sz w:val="24"/>
          <w:szCs w:val="24"/>
          <w:lang w:val="sv-SE" w:bidi="sa-IN"/>
        </w:rPr>
        <w:t xml:space="preserve"> </w:t>
      </w:r>
      <w:r w:rsidRPr="00C37615">
        <w:rPr>
          <w:rFonts w:cs="Mangal"/>
          <w:sz w:val="24"/>
          <w:szCs w:val="24"/>
          <w:lang w:val="sv-SE" w:bidi="sa-IN"/>
        </w:rPr>
        <w:tab/>
        <w:t>OV C 228, 29.6.2023., 148. </w:t>
      </w:r>
      <w:proofErr w:type="spellStart"/>
      <w:r w:rsidRPr="00C37615">
        <w:rPr>
          <w:rFonts w:cs="Mangal"/>
          <w:sz w:val="24"/>
          <w:szCs w:val="24"/>
          <w:lang w:val="sv-SE" w:bidi="sa-IN"/>
        </w:rPr>
        <w:t>lpp</w:t>
      </w:r>
      <w:proofErr w:type="spellEnd"/>
      <w:r w:rsidRPr="00C37615">
        <w:rPr>
          <w:rFonts w:cs="Mangal"/>
          <w:sz w:val="24"/>
          <w:szCs w:val="24"/>
          <w:lang w:val="sv-SE" w:bidi="sa-IN"/>
        </w:rPr>
        <w:t>.</w:t>
      </w:r>
    </w:p>
  </w:footnote>
  <w:footnote w:id="2">
    <w:p w:rsidR="003B2F58" w:rsidRPr="00107BF2" w:rsidRDefault="003B2F58" w:rsidP="003B2F58">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Pr="00107BF2">
        <w:rPr>
          <w:rFonts w:eastAsia="PMingLiU"/>
          <w:sz w:val="24"/>
          <w:szCs w:val="24"/>
          <w:lang w:val="lv-LV" w:eastAsia="zh-TW"/>
        </w:rPr>
        <w:t xml:space="preserve">Izmaiņas visā tekstā izriet no grozījuma </w:t>
      </w:r>
      <w:r>
        <w:rPr>
          <w:rFonts w:eastAsia="PMingLiU"/>
          <w:sz w:val="24"/>
          <w:szCs w:val="24"/>
          <w:lang w:val="lv-LV" w:eastAsia="zh-TW"/>
        </w:rPr>
        <w:t xml:space="preserve">Nr. </w:t>
      </w:r>
      <w:r w:rsidR="00C12891">
        <w:rPr>
          <w:rFonts w:eastAsia="PMingLiU"/>
          <w:sz w:val="24"/>
          <w:szCs w:val="24"/>
          <w:lang w:val="lv-LV" w:eastAsia="zh-TW"/>
        </w:rPr>
        <w:t>56</w:t>
      </w:r>
      <w:r>
        <w:rPr>
          <w:rFonts w:eastAsia="PMingLiU"/>
          <w:sz w:val="24"/>
          <w:szCs w:val="24"/>
          <w:lang w:val="lv-LV" w:eastAsia="zh-TW"/>
        </w:rPr>
        <w:t xml:space="preserve"> </w:t>
      </w:r>
      <w:r w:rsidRPr="00107BF2">
        <w:rPr>
          <w:rFonts w:eastAsia="PMingLiU"/>
          <w:sz w:val="24"/>
          <w:szCs w:val="24"/>
          <w:lang w:val="lv-LV" w:eastAsia="zh-TW"/>
        </w:rPr>
        <w:t>pieņemšanas. Jaunais vai grozītais teksts ir izcelts treknā slīprakstā; svītrojumi ir apzīmēti ar simbolu ▌.</w:t>
      </w:r>
    </w:p>
  </w:footnote>
  <w:footnote w:id="3">
    <w:p w:rsidR="00C37615" w:rsidRPr="00C34F39" w:rsidRDefault="00C37615" w:rsidP="00C37615">
      <w:pPr>
        <w:pStyle w:val="FootnoteTextForceStyle"/>
        <w:ind w:left="709" w:hanging="709"/>
        <w:rPr>
          <w:szCs w:val="24"/>
        </w:rPr>
      </w:pPr>
      <w:r>
        <w:rPr>
          <w:szCs w:val="24"/>
          <w:vertAlign w:val="superscript"/>
          <w:lang w:val="en-GB"/>
        </w:rPr>
        <w:footnoteRef/>
      </w:r>
      <w:r>
        <w:tab/>
        <w:t>OV C , , . lpp.</w:t>
      </w:r>
    </w:p>
  </w:footnote>
  <w:footnote w:id="4">
    <w:p w:rsidR="00C37615" w:rsidRPr="00C34F39" w:rsidRDefault="00C37615" w:rsidP="00C37615">
      <w:pPr>
        <w:pStyle w:val="FootnoteTextForceStyle"/>
        <w:ind w:left="709" w:hanging="709"/>
        <w:rPr>
          <w:szCs w:val="24"/>
        </w:rPr>
      </w:pPr>
      <w:r>
        <w:rPr>
          <w:szCs w:val="24"/>
          <w:vertAlign w:val="superscript"/>
          <w:lang w:val="en-GB"/>
        </w:rPr>
        <w:footnoteRef/>
      </w:r>
      <w:r>
        <w:tab/>
        <w:t>OV C , , . lpp.</w:t>
      </w:r>
    </w:p>
  </w:footnote>
  <w:footnote w:id="5">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2019/1700 (2019. gada 10. oktobris),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(OV L 261I, 14.10.2019., 1. lpp.).</w:t>
      </w:r>
    </w:p>
  </w:footnote>
  <w:footnote w:id="6">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Nr. 1260/2013 (2013. gada 20. novembris) par Eiropas demogrāfijas statistiku (OV L 330, 10.12.2013., 39. lpp.).</w:t>
      </w:r>
    </w:p>
  </w:footnote>
  <w:footnote w:id="7">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(EK) Nr. 223/2009 (2009. gada 11. marts) par Eiropas statistiku un ar ko atceļ Eiropas Parlamenta un Padomes Regulu (EK, Euratom) Nr. 1101/2008 par tādas statistikas informācijas nosūtīšanu Eiropas Kopienu Statistikas birojam, uz kuru attiecas konfidencialitāte, Padomes Regulu (EK) Nr. 322/97 par Kopienas statistiku un Padomes Lēmumu 89/382/EEK, Euratom, ar ko nodibina Eiropas Kopienu Statistikas programmu komiteju (OV L 87, 31.3.2009., 164. lpp.).</w:t>
      </w:r>
    </w:p>
  </w:footnote>
  <w:footnote w:id="8">
    <w:p w:rsidR="00C37615" w:rsidRPr="00C34F39" w:rsidRDefault="00C37615" w:rsidP="00C37615">
      <w:pPr>
        <w:pStyle w:val="FootnoteTextForceStyle"/>
        <w:ind w:left="709" w:hanging="709"/>
        <w:rPr>
          <w:szCs w:val="24"/>
        </w:rPr>
      </w:pPr>
      <w:r>
        <w:rPr>
          <w:szCs w:val="24"/>
          <w:vertAlign w:val="superscript"/>
          <w:lang w:val="en-GB"/>
        </w:rPr>
        <w:footnoteRef/>
      </w:r>
      <w:r>
        <w:tab/>
        <w:t>SWD(2023)13.</w:t>
      </w:r>
    </w:p>
  </w:footnote>
  <w:footnote w:id="9">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(EK) Nr. 862/2007 (2007. gada 11. jūlijs) par Kopienas statistiku attiecībā uz migrāciju un starptautisko aizsardzību, kā arī lai atceltu Padomes Regulu (EEK) Nr. 311/76 attiecībā uz statistikas vākšanu par ārvalstu darba ņēmējiem (OV L 199, 31.7.2007., 23. lpp.).</w:t>
      </w:r>
    </w:p>
  </w:footnote>
  <w:footnote w:id="10">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(EK) Nr. 763/2008 (2008. gada 9. jūlijs) par iedzīvotāju un mājokļu skaitīšanu (OV L 218, 13.8.2008., 14. lpp.).</w:t>
      </w:r>
    </w:p>
  </w:footnote>
  <w:footnote w:id="11">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(EK) Nr. 1059/2003 (2003. gada 26. maijs) par kopējas statistiski teritoriālo vienību klasifikācijas (</w:t>
      </w:r>
      <w:r>
        <w:rPr>
          <w:i/>
          <w:iCs/>
        </w:rPr>
        <w:t>NUTS</w:t>
      </w:r>
      <w:r>
        <w:t>) izveidi (OV L 154, 21.6.2003., 1. lpp.).</w:t>
      </w:r>
    </w:p>
  </w:footnote>
  <w:footnote w:id="12">
    <w:p w:rsidR="00C37615" w:rsidRPr="00C34F39" w:rsidRDefault="00C37615" w:rsidP="00C37615">
      <w:pPr>
        <w:pStyle w:val="FootnoteTextForceStyle"/>
        <w:ind w:left="709" w:hanging="709"/>
        <w:rPr>
          <w:szCs w:val="24"/>
        </w:rPr>
      </w:pPr>
      <w:r>
        <w:rPr>
          <w:szCs w:val="24"/>
          <w:vertAlign w:val="superscript"/>
          <w:lang w:val="en-GB"/>
        </w:rPr>
        <w:footnoteRef/>
      </w:r>
      <w:r>
        <w:tab/>
        <w:t xml:space="preserve">Komisijas Īstenošanas regula (ES) 2018/1799 (2018. gada 21. novembris), ar ko nosaka īslaicīgu tiešu statistikas darbību 2021. gada iedzīvotāju un mājokļu skaitīšanas atlasīto tematu, kas </w:t>
      </w:r>
      <w:proofErr w:type="spellStart"/>
      <w:r>
        <w:t>ģeokodēti</w:t>
      </w:r>
      <w:proofErr w:type="spellEnd"/>
      <w:r>
        <w:t xml:space="preserve"> 1 </w:t>
      </w:r>
      <w:proofErr w:type="spellStart"/>
      <w:r>
        <w:t>km</w:t>
      </w:r>
      <w:r>
        <w:rPr>
          <w:vertAlign w:val="superscript"/>
        </w:rPr>
        <w:t>2</w:t>
      </w:r>
      <w:proofErr w:type="spellEnd"/>
      <w:r>
        <w:t xml:space="preserve"> koordinātu tīklā, izplatīšanai (OV L 296, 22.11.2018., 19. lpp.).</w:t>
      </w:r>
    </w:p>
  </w:footnote>
  <w:footnote w:id="13">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Direktīva 2007/2/EK (2007. gada 14. marts), ar ko izveido Telpiskās informācijas infrastruktūru Eiropas Kopienā (INSPIRE) (OV L 108, 25.4.2007., 1. lpp.).</w:t>
      </w:r>
    </w:p>
  </w:footnote>
  <w:footnote w:id="14">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Direktīva 2010/31/ES (2010. gada 19. maijs) par ēku energoefektivitāti (OV L 153, 18.6.2010., 13. lpp.).</w:t>
      </w:r>
    </w:p>
  </w:footnote>
  <w:footnote w:id="15">
    <w:p w:rsidR="00C37615" w:rsidRPr="00C34F39" w:rsidRDefault="00C37615" w:rsidP="00C37615">
      <w:pPr>
        <w:pStyle w:val="FootnoteTextForceStyle"/>
        <w:ind w:left="709" w:hanging="709"/>
        <w:rPr>
          <w:szCs w:val="24"/>
        </w:rPr>
      </w:pPr>
      <w:r>
        <w:rPr>
          <w:rStyle w:val="FootnoteReference"/>
          <w:szCs w:val="24"/>
          <w:lang w:val="en-GB"/>
        </w:rPr>
        <w:footnoteRef/>
      </w:r>
      <w:r>
        <w:tab/>
        <w:t>Eiropas Parlamenta un Padomes Direktīva (ES) </w:t>
      </w:r>
      <w:r w:rsidR="00C12891" w:rsidRPr="00C12891">
        <w:rPr>
          <w:szCs w:val="24"/>
        </w:rPr>
        <w:t>2024/1275</w:t>
      </w:r>
      <w:r>
        <w:t xml:space="preserve"> (</w:t>
      </w:r>
      <w:r w:rsidR="00C12891">
        <w:t>2024. gada 24. aprīlis</w:t>
      </w:r>
      <w:r>
        <w:t xml:space="preserve">) par ēku </w:t>
      </w:r>
      <w:proofErr w:type="spellStart"/>
      <w:r>
        <w:t>energosniegumu</w:t>
      </w:r>
      <w:proofErr w:type="spellEnd"/>
      <w:r>
        <w:t xml:space="preserve"> (pārstrādāta versija) (</w:t>
      </w:r>
      <w:proofErr w:type="spellStart"/>
      <w:r>
        <w:t>OV</w:t>
      </w:r>
      <w:proofErr w:type="spellEnd"/>
      <w:r>
        <w:t> L </w:t>
      </w:r>
      <w:r w:rsidR="00F104EE" w:rsidRPr="00F104EE">
        <w:rPr>
          <w:szCs w:val="24"/>
        </w:rPr>
        <w:t>2024/1275, 8.5.2024</w:t>
      </w:r>
      <w:r w:rsidR="00F104EE">
        <w:rPr>
          <w:szCs w:val="24"/>
        </w:rPr>
        <w:t>.</w:t>
      </w:r>
      <w:r w:rsidR="00F104EE" w:rsidRPr="00F104EE">
        <w:rPr>
          <w:szCs w:val="24"/>
        </w:rPr>
        <w:t>, ELI: http://data.europa.eu/eli/dir/2024/1275/oj</w:t>
      </w:r>
      <w:r>
        <w:t>).</w:t>
      </w:r>
    </w:p>
  </w:footnote>
  <w:footnote w:id="16">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Nr. 910/2014 (2014. gada 23. jūlijs) par elektronisko identifikāciju un uzticamības pakalpojumiem elektronisko darījumu veikšanai iekšējā tirgū un ar ko atceļ Direktīvu 1999/93/EK (OV L 257, 28.8.2014., 73. lpp.).</w:t>
      </w:r>
    </w:p>
  </w:footnote>
  <w:footnote w:id="17">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footnote>
  <w:footnote w:id="18">
    <w:p w:rsidR="00C37615" w:rsidRPr="00C34F39" w:rsidRDefault="00C37615" w:rsidP="00C37615">
      <w:pPr>
        <w:pStyle w:val="FootnoteTextForceStyle"/>
        <w:ind w:left="709" w:hanging="709"/>
        <w:rPr>
          <w:szCs w:val="24"/>
        </w:rPr>
      </w:pPr>
      <w:r>
        <w:rPr>
          <w:szCs w:val="24"/>
          <w:vertAlign w:val="superscript"/>
          <w:lang w:val="en-GB"/>
        </w:rPr>
        <w:footnoteRef/>
      </w:r>
      <w:r>
        <w:tab/>
        <w:t xml:space="preserve">Eiropas Parlamenta un Padomes Regula (ES) 2019/817 (2019. gada 20. maijs), ar ko izveido satvaru ES informācijas sistēmu </w:t>
      </w:r>
      <w:proofErr w:type="spellStart"/>
      <w:r>
        <w:t>sadarbspējai</w:t>
      </w:r>
      <w:proofErr w:type="spellEnd"/>
      <w:r>
        <w:t xml:space="preserve"> robežu un vīzu jomā un groza Eiropas Parlamenta un Padomes Regulas (EK) Nr. 767/2008, (ES) 2016/399, (ES) 2017/2226, (ES) 2018/1240, (ES) 2018/1726 un (ES) 2018/1861 un Padomes Lēmumus 2004/512/EK un 2008/633/TI (OV L 135, 22.5.2019., 27. lpp.).</w:t>
      </w:r>
    </w:p>
  </w:footnote>
  <w:footnote w:id="19">
    <w:p w:rsidR="00C37615" w:rsidRPr="00C34F39" w:rsidRDefault="00C37615" w:rsidP="00C37615">
      <w:pPr>
        <w:pStyle w:val="FootnoteTextForceStyle"/>
        <w:ind w:left="709" w:hanging="709"/>
        <w:rPr>
          <w:szCs w:val="24"/>
        </w:rPr>
      </w:pPr>
      <w:r>
        <w:rPr>
          <w:szCs w:val="24"/>
          <w:vertAlign w:val="superscript"/>
          <w:lang w:val="en-GB"/>
        </w:rPr>
        <w:footnoteRef/>
      </w:r>
      <w:r>
        <w:tab/>
        <w:t xml:space="preserve">Eiropas Parlamenta un Padomes Regula (ES) 2019/818 (2019. gada 20. maijs), ar ko izveido satvaru ES informācijas sistēmu </w:t>
      </w:r>
      <w:proofErr w:type="spellStart"/>
      <w:r>
        <w:t>sadarbspējai</w:t>
      </w:r>
      <w:proofErr w:type="spellEnd"/>
      <w:r>
        <w:t xml:space="preserve"> policijas un tiesu iestāžu sadarbības, patvēruma un migrācijas jomā un groza Regulas (ES) 2018/1726, (ES) 2018/1862 un (ES) 2019/816 (OV L 135, 22.5.2019., 85. lpp.).</w:t>
      </w:r>
    </w:p>
  </w:footnote>
  <w:footnote w:id="20">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21">
    <w:p w:rsidR="00C37615" w:rsidRPr="00C34F39" w:rsidRDefault="00C37615" w:rsidP="00C37615">
      <w:pPr>
        <w:pStyle w:val="FootnoteTextForceStyle"/>
        <w:ind w:left="709" w:hanging="709"/>
        <w:rPr>
          <w:szCs w:val="24"/>
        </w:rPr>
      </w:pPr>
      <w:r>
        <w:rPr>
          <w:rStyle w:val="FootnoteReference"/>
          <w:szCs w:val="24"/>
          <w:lang w:val="en-GB"/>
        </w:rPr>
        <w:footnoteRef/>
      </w:r>
      <w: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2">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Direktīva 2002/58/EK (2002. gada 12. jūlijs) par personas datu apstrādi un privātās dzīves aizsardzību elektronisko komunikāciju nozarē (Direktīva par privātās dzīves aizsardzību un elektronisko komunikāciju) (OV L 201, 31.7.2002., 37. lpp.).</w:t>
      </w:r>
    </w:p>
  </w:footnote>
  <w:footnote w:id="23">
    <w:p w:rsidR="00C37615" w:rsidRPr="00C34F39" w:rsidRDefault="00C37615" w:rsidP="00C37615">
      <w:pPr>
        <w:pStyle w:val="FootnoteTextForceStyle"/>
        <w:ind w:left="709" w:hanging="709"/>
        <w:rPr>
          <w:szCs w:val="24"/>
        </w:rPr>
      </w:pPr>
      <w:r>
        <w:rPr>
          <w:szCs w:val="24"/>
          <w:vertAlign w:val="superscript"/>
          <w:lang w:val="en-GB"/>
        </w:rPr>
        <w:footnoteRef/>
      </w:r>
      <w:r>
        <w:tab/>
        <w:t>OV L 123, 12.5.2016., 1. lpp.</w:t>
      </w:r>
    </w:p>
  </w:footnote>
  <w:footnote w:id="24">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2021/690 (2021. gada 28. aprīlis), ar ko izveido iekšējā tirgus, uzņēmumu, tostarp mazo un vidējo uzņēmumu, konkurētspējas, augu, dzīvnieku, pārtikas aprites un dzīvnieku barības jomas un Eiropas statistikas programmu (vienotā tirgus programma) un atceļ Regulas (ES) Nr. 99/2013, (ES) Nr. 1287/2013, (ES) Nr. 254/2014, un (ES) Nr. 652/2014 (OV L 153, 3.5.2021., 1. lpp.).</w:t>
      </w:r>
    </w:p>
  </w:footnote>
  <w:footnote w:id="25">
    <w:p w:rsidR="00C37615" w:rsidRPr="00C34F39" w:rsidRDefault="00C37615" w:rsidP="00C37615">
      <w:pPr>
        <w:pStyle w:val="FootnoteTextForceStyle"/>
        <w:ind w:left="709" w:hanging="709"/>
        <w:rPr>
          <w:szCs w:val="24"/>
        </w:rPr>
      </w:pPr>
      <w:r>
        <w:rPr>
          <w:rStyle w:val="FootnoteReference"/>
          <w:szCs w:val="24"/>
          <w:lang w:val="en-GB"/>
        </w:rPr>
        <w:footnoteRef/>
      </w:r>
      <w:r>
        <w:tab/>
        <w:t>Eiropas Parlamenta un Padomes Regula (ES) 2021/240 (2021. gada 10. februāris), ar ko izveido tehniskā atbalsta instrumentu (OV L 57, 18.2.2021., 1. lpp.).</w:t>
      </w:r>
    </w:p>
  </w:footnote>
  <w:footnote w:id="26">
    <w:p w:rsidR="00C37615" w:rsidRPr="00C34F39" w:rsidRDefault="00C37615" w:rsidP="00C37615">
      <w:pPr>
        <w:pStyle w:val="FootnoteTextForceStyle"/>
        <w:ind w:left="709" w:hanging="709"/>
        <w:rPr>
          <w:szCs w:val="24"/>
        </w:rPr>
      </w:pPr>
      <w:r>
        <w:rPr>
          <w:rStyle w:val="FootnoteReference"/>
          <w:szCs w:val="24"/>
          <w:lang w:val="en-GB"/>
        </w:rPr>
        <w:footnoteRef/>
      </w:r>
      <w:r>
        <w:tab/>
        <w:t>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(OV L 193, 30.7.2018., 1. lpp.).</w:t>
      </w:r>
    </w:p>
  </w:footnote>
  <w:footnote w:id="27">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Euratom) Nr. 883/2013 (2013. gada 11. septembris) par izmeklēšanu, ko veic Eiropas Birojs krāpšanas apkarošanai (</w:t>
      </w:r>
      <w:r>
        <w:rPr>
          <w:i/>
          <w:iCs/>
        </w:rPr>
        <w:t>OLAF</w:t>
      </w:r>
      <w:r>
        <w:t>), un ar ko atceļ Eiropas Parlamenta un Padomes Regulu (EK) Nr. 1073/1999 un Padomes Regulu (Euratom) Nr. 1074/1999 (OV L 248, 18.9.2013., 1. lpp.).</w:t>
      </w:r>
    </w:p>
  </w:footnote>
  <w:footnote w:id="28">
    <w:p w:rsidR="00C37615" w:rsidRPr="00C34F39" w:rsidRDefault="00C37615" w:rsidP="00C37615">
      <w:pPr>
        <w:pStyle w:val="FootnoteTextForceStyle"/>
        <w:ind w:left="709" w:hanging="709"/>
        <w:rPr>
          <w:szCs w:val="24"/>
        </w:rPr>
      </w:pPr>
      <w:r>
        <w:rPr>
          <w:szCs w:val="24"/>
          <w:vertAlign w:val="superscript"/>
          <w:lang w:val="en-GB"/>
        </w:rPr>
        <w:footnoteRef/>
      </w:r>
      <w:r>
        <w:tab/>
        <w:t>Padomes Regula (EK, Euratom) Nr. 2988/95 (1995. gada 18. decembris) par Eiropas Kopienu finanšu interešu aizsardzību (OV L 312, 23.12.1995., 1. lpp.).</w:t>
      </w:r>
    </w:p>
  </w:footnote>
  <w:footnote w:id="29">
    <w:p w:rsidR="00C37615" w:rsidRPr="00C34F39" w:rsidRDefault="00C37615" w:rsidP="00C37615">
      <w:pPr>
        <w:pStyle w:val="FootnoteTextForceStyle"/>
        <w:ind w:left="709" w:hanging="709"/>
        <w:rPr>
          <w:szCs w:val="24"/>
        </w:rPr>
      </w:pPr>
      <w:r>
        <w:rPr>
          <w:szCs w:val="24"/>
          <w:vertAlign w:val="superscript"/>
          <w:lang w:val="en-GB"/>
        </w:rPr>
        <w:footnoteRef/>
      </w:r>
      <w:r>
        <w:tab/>
        <w:t>Padomes Regula (Euratom, EK) Nr. 2185/96 (1996. gada 11. novembris) par pārbaudēm un apskatēm uz vietas, ko Komisija veic, lai aizsargātu Eiropas Kopienu finanšu intereses pret krāpšanu un citām nelikumībām (OV L 292, 15.11.1996., 2. lpp.).</w:t>
      </w:r>
    </w:p>
  </w:footnote>
  <w:footnote w:id="30">
    <w:p w:rsidR="00C37615" w:rsidRPr="00C34F39" w:rsidRDefault="00C37615" w:rsidP="00C37615">
      <w:pPr>
        <w:pStyle w:val="FootnoteTextForceStyle"/>
        <w:ind w:left="709" w:hanging="709"/>
        <w:rPr>
          <w:szCs w:val="24"/>
        </w:rPr>
      </w:pPr>
      <w:r>
        <w:rPr>
          <w:szCs w:val="24"/>
          <w:vertAlign w:val="superscript"/>
          <w:lang w:val="en-GB"/>
        </w:rPr>
        <w:footnoteRef/>
      </w:r>
      <w:r>
        <w:tab/>
        <w:t>Padomes Regula (ES) 2017/1939 (2017. gada 12. oktobris), ar ko īsteno ciešāku sadarbību Eiropas Prokuratūras (</w:t>
      </w:r>
      <w:r>
        <w:rPr>
          <w:i/>
          <w:iCs/>
        </w:rPr>
        <w:t>EPPO</w:t>
      </w:r>
      <w:r>
        <w:t>) izveidei (OV L 283, 31.10.2017., 1. lpp.).</w:t>
      </w:r>
    </w:p>
  </w:footnote>
  <w:footnote w:id="31">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Direktīva (ES) 2017/1371 (2017. gada 5. jūlijs) par cīņu pret krāpšanu, kas skar Savienības finanšu intereses, izmantojot krimināltiesības (OV L 198, 28.7.2017., 29. lpp.).</w:t>
      </w:r>
    </w:p>
  </w:footnote>
  <w:footnote w:id="32">
    <w:p w:rsidR="00C37615" w:rsidRPr="00C34F39" w:rsidRDefault="00C37615" w:rsidP="00C37615">
      <w:pPr>
        <w:pStyle w:val="FootnoteTextForceStyle"/>
        <w:ind w:left="709" w:hanging="709"/>
        <w:rPr>
          <w:szCs w:val="24"/>
        </w:rPr>
      </w:pPr>
      <w:r>
        <w:rPr>
          <w:szCs w:val="24"/>
          <w:vertAlign w:val="superscript"/>
          <w:lang w:val="en-GB"/>
        </w:rPr>
        <w:footnoteRef/>
      </w:r>
      <w: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33">
    <w:p w:rsidR="00C37615" w:rsidRPr="00C37615" w:rsidRDefault="00C37615" w:rsidP="00C37615">
      <w:pPr>
        <w:pStyle w:val="FootnoteText"/>
        <w:ind w:left="709" w:hanging="709"/>
        <w:rPr>
          <w:sz w:val="24"/>
          <w:szCs w:val="24"/>
          <w:lang w:val="lv-LV"/>
        </w:rPr>
      </w:pPr>
      <w:r w:rsidRPr="00C37615">
        <w:rPr>
          <w:rStyle w:val="FootnoteReference"/>
          <w:sz w:val="24"/>
          <w:lang w:val="lv-LV"/>
        </w:rPr>
        <w:t>+</w:t>
      </w:r>
      <w:r w:rsidRPr="00C37615">
        <w:rPr>
          <w:sz w:val="24"/>
          <w:lang w:val="lv-LV"/>
        </w:rPr>
        <w:tab/>
      </w:r>
      <w:bookmarkStart w:id="9" w:name="_Hlk159427958"/>
      <w:r w:rsidRPr="00C37615">
        <w:rPr>
          <w:sz w:val="24"/>
          <w:lang w:val="lv-LV"/>
        </w:rPr>
        <w:t xml:space="preserve">OV: lūgums tekstā ievietot dokumentā 2023/0008(COD) ietvertās regulas numuru </w:t>
      </w:r>
      <w:bookmarkEnd w:id="9"/>
      <w:r w:rsidRPr="00C37615">
        <w:rPr>
          <w:sz w:val="24"/>
          <w:lang w:val="lv-LV"/>
        </w:rPr>
        <w:t>un zemsvītras piezīmē ievietot minētās regulas numuru, datumu, nosaukumu un OV atsauci.</w:t>
      </w:r>
    </w:p>
  </w:footnote>
  <w:footnote w:id="34">
    <w:p w:rsidR="00C37615" w:rsidRPr="00C37615" w:rsidRDefault="00C37615" w:rsidP="00C37615">
      <w:pPr>
        <w:pStyle w:val="FootnoteText"/>
        <w:ind w:left="709" w:hanging="709"/>
        <w:rPr>
          <w:sz w:val="24"/>
          <w:szCs w:val="24"/>
          <w:lang w:val="lv-LV"/>
        </w:rPr>
      </w:pPr>
      <w:r w:rsidRPr="00C37615">
        <w:rPr>
          <w:rStyle w:val="FootnoteReference"/>
          <w:sz w:val="24"/>
          <w:lang w:val="lv-LV"/>
        </w:rPr>
        <w:t>+</w:t>
      </w:r>
      <w:r w:rsidRPr="00C37615">
        <w:rPr>
          <w:sz w:val="24"/>
          <w:lang w:val="lv-LV"/>
        </w:rPr>
        <w:tab/>
        <w:t>OV: lūgums tekstā ievietot dokumentā 2023/0008(COD) ietvertās regulas numuru un zemsvītras piezīmē ievietot minētās regulas numuru, datumu, nosaukumu un OV atsauci.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5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533A364C">
      <w:start w:val="1"/>
      <w:numFmt w:val="decimal"/>
      <w:lvlText w:val="%1."/>
      <w:lvlJc w:val="left"/>
      <w:pPr>
        <w:ind w:left="930" w:hanging="570"/>
      </w:pPr>
      <w:rPr>
        <w:rFonts w:hint="default"/>
      </w:rPr>
    </w:lvl>
    <w:lvl w:ilvl="1" w:tplc="561E3396" w:tentative="1">
      <w:start w:val="1"/>
      <w:numFmt w:val="lowerLetter"/>
      <w:lvlText w:val="%2."/>
      <w:lvlJc w:val="left"/>
      <w:pPr>
        <w:ind w:left="1440" w:hanging="360"/>
      </w:pPr>
    </w:lvl>
    <w:lvl w:ilvl="2" w:tplc="51628112" w:tentative="1">
      <w:start w:val="1"/>
      <w:numFmt w:val="lowerRoman"/>
      <w:lvlText w:val="%3."/>
      <w:lvlJc w:val="right"/>
      <w:pPr>
        <w:ind w:left="2160" w:hanging="180"/>
      </w:pPr>
    </w:lvl>
    <w:lvl w:ilvl="3" w:tplc="F08A603A" w:tentative="1">
      <w:start w:val="1"/>
      <w:numFmt w:val="decimal"/>
      <w:lvlText w:val="%4."/>
      <w:lvlJc w:val="left"/>
      <w:pPr>
        <w:ind w:left="2880" w:hanging="360"/>
      </w:pPr>
    </w:lvl>
    <w:lvl w:ilvl="4" w:tplc="FDDED6E4" w:tentative="1">
      <w:start w:val="1"/>
      <w:numFmt w:val="lowerLetter"/>
      <w:lvlText w:val="%5."/>
      <w:lvlJc w:val="left"/>
      <w:pPr>
        <w:ind w:left="3600" w:hanging="360"/>
      </w:pPr>
    </w:lvl>
    <w:lvl w:ilvl="5" w:tplc="84EA991A" w:tentative="1">
      <w:start w:val="1"/>
      <w:numFmt w:val="lowerRoman"/>
      <w:lvlText w:val="%6."/>
      <w:lvlJc w:val="right"/>
      <w:pPr>
        <w:ind w:left="4320" w:hanging="180"/>
      </w:pPr>
    </w:lvl>
    <w:lvl w:ilvl="6" w:tplc="F2321FA2" w:tentative="1">
      <w:start w:val="1"/>
      <w:numFmt w:val="decimal"/>
      <w:lvlText w:val="%7."/>
      <w:lvlJc w:val="left"/>
      <w:pPr>
        <w:ind w:left="5040" w:hanging="360"/>
      </w:pPr>
    </w:lvl>
    <w:lvl w:ilvl="7" w:tplc="FC7A69F2" w:tentative="1">
      <w:start w:val="1"/>
      <w:numFmt w:val="lowerLetter"/>
      <w:lvlText w:val="%8."/>
      <w:lvlJc w:val="left"/>
      <w:pPr>
        <w:ind w:left="5760" w:hanging="360"/>
      </w:pPr>
    </w:lvl>
    <w:lvl w:ilvl="8" w:tplc="BFDE2AC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LV"/>
    <w:docVar w:name="dvnumam" w:val="83"/>
    <w:docVar w:name="dvpe" w:val="746.665"/>
    <w:docVar w:name="dvrapporteur" w:val="Referente: "/>
    <w:docVar w:name="dvstar" w:val="***I"/>
    <w:docVar w:name="dvtitre" w:val="Eiropas Parlamenta 2024. gada XX. XXX normatīvā rezolūcija par priekšlikumu Eiropas Parlamenta un Padomes regulai par Eiropas statistiku par iedzīvotājiem un mājokļiem, ar ko groza Regulu (EK) Nr. 862/2007 un atceļ Regulas (EK) Nr. 763/2008 un (ES) Nr. 1260/2013(COM(2023)0031 – C9-0010/2023 – 2023/0008(COD))"/>
  </w:docVars>
  <w:rsids>
    <w:rsidRoot w:val="008D01F9"/>
    <w:rsid w:val="00002272"/>
    <w:rsid w:val="00064002"/>
    <w:rsid w:val="000677B9"/>
    <w:rsid w:val="000831BA"/>
    <w:rsid w:val="00097E65"/>
    <w:rsid w:val="000A42CC"/>
    <w:rsid w:val="000E7DD9"/>
    <w:rsid w:val="0010095E"/>
    <w:rsid w:val="00125B37"/>
    <w:rsid w:val="00143228"/>
    <w:rsid w:val="00187494"/>
    <w:rsid w:val="001F32AE"/>
    <w:rsid w:val="002767FF"/>
    <w:rsid w:val="00294530"/>
    <w:rsid w:val="002B18FE"/>
    <w:rsid w:val="002B5493"/>
    <w:rsid w:val="00343214"/>
    <w:rsid w:val="00361C00"/>
    <w:rsid w:val="00395FA1"/>
    <w:rsid w:val="003B2F5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1F9"/>
    <w:rsid w:val="00930C23"/>
    <w:rsid w:val="0093193B"/>
    <w:rsid w:val="0093445D"/>
    <w:rsid w:val="009509D8"/>
    <w:rsid w:val="00950B64"/>
    <w:rsid w:val="00981893"/>
    <w:rsid w:val="00A1687D"/>
    <w:rsid w:val="00A43E52"/>
    <w:rsid w:val="00A4678D"/>
    <w:rsid w:val="00A47D7A"/>
    <w:rsid w:val="00A778C7"/>
    <w:rsid w:val="00AB441E"/>
    <w:rsid w:val="00AB6293"/>
    <w:rsid w:val="00AE0928"/>
    <w:rsid w:val="00AF3B82"/>
    <w:rsid w:val="00B12E95"/>
    <w:rsid w:val="00B22876"/>
    <w:rsid w:val="00B558F0"/>
    <w:rsid w:val="00BD48FE"/>
    <w:rsid w:val="00BD7BD8"/>
    <w:rsid w:val="00BE6ADC"/>
    <w:rsid w:val="00C05BFE"/>
    <w:rsid w:val="00C12891"/>
    <w:rsid w:val="00C23CD4"/>
    <w:rsid w:val="00C37615"/>
    <w:rsid w:val="00C61C0C"/>
    <w:rsid w:val="00C941CB"/>
    <w:rsid w:val="00CC2357"/>
    <w:rsid w:val="00CF071A"/>
    <w:rsid w:val="00D058B8"/>
    <w:rsid w:val="00D56C11"/>
    <w:rsid w:val="00D834A0"/>
    <w:rsid w:val="00D872DF"/>
    <w:rsid w:val="00D91E21"/>
    <w:rsid w:val="00DA7FCD"/>
    <w:rsid w:val="00E208F3"/>
    <w:rsid w:val="00E365E1"/>
    <w:rsid w:val="00E779F0"/>
    <w:rsid w:val="00E820A4"/>
    <w:rsid w:val="00EB006A"/>
    <w:rsid w:val="00EB4772"/>
    <w:rsid w:val="00ED169E"/>
    <w:rsid w:val="00ED4235"/>
    <w:rsid w:val="00F04346"/>
    <w:rsid w:val="00F075DC"/>
    <w:rsid w:val="00F104EE"/>
    <w:rsid w:val="00F149E9"/>
    <w:rsid w:val="00F35F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3CD566-74F3-4CEE-A268-666E4FE6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208F3"/>
    <w:rPr>
      <w:b/>
      <w:kern w:val="28"/>
      <w:sz w:val="28"/>
      <w:lang w:val="fr-FR" w:eastAsia="fr-FR"/>
    </w:rPr>
  </w:style>
  <w:style w:type="character" w:customStyle="1" w:styleId="Heading2Char">
    <w:name w:val="Heading 2 Char"/>
    <w:basedOn w:val="DefaultParagraphFont"/>
    <w:link w:val="Heading2"/>
    <w:semiHidden/>
    <w:rsid w:val="00E208F3"/>
    <w:rPr>
      <w:sz w:val="24"/>
      <w:lang w:val="fr-FR" w:eastAsia="fr-FR"/>
    </w:rPr>
  </w:style>
  <w:style w:type="character" w:customStyle="1" w:styleId="Heading3Char">
    <w:name w:val="Heading 3 Char"/>
    <w:basedOn w:val="DefaultParagraphFont"/>
    <w:link w:val="Heading3"/>
    <w:semiHidden/>
    <w:rsid w:val="00E208F3"/>
    <w:rPr>
      <w:rFonts w:ascii="Arial" w:hAnsi="Arial"/>
      <w:sz w:val="24"/>
      <w:lang w:val="fr-FR" w:eastAsia="fr-FR"/>
    </w:rPr>
  </w:style>
  <w:style w:type="character" w:customStyle="1" w:styleId="Heading4Char">
    <w:name w:val="Heading 4 Char"/>
    <w:basedOn w:val="DefaultParagraphFont"/>
    <w:link w:val="Heading4"/>
    <w:semiHidden/>
    <w:rsid w:val="00E208F3"/>
    <w:rPr>
      <w:sz w:val="24"/>
      <w:lang w:val="en-US" w:eastAsia="fr-FR"/>
    </w:rPr>
  </w:style>
  <w:style w:type="character" w:customStyle="1" w:styleId="Heading5Char">
    <w:name w:val="Heading 5 Char"/>
    <w:basedOn w:val="DefaultParagraphFont"/>
    <w:link w:val="Heading5"/>
    <w:semiHidden/>
    <w:rsid w:val="00E208F3"/>
    <w:rPr>
      <w:sz w:val="24"/>
      <w:lang w:val="en-US" w:eastAsia="fr-FR"/>
    </w:rPr>
  </w:style>
  <w:style w:type="character" w:customStyle="1" w:styleId="Heading6Char">
    <w:name w:val="Heading 6 Char"/>
    <w:basedOn w:val="DefaultParagraphFont"/>
    <w:link w:val="Heading6"/>
    <w:semiHidden/>
    <w:rsid w:val="00E208F3"/>
    <w:rPr>
      <w:i/>
      <w:sz w:val="22"/>
      <w:lang w:val="lv-LV"/>
    </w:rPr>
  </w:style>
  <w:style w:type="character" w:customStyle="1" w:styleId="Heading7Char">
    <w:name w:val="Heading 7 Char"/>
    <w:basedOn w:val="DefaultParagraphFont"/>
    <w:link w:val="Heading7"/>
    <w:semiHidden/>
    <w:rsid w:val="00E208F3"/>
    <w:rPr>
      <w:rFonts w:ascii="Arial" w:hAnsi="Arial"/>
      <w:sz w:val="24"/>
      <w:lang w:val="lv-LV"/>
    </w:rPr>
  </w:style>
  <w:style w:type="character" w:customStyle="1" w:styleId="Heading8Char">
    <w:name w:val="Heading 8 Char"/>
    <w:basedOn w:val="DefaultParagraphFont"/>
    <w:link w:val="Heading8"/>
    <w:semiHidden/>
    <w:rsid w:val="00E208F3"/>
    <w:rPr>
      <w:rFonts w:ascii="Arial" w:hAnsi="Arial"/>
      <w:i/>
      <w:sz w:val="24"/>
      <w:lang w:val="lv-LV"/>
    </w:rPr>
  </w:style>
  <w:style w:type="character" w:customStyle="1" w:styleId="Heading9Char">
    <w:name w:val="Heading 9 Char"/>
    <w:basedOn w:val="DefaultParagraphFont"/>
    <w:link w:val="Heading9"/>
    <w:semiHidden/>
    <w:rsid w:val="00E208F3"/>
    <w:rPr>
      <w:rFonts w:ascii="Arial" w:hAnsi="Arial"/>
      <w:b/>
      <w:i/>
      <w:sz w:val="18"/>
      <w:lang w:val="lv-LV"/>
    </w:rPr>
  </w:style>
  <w:style w:type="paragraph" w:styleId="TOCHeading">
    <w:name w:val="TOC Heading"/>
    <w:basedOn w:val="Normal"/>
    <w:next w:val="Normal"/>
    <w:unhideWhenUsed/>
    <w:qFormat/>
    <w:rsid w:val="00E208F3"/>
    <w:pPr>
      <w:widowControl/>
      <w:spacing w:after="240"/>
    </w:pPr>
    <w:rPr>
      <w:lang w:val="en-GB"/>
    </w:rPr>
  </w:style>
  <w:style w:type="paragraph" w:customStyle="1" w:styleId="EPFooter2">
    <w:name w:val="EPFooter2"/>
    <w:basedOn w:val="Normal"/>
    <w:next w:val="Normal"/>
    <w:rsid w:val="00E208F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208F3"/>
    <w:pPr>
      <w:keepNext/>
      <w:spacing w:after="240"/>
      <w:jc w:val="right"/>
    </w:pPr>
    <w:rPr>
      <w:rFonts w:ascii="Arial" w:hAnsi="Arial"/>
      <w:b/>
    </w:rPr>
  </w:style>
  <w:style w:type="paragraph" w:customStyle="1" w:styleId="Normal6a">
    <w:name w:val="Normal6a"/>
    <w:basedOn w:val="Normal"/>
    <w:rsid w:val="00E208F3"/>
    <w:pPr>
      <w:spacing w:after="120"/>
    </w:pPr>
  </w:style>
  <w:style w:type="paragraph" w:customStyle="1" w:styleId="PageHeading">
    <w:name w:val="PageHeading"/>
    <w:basedOn w:val="Normal"/>
    <w:rsid w:val="00E208F3"/>
    <w:pPr>
      <w:keepNext/>
      <w:spacing w:after="480"/>
      <w:jc w:val="center"/>
    </w:pPr>
    <w:rPr>
      <w:rFonts w:ascii="Arial" w:hAnsi="Arial" w:cs="Arial"/>
      <w:b/>
    </w:rPr>
  </w:style>
  <w:style w:type="paragraph" w:customStyle="1" w:styleId="NormalBold">
    <w:name w:val="NormalBold"/>
    <w:basedOn w:val="Normal"/>
    <w:link w:val="NormalBoldChar"/>
    <w:rsid w:val="00E208F3"/>
    <w:rPr>
      <w:b/>
    </w:rPr>
  </w:style>
  <w:style w:type="paragraph" w:customStyle="1" w:styleId="NormalBold12a">
    <w:name w:val="NormalBold12a"/>
    <w:basedOn w:val="Normal"/>
    <w:rsid w:val="00E208F3"/>
    <w:pPr>
      <w:spacing w:after="240"/>
    </w:pPr>
    <w:rPr>
      <w:b/>
    </w:rPr>
  </w:style>
  <w:style w:type="paragraph" w:customStyle="1" w:styleId="AmJustText">
    <w:name w:val="AmJustText"/>
    <w:basedOn w:val="Normal"/>
    <w:rsid w:val="00E208F3"/>
    <w:pPr>
      <w:spacing w:after="240"/>
    </w:pPr>
    <w:rPr>
      <w:i/>
    </w:rPr>
  </w:style>
  <w:style w:type="paragraph" w:customStyle="1" w:styleId="NormalHanging12a">
    <w:name w:val="NormalHanging12a"/>
    <w:basedOn w:val="Normal"/>
    <w:rsid w:val="00E208F3"/>
    <w:pPr>
      <w:spacing w:after="240"/>
      <w:ind w:left="567" w:hanging="567"/>
    </w:pPr>
  </w:style>
  <w:style w:type="paragraph" w:customStyle="1" w:styleId="CoverNormal24a">
    <w:name w:val="CoverNormal24a"/>
    <w:basedOn w:val="Normal"/>
    <w:rsid w:val="00E208F3"/>
    <w:pPr>
      <w:spacing w:after="480"/>
      <w:ind w:left="1417"/>
    </w:pPr>
  </w:style>
  <w:style w:type="paragraph" w:customStyle="1" w:styleId="CoverNormal">
    <w:name w:val="CoverNormal"/>
    <w:basedOn w:val="Normal"/>
    <w:rsid w:val="00E208F3"/>
    <w:pPr>
      <w:ind w:left="1418"/>
    </w:pPr>
  </w:style>
  <w:style w:type="paragraph" w:customStyle="1" w:styleId="AmCrossRef">
    <w:name w:val="AmCrossRef"/>
    <w:basedOn w:val="Normal"/>
    <w:rsid w:val="00E208F3"/>
    <w:pPr>
      <w:spacing w:before="240" w:after="240"/>
      <w:jc w:val="center"/>
    </w:pPr>
    <w:rPr>
      <w:i/>
    </w:rPr>
  </w:style>
  <w:style w:type="paragraph" w:customStyle="1" w:styleId="AmJustTitle">
    <w:name w:val="AmJustTitle"/>
    <w:basedOn w:val="Normal"/>
    <w:next w:val="AmJustText"/>
    <w:rsid w:val="00E208F3"/>
    <w:pPr>
      <w:keepNext/>
      <w:spacing w:before="240" w:after="240"/>
      <w:jc w:val="center"/>
    </w:pPr>
    <w:rPr>
      <w:i/>
    </w:rPr>
  </w:style>
  <w:style w:type="paragraph" w:customStyle="1" w:styleId="CoverReference">
    <w:name w:val="CoverReference"/>
    <w:basedOn w:val="Normal"/>
    <w:rsid w:val="00E208F3"/>
    <w:pPr>
      <w:spacing w:before="1080"/>
      <w:jc w:val="right"/>
    </w:pPr>
    <w:rPr>
      <w:rFonts w:ascii="Arial" w:hAnsi="Arial" w:cs="Arial"/>
      <w:b/>
    </w:rPr>
  </w:style>
  <w:style w:type="paragraph" w:customStyle="1" w:styleId="CoverDocType">
    <w:name w:val="CoverDocType"/>
    <w:basedOn w:val="Normal"/>
    <w:rsid w:val="00E208F3"/>
    <w:pPr>
      <w:ind w:left="1418"/>
    </w:pPr>
    <w:rPr>
      <w:rFonts w:ascii="Arial" w:hAnsi="Arial"/>
      <w:b/>
      <w:sz w:val="48"/>
    </w:rPr>
  </w:style>
  <w:style w:type="paragraph" w:customStyle="1" w:styleId="CoverDocType24a">
    <w:name w:val="CoverDocType24a"/>
    <w:basedOn w:val="Normal"/>
    <w:rsid w:val="00E208F3"/>
    <w:pPr>
      <w:spacing w:after="480"/>
      <w:ind w:left="1418"/>
    </w:pPr>
    <w:rPr>
      <w:rFonts w:ascii="Arial" w:hAnsi="Arial"/>
      <w:b/>
      <w:sz w:val="48"/>
    </w:rPr>
  </w:style>
  <w:style w:type="paragraph" w:customStyle="1" w:styleId="CoverDate">
    <w:name w:val="CoverDate"/>
    <w:basedOn w:val="Normal"/>
    <w:rsid w:val="00E208F3"/>
    <w:pPr>
      <w:spacing w:before="240" w:after="1200"/>
    </w:pPr>
  </w:style>
  <w:style w:type="paragraph" w:styleId="Header">
    <w:name w:val="header"/>
    <w:basedOn w:val="Normal"/>
    <w:link w:val="HeaderChar"/>
    <w:rsid w:val="00E208F3"/>
    <w:pPr>
      <w:tabs>
        <w:tab w:val="center" w:pos="4513"/>
        <w:tab w:val="right" w:pos="9026"/>
      </w:tabs>
    </w:pPr>
  </w:style>
  <w:style w:type="character" w:customStyle="1" w:styleId="HeaderChar">
    <w:name w:val="Header Char"/>
    <w:basedOn w:val="DefaultParagraphFont"/>
    <w:link w:val="Header"/>
    <w:rsid w:val="00E208F3"/>
    <w:rPr>
      <w:sz w:val="24"/>
      <w:lang w:val="lv-LV"/>
    </w:rPr>
  </w:style>
  <w:style w:type="paragraph" w:customStyle="1" w:styleId="AmOrLang">
    <w:name w:val="AmOrLang"/>
    <w:basedOn w:val="Normal"/>
    <w:rsid w:val="00E208F3"/>
    <w:pPr>
      <w:spacing w:before="240" w:after="240"/>
      <w:jc w:val="right"/>
    </w:pPr>
  </w:style>
  <w:style w:type="paragraph" w:customStyle="1" w:styleId="AmColumnHeading">
    <w:name w:val="AmColumnHeading"/>
    <w:basedOn w:val="Normal"/>
    <w:rsid w:val="00E208F3"/>
    <w:pPr>
      <w:spacing w:after="240"/>
      <w:jc w:val="center"/>
    </w:pPr>
    <w:rPr>
      <w:i/>
    </w:rPr>
  </w:style>
  <w:style w:type="paragraph" w:customStyle="1" w:styleId="AmNumberTabs">
    <w:name w:val="AmNumberTabs"/>
    <w:basedOn w:val="Normal"/>
    <w:rsid w:val="00E208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208F3"/>
    <w:pPr>
      <w:spacing w:before="240"/>
    </w:pPr>
    <w:rPr>
      <w:b/>
    </w:rPr>
  </w:style>
  <w:style w:type="paragraph" w:customStyle="1" w:styleId="EPBody">
    <w:name w:val="EPBody"/>
    <w:basedOn w:val="Normal"/>
    <w:rsid w:val="00E208F3"/>
    <w:pPr>
      <w:jc w:val="center"/>
    </w:pPr>
    <w:rPr>
      <w:rFonts w:ascii="Arial" w:hAnsi="Arial" w:cs="Arial"/>
      <w:i/>
      <w:sz w:val="22"/>
      <w:szCs w:val="22"/>
    </w:rPr>
  </w:style>
  <w:style w:type="paragraph" w:customStyle="1" w:styleId="EPFooter">
    <w:name w:val="EPFooter"/>
    <w:basedOn w:val="Normal"/>
    <w:rsid w:val="00E208F3"/>
    <w:pPr>
      <w:tabs>
        <w:tab w:val="center" w:pos="4535"/>
        <w:tab w:val="right" w:pos="9071"/>
      </w:tabs>
      <w:spacing w:before="240" w:after="240"/>
    </w:pPr>
    <w:rPr>
      <w:color w:val="010000"/>
      <w:sz w:val="22"/>
    </w:rPr>
  </w:style>
  <w:style w:type="paragraph" w:customStyle="1" w:styleId="EPComma">
    <w:name w:val="EPComma"/>
    <w:basedOn w:val="Normal"/>
    <w:rsid w:val="00E208F3"/>
    <w:pPr>
      <w:spacing w:before="480" w:after="240"/>
    </w:pPr>
  </w:style>
  <w:style w:type="paragraph" w:customStyle="1" w:styleId="Lgendesigne">
    <w:name w:val="Légende signe"/>
    <w:basedOn w:val="Normal"/>
    <w:rsid w:val="00E208F3"/>
    <w:pPr>
      <w:tabs>
        <w:tab w:val="right" w:pos="454"/>
        <w:tab w:val="left" w:pos="737"/>
      </w:tabs>
      <w:ind w:left="737" w:hanging="737"/>
    </w:pPr>
    <w:rPr>
      <w:snapToGrid w:val="0"/>
      <w:sz w:val="18"/>
      <w:lang w:eastAsia="en-US"/>
    </w:rPr>
  </w:style>
  <w:style w:type="paragraph" w:customStyle="1" w:styleId="Lgendetitre">
    <w:name w:val="Légende titre"/>
    <w:basedOn w:val="Normal"/>
    <w:rsid w:val="00E208F3"/>
    <w:pPr>
      <w:spacing w:before="240" w:after="240"/>
    </w:pPr>
    <w:rPr>
      <w:b/>
      <w:i/>
      <w:snapToGrid w:val="0"/>
      <w:lang w:eastAsia="en-US"/>
    </w:rPr>
  </w:style>
  <w:style w:type="paragraph" w:customStyle="1" w:styleId="Lgendestandard">
    <w:name w:val="Légende standard"/>
    <w:basedOn w:val="Normal"/>
    <w:rsid w:val="00E208F3"/>
    <w:rPr>
      <w:sz w:val="18"/>
    </w:rPr>
  </w:style>
  <w:style w:type="character" w:customStyle="1" w:styleId="Normal6Char">
    <w:name w:val="Normal6 Char"/>
    <w:link w:val="Normal6"/>
    <w:locked/>
    <w:rsid w:val="00E208F3"/>
    <w:rPr>
      <w:sz w:val="24"/>
      <w:lang w:val="lv-LV"/>
    </w:rPr>
  </w:style>
  <w:style w:type="paragraph" w:customStyle="1" w:styleId="Normal6">
    <w:name w:val="Normal6"/>
    <w:basedOn w:val="Normal"/>
    <w:link w:val="Normal6Char"/>
    <w:rsid w:val="00E208F3"/>
    <w:pPr>
      <w:spacing w:after="120"/>
    </w:pPr>
  </w:style>
  <w:style w:type="character" w:customStyle="1" w:styleId="NormalBoldChar">
    <w:name w:val="NormalBold Char"/>
    <w:link w:val="NormalBold"/>
    <w:locked/>
    <w:rsid w:val="00E208F3"/>
    <w:rPr>
      <w:b/>
      <w:sz w:val="24"/>
      <w:lang w:val="lv-LV"/>
    </w:rPr>
  </w:style>
  <w:style w:type="paragraph" w:customStyle="1" w:styleId="Normal12Italic">
    <w:name w:val="Normal12Italic"/>
    <w:basedOn w:val="Normal"/>
    <w:rsid w:val="00E208F3"/>
    <w:pPr>
      <w:spacing w:after="240"/>
    </w:pPr>
    <w:rPr>
      <w:i/>
      <w:noProof/>
    </w:rPr>
  </w:style>
  <w:style w:type="paragraph" w:customStyle="1" w:styleId="JustificationTitle">
    <w:name w:val="JustificationTitle"/>
    <w:basedOn w:val="Normal"/>
    <w:next w:val="Normal"/>
    <w:rsid w:val="00E208F3"/>
    <w:pPr>
      <w:keepNext/>
      <w:spacing w:before="240" w:after="240"/>
      <w:jc w:val="center"/>
    </w:pPr>
    <w:rPr>
      <w:i/>
      <w:noProof/>
    </w:rPr>
  </w:style>
  <w:style w:type="paragraph" w:customStyle="1" w:styleId="ColumnHeading">
    <w:name w:val="ColumnHeading"/>
    <w:basedOn w:val="Normal"/>
    <w:rsid w:val="00E208F3"/>
    <w:pPr>
      <w:spacing w:after="240"/>
      <w:jc w:val="center"/>
    </w:pPr>
    <w:rPr>
      <w:i/>
    </w:rPr>
  </w:style>
  <w:style w:type="paragraph" w:customStyle="1" w:styleId="AMNumberTabs0">
    <w:name w:val="AMNumberTabs"/>
    <w:basedOn w:val="Normal"/>
    <w:rsid w:val="00E208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208F3"/>
    <w:pPr>
      <w:jc w:val="right"/>
    </w:pPr>
    <w:rPr>
      <w:lang w:val="lv-LV"/>
    </w:rPr>
  </w:style>
  <w:style w:type="paragraph" w:styleId="Footer">
    <w:name w:val="footer"/>
    <w:basedOn w:val="Normal"/>
    <w:link w:val="FooterChar"/>
    <w:rsid w:val="00E208F3"/>
    <w:pPr>
      <w:tabs>
        <w:tab w:val="center" w:pos="4513"/>
        <w:tab w:val="right" w:pos="9026"/>
      </w:tabs>
    </w:pPr>
  </w:style>
  <w:style w:type="character" w:customStyle="1" w:styleId="FooterChar">
    <w:name w:val="Footer Char"/>
    <w:basedOn w:val="DefaultParagraphFont"/>
    <w:link w:val="Footer"/>
    <w:rsid w:val="00E208F3"/>
    <w:rPr>
      <w:sz w:val="24"/>
      <w:lang w:val="lv-LV"/>
    </w:rPr>
  </w:style>
  <w:style w:type="paragraph" w:styleId="BalloonText">
    <w:name w:val="Balloon Text"/>
    <w:basedOn w:val="Normal"/>
    <w:link w:val="BalloonTextChar"/>
    <w:unhideWhenUsed/>
    <w:rsid w:val="00E208F3"/>
    <w:rPr>
      <w:rFonts w:ascii="Segoe UI" w:hAnsi="Segoe UI" w:cs="Segoe UI"/>
      <w:sz w:val="18"/>
      <w:szCs w:val="18"/>
    </w:rPr>
  </w:style>
  <w:style w:type="character" w:customStyle="1" w:styleId="BalloonTextChar">
    <w:name w:val="Balloon Text Char"/>
    <w:basedOn w:val="DefaultParagraphFont"/>
    <w:link w:val="BalloonText"/>
    <w:rsid w:val="00E208F3"/>
    <w:rPr>
      <w:rFonts w:ascii="Segoe UI" w:hAnsi="Segoe UI" w:cs="Segoe UI"/>
      <w:sz w:val="18"/>
      <w:szCs w:val="18"/>
      <w:lang w:val="lv-LV"/>
    </w:rPr>
  </w:style>
  <w:style w:type="character" w:styleId="CommentReference">
    <w:name w:val="annotation reference"/>
    <w:basedOn w:val="DefaultParagraphFont"/>
    <w:rsid w:val="00E208F3"/>
    <w:rPr>
      <w:sz w:val="16"/>
      <w:szCs w:val="16"/>
    </w:rPr>
  </w:style>
  <w:style w:type="paragraph" w:styleId="CommentText">
    <w:name w:val="annotation text"/>
    <w:basedOn w:val="Normal"/>
    <w:link w:val="CommentTextChar"/>
    <w:rsid w:val="00E208F3"/>
    <w:rPr>
      <w:sz w:val="20"/>
    </w:rPr>
  </w:style>
  <w:style w:type="character" w:customStyle="1" w:styleId="CommentTextChar">
    <w:name w:val="Comment Text Char"/>
    <w:basedOn w:val="DefaultParagraphFont"/>
    <w:link w:val="CommentText"/>
    <w:rsid w:val="00E208F3"/>
    <w:rPr>
      <w:lang w:val="lv-LV"/>
    </w:rPr>
  </w:style>
  <w:style w:type="paragraph" w:styleId="CommentSubject">
    <w:name w:val="annotation subject"/>
    <w:basedOn w:val="CommentText"/>
    <w:next w:val="CommentText"/>
    <w:link w:val="CommentSubjectChar"/>
    <w:unhideWhenUsed/>
    <w:rsid w:val="00E208F3"/>
    <w:rPr>
      <w:b/>
      <w:bCs/>
    </w:rPr>
  </w:style>
  <w:style w:type="character" w:customStyle="1" w:styleId="CommentSubjectChar">
    <w:name w:val="Comment Subject Char"/>
    <w:basedOn w:val="CommentTextChar"/>
    <w:link w:val="CommentSubject"/>
    <w:rsid w:val="00E208F3"/>
    <w:rPr>
      <w:b/>
      <w:bCs/>
      <w:lang w:val="lv-LV"/>
    </w:rPr>
  </w:style>
  <w:style w:type="paragraph" w:customStyle="1" w:styleId="Memos">
    <w:name w:val="Memos"/>
    <w:basedOn w:val="NoSpacing"/>
    <w:link w:val="MemosChar"/>
    <w:autoRedefine/>
    <w:qFormat/>
    <w:rsid w:val="00E208F3"/>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E208F3"/>
    <w:rPr>
      <w:rFonts w:eastAsiaTheme="minorHAnsi"/>
      <w:sz w:val="28"/>
      <w:szCs w:val="32"/>
      <w:u w:val="single"/>
      <w:lang w:val="lv-LV" w:eastAsia="en-US"/>
    </w:rPr>
  </w:style>
  <w:style w:type="paragraph" w:customStyle="1" w:styleId="Normal12a">
    <w:name w:val="Normal12a"/>
    <w:basedOn w:val="Normal"/>
    <w:rsid w:val="00E208F3"/>
    <w:pPr>
      <w:spacing w:after="240"/>
    </w:pPr>
  </w:style>
  <w:style w:type="paragraph" w:customStyle="1" w:styleId="PageHeadingNotTOC">
    <w:name w:val="PageHeadingNotTOC"/>
    <w:basedOn w:val="Normal"/>
    <w:rsid w:val="00E208F3"/>
    <w:pPr>
      <w:keepNext/>
      <w:spacing w:after="480"/>
      <w:jc w:val="center"/>
    </w:pPr>
    <w:rPr>
      <w:rFonts w:ascii="Arial" w:hAnsi="Arial" w:cs="Arial"/>
      <w:b/>
    </w:rPr>
  </w:style>
  <w:style w:type="paragraph" w:customStyle="1" w:styleId="AmHeadingPA">
    <w:name w:val="AmHeadingPA"/>
    <w:basedOn w:val="Normal"/>
    <w:next w:val="Normal"/>
    <w:rsid w:val="00E208F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208F3"/>
    <w:pPr>
      <w:spacing w:after="480"/>
    </w:pPr>
  </w:style>
  <w:style w:type="character" w:customStyle="1" w:styleId="Normal24aChar">
    <w:name w:val="Normal24a Char"/>
    <w:basedOn w:val="DefaultParagraphFont"/>
    <w:link w:val="Normal24a"/>
    <w:rsid w:val="00E208F3"/>
    <w:rPr>
      <w:sz w:val="24"/>
      <w:lang w:val="lv-LV"/>
    </w:rPr>
  </w:style>
  <w:style w:type="paragraph" w:customStyle="1" w:styleId="RollCallSymbols14pt">
    <w:name w:val="RollCallSymbols14pt"/>
    <w:basedOn w:val="Normal"/>
    <w:rsid w:val="00E208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208F3"/>
    <w:pPr>
      <w:tabs>
        <w:tab w:val="center" w:pos="284"/>
        <w:tab w:val="left" w:pos="426"/>
      </w:tabs>
    </w:pPr>
    <w:rPr>
      <w:snapToGrid w:val="0"/>
      <w:lang w:eastAsia="en-US"/>
    </w:rPr>
  </w:style>
  <w:style w:type="paragraph" w:customStyle="1" w:styleId="RollCallVotes">
    <w:name w:val="RollCallVotes"/>
    <w:basedOn w:val="Normal"/>
    <w:rsid w:val="00E208F3"/>
    <w:pPr>
      <w:spacing w:before="120" w:after="120"/>
      <w:jc w:val="center"/>
    </w:pPr>
    <w:rPr>
      <w:b/>
      <w:bCs/>
      <w:snapToGrid w:val="0"/>
      <w:sz w:val="16"/>
      <w:lang w:eastAsia="en-US"/>
    </w:rPr>
  </w:style>
  <w:style w:type="paragraph" w:customStyle="1" w:styleId="RollCallTable">
    <w:name w:val="RollCallTable"/>
    <w:basedOn w:val="Normal"/>
    <w:rsid w:val="00E208F3"/>
    <w:pPr>
      <w:spacing w:before="120" w:after="120"/>
    </w:pPr>
    <w:rPr>
      <w:snapToGrid w:val="0"/>
      <w:sz w:val="16"/>
      <w:lang w:eastAsia="en-US"/>
    </w:rPr>
  </w:style>
  <w:style w:type="paragraph" w:styleId="NoSpacing">
    <w:name w:val="No Spacing"/>
    <w:uiPriority w:val="1"/>
    <w:qFormat/>
    <w:rsid w:val="00E208F3"/>
    <w:pPr>
      <w:widowControl w:val="0"/>
    </w:pPr>
    <w:rPr>
      <w:sz w:val="24"/>
      <w:lang w:val="lv-LV"/>
    </w:rPr>
  </w:style>
  <w:style w:type="paragraph" w:customStyle="1" w:styleId="Normal12Hanging">
    <w:name w:val="Normal12Hanging"/>
    <w:basedOn w:val="Normal"/>
    <w:link w:val="Normal12HangingChar"/>
    <w:rsid w:val="00097E65"/>
    <w:pPr>
      <w:spacing w:after="240"/>
      <w:ind w:left="357" w:hanging="357"/>
    </w:pPr>
  </w:style>
  <w:style w:type="character" w:customStyle="1" w:styleId="Normal12HangingChar">
    <w:name w:val="Normal12Hanging Char"/>
    <w:link w:val="Normal12Hanging"/>
    <w:locked/>
    <w:rsid w:val="00097E65"/>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097E65"/>
    <w:pPr>
      <w:widowControl/>
      <w:spacing w:after="160" w:line="240" w:lineRule="exact"/>
    </w:pPr>
    <w:rPr>
      <w:sz w:val="20"/>
      <w:vertAlign w:val="superscript"/>
      <w:lang w:val="en-GB"/>
    </w:rPr>
  </w:style>
  <w:style w:type="paragraph" w:customStyle="1" w:styleId="Statut">
    <w:name w:val="Statut"/>
    <w:basedOn w:val="Normal"/>
    <w:next w:val="Typedudocument"/>
    <w:rsid w:val="00C3761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C37615"/>
    <w:pPr>
      <w:widowControl/>
      <w:ind w:left="5103"/>
    </w:pPr>
    <w:rPr>
      <w:rFonts w:eastAsiaTheme="minorHAnsi"/>
      <w:szCs w:val="22"/>
      <w:lang w:eastAsia="en-US"/>
    </w:rPr>
  </w:style>
  <w:style w:type="paragraph" w:customStyle="1" w:styleId="Typedudocument">
    <w:name w:val="Type du document"/>
    <w:basedOn w:val="Normal"/>
    <w:next w:val="Normal"/>
    <w:rsid w:val="00C37615"/>
    <w:pPr>
      <w:widowControl/>
      <w:spacing w:before="360"/>
      <w:jc w:val="center"/>
    </w:pPr>
    <w:rPr>
      <w:rFonts w:eastAsiaTheme="minorHAnsi"/>
      <w:b/>
      <w:szCs w:val="22"/>
      <w:lang w:eastAsia="en-US"/>
    </w:rPr>
  </w:style>
  <w:style w:type="paragraph" w:customStyle="1" w:styleId="NormalCenter12a">
    <w:name w:val="NormalCenter12a"/>
    <w:basedOn w:val="Normal"/>
    <w:rsid w:val="00C37615"/>
    <w:pPr>
      <w:spacing w:after="240"/>
      <w:jc w:val="center"/>
    </w:pPr>
  </w:style>
  <w:style w:type="paragraph" w:customStyle="1" w:styleId="AmHeadingConsam">
    <w:name w:val="AmHeadingConsam"/>
    <w:basedOn w:val="Normal"/>
    <w:next w:val="NormalCenter12a"/>
    <w:rsid w:val="00C37615"/>
    <w:pPr>
      <w:spacing w:before="720" w:after="240"/>
      <w:jc w:val="center"/>
    </w:pPr>
  </w:style>
  <w:style w:type="paragraph" w:customStyle="1" w:styleId="FootnoteTextForceStyle">
    <w:name w:val="Footnote Text ForceStyle"/>
    <w:rsid w:val="00C37615"/>
    <w:pPr>
      <w:keepLines/>
      <w:widowControl w:val="0"/>
      <w:ind w:left="850" w:hanging="850"/>
    </w:pPr>
    <w:rPr>
      <w:sz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808E8-D23B-4431-80FC-3500B3E46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9069</Words>
  <Characters>60987</Characters>
  <Application>Microsoft Office Word</Application>
  <DocSecurity>0</DocSecurity>
  <Lines>508</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2024-10-17T10:27:00Z</dcterms:created>
  <dcterms:modified xsi:type="dcterms:W3CDTF">2024-10-17T10:27:00Z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P9_TA(2024)0361_</vt:lpwstr>
  </property>
  <property fmtid="{D5CDD505-2E9C-101B-9397-08002B2CF9AE}" pid="4" name="&lt;Type&gt;">
    <vt:lpwstr>RR</vt:lpwstr>
  </property>
</Properties>
</file>