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A74C2" w14:paraId="409AE25D" w14:textId="77777777">
        <w:trPr>
          <w:trHeight w:hRule="exact" w:val="1418"/>
        </w:trPr>
        <w:tc>
          <w:tcPr>
            <w:tcW w:w="6804" w:type="dxa"/>
            <w:shd w:val="clear" w:color="auto" w:fill="auto"/>
            <w:vAlign w:val="center"/>
          </w:tcPr>
          <w:p w14:paraId="6B9531BE" w14:textId="77777777" w:rsidR="003A74C2" w:rsidRDefault="004C6683">
            <w:pPr>
              <w:pStyle w:val="EPName"/>
            </w:pPr>
            <w:r>
              <w:t>Európsky parlament</w:t>
            </w:r>
          </w:p>
          <w:p w14:paraId="55A22D80" w14:textId="77777777" w:rsidR="003A74C2" w:rsidRDefault="004C6683">
            <w:pPr>
              <w:pStyle w:val="EPTerm"/>
              <w:rPr>
                <w:rStyle w:val="HideTWBExt"/>
                <w:noProof w:val="0"/>
                <w:vanish w:val="0"/>
                <w:color w:val="auto"/>
              </w:rPr>
            </w:pPr>
            <w:r>
              <w:t>2019-2024</w:t>
            </w:r>
          </w:p>
        </w:tc>
        <w:tc>
          <w:tcPr>
            <w:tcW w:w="2268" w:type="dxa"/>
            <w:shd w:val="clear" w:color="auto" w:fill="auto"/>
          </w:tcPr>
          <w:p w14:paraId="49B85B7F" w14:textId="77777777" w:rsidR="003A74C2" w:rsidRDefault="004C6683">
            <w:pPr>
              <w:pStyle w:val="EPLogo"/>
            </w:pPr>
            <w:r>
              <w:rPr>
                <w:noProof/>
                <w:lang w:val="en-GB"/>
              </w:rPr>
              <w:drawing>
                <wp:inline distT="0" distB="0" distL="0" distR="0" wp14:anchorId="54BE7CC8" wp14:editId="2AC5F6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EAF1B7" w14:textId="77777777" w:rsidR="003A74C2" w:rsidRDefault="003A74C2">
      <w:pPr>
        <w:pStyle w:val="LineTop"/>
      </w:pPr>
    </w:p>
    <w:p w14:paraId="2047AA7C" w14:textId="77777777" w:rsidR="003A74C2" w:rsidRDefault="004C6683">
      <w:pPr>
        <w:pStyle w:val="EPBodyTA1"/>
      </w:pPr>
      <w:r>
        <w:t>PRIJATÉ TEXTY</w:t>
      </w:r>
    </w:p>
    <w:p w14:paraId="786428F1" w14:textId="77777777" w:rsidR="003A74C2" w:rsidRDefault="003A74C2">
      <w:pPr>
        <w:pStyle w:val="LineBottom"/>
      </w:pPr>
    </w:p>
    <w:p w14:paraId="358393D9" w14:textId="77777777" w:rsidR="003A74C2" w:rsidRDefault="004C6683">
      <w:pPr>
        <w:pStyle w:val="ATHeading1"/>
      </w:pPr>
      <w:bookmarkStart w:id="0" w:name="TANumber"/>
      <w:r>
        <w:t>P9_TA(2024)0361</w:t>
      </w:r>
      <w:bookmarkEnd w:id="0"/>
    </w:p>
    <w:p w14:paraId="13CBADB2" w14:textId="77777777" w:rsidR="003A74C2" w:rsidRDefault="004C6683">
      <w:pPr>
        <w:pStyle w:val="ATHeading2"/>
      </w:pPr>
      <w:bookmarkStart w:id="1" w:name="title"/>
      <w:r>
        <w:t>Štatistika obyvateľov, domov a bytov</w:t>
      </w:r>
      <w:bookmarkEnd w:id="1"/>
    </w:p>
    <w:p w14:paraId="07D3528B" w14:textId="77777777" w:rsidR="003A74C2" w:rsidRDefault="004C6683">
      <w:pPr>
        <w:rPr>
          <w:i/>
          <w:vanish/>
        </w:rPr>
      </w:pPr>
      <w:r>
        <w:rPr>
          <w:i/>
        </w:rPr>
        <w:fldChar w:fldCharType="begin"/>
      </w:r>
      <w:r>
        <w:rPr>
          <w:i/>
        </w:rPr>
        <w:instrText xml:space="preserve"> TC"(</w:instrText>
      </w:r>
      <w:bookmarkStart w:id="2" w:name="DocNumber"/>
      <w:r>
        <w:rPr>
          <w:i/>
        </w:rPr>
        <w:instrText>A9-0284/2023</w:instrText>
      </w:r>
      <w:bookmarkEnd w:id="2"/>
      <w:r>
        <w:rPr>
          <w:i/>
        </w:rPr>
        <w:instrText xml:space="preserve"> - Spravodajkyňa: Irena </w:instrText>
      </w:r>
      <w:proofErr w:type="spellStart"/>
      <w:r>
        <w:rPr>
          <w:i/>
        </w:rPr>
        <w:instrText>Joveva</w:instrText>
      </w:r>
      <w:proofErr w:type="spellEnd"/>
      <w:r>
        <w:rPr>
          <w:i/>
        </w:rPr>
        <w:instrText>)"\</w:instrText>
      </w:r>
      <w:proofErr w:type="spellStart"/>
      <w:r>
        <w:rPr>
          <w:i/>
        </w:rPr>
        <w:instrText>l3</w:instrText>
      </w:r>
      <w:proofErr w:type="spellEnd"/>
      <w:r>
        <w:rPr>
          <w:i/>
        </w:rPr>
        <w:instrText xml:space="preserve"> \n&gt; \* MERGEFORMAT </w:instrText>
      </w:r>
      <w:r>
        <w:rPr>
          <w:i/>
        </w:rPr>
        <w:fldChar w:fldCharType="end"/>
      </w:r>
    </w:p>
    <w:p w14:paraId="51125FE8" w14:textId="77777777" w:rsidR="003A74C2" w:rsidRDefault="004C6683">
      <w:pPr>
        <w:rPr>
          <w:vanish/>
        </w:rPr>
      </w:pPr>
      <w:bookmarkStart w:id="3" w:name="Commission"/>
      <w:proofErr w:type="spellStart"/>
      <w:r>
        <w:rPr>
          <w:vanish/>
        </w:rPr>
        <w:t>Committee</w:t>
      </w:r>
      <w:proofErr w:type="spellEnd"/>
      <w:r>
        <w:rPr>
          <w:vanish/>
        </w:rPr>
        <w:t xml:space="preserve"> </w:t>
      </w:r>
      <w:proofErr w:type="spellStart"/>
      <w:r>
        <w:rPr>
          <w:vanish/>
        </w:rPr>
        <w:t>for</w:t>
      </w:r>
      <w:proofErr w:type="spellEnd"/>
      <w:r>
        <w:rPr>
          <w:vanish/>
        </w:rPr>
        <w:t xml:space="preserve"> </w:t>
      </w:r>
      <w:proofErr w:type="spellStart"/>
      <w:r>
        <w:rPr>
          <w:vanish/>
        </w:rPr>
        <w:t>Employment</w:t>
      </w:r>
      <w:proofErr w:type="spellEnd"/>
      <w:r>
        <w:rPr>
          <w:vanish/>
        </w:rPr>
        <w:t xml:space="preserve"> and </w:t>
      </w:r>
      <w:proofErr w:type="spellStart"/>
      <w:r>
        <w:rPr>
          <w:vanish/>
        </w:rPr>
        <w:t>Social</w:t>
      </w:r>
      <w:proofErr w:type="spellEnd"/>
      <w:r>
        <w:rPr>
          <w:vanish/>
        </w:rPr>
        <w:t xml:space="preserve"> </w:t>
      </w:r>
      <w:proofErr w:type="spellStart"/>
      <w:r>
        <w:rPr>
          <w:vanish/>
        </w:rPr>
        <w:t>Affairs</w:t>
      </w:r>
      <w:bookmarkEnd w:id="3"/>
      <w:proofErr w:type="spellEnd"/>
    </w:p>
    <w:p w14:paraId="48F63713" w14:textId="77777777" w:rsidR="003A74C2" w:rsidRDefault="004C6683">
      <w:pPr>
        <w:rPr>
          <w:vanish/>
        </w:rPr>
      </w:pPr>
      <w:bookmarkStart w:id="4" w:name="PE"/>
      <w:r>
        <w:rPr>
          <w:vanish/>
        </w:rPr>
        <w:t>PE746.665</w:t>
      </w:r>
      <w:bookmarkEnd w:id="4"/>
    </w:p>
    <w:p w14:paraId="28ABAE0B" w14:textId="77777777" w:rsidR="003A74C2" w:rsidRDefault="004C6683">
      <w:pPr>
        <w:pStyle w:val="ATHeading3"/>
      </w:pPr>
      <w:bookmarkStart w:id="5" w:name="Sujet"/>
      <w:r>
        <w:t>Legislatívne uznesenie Európskeho parlamentu z 24. apríla 2024 o návrhu nariadenia Európskeho parlamentu a Rady o európskej štatistike obyvateľov, domov a bytov, ktorým sa mení nariadenie (ES) č. 862/2007 a ktorým sa zrušujú nariadenia (ES) č. 763/2008 a (EÚ) č. 1260/2013</w:t>
      </w:r>
      <w:bookmarkEnd w:id="5"/>
      <w:r>
        <w:t xml:space="preserve"> </w:t>
      </w:r>
      <w:bookmarkStart w:id="6" w:name="References"/>
      <w:r>
        <w:t>(COM(2023)0031 – C9-0010/2023 – 2023/0008(COD))</w:t>
      </w:r>
      <w:bookmarkEnd w:id="6"/>
    </w:p>
    <w:p w14:paraId="13C0E49F" w14:textId="77777777" w:rsidR="003A74C2" w:rsidRDefault="004C6683">
      <w:pPr>
        <w:pStyle w:val="NormalBold"/>
      </w:pPr>
      <w:bookmarkStart w:id="7" w:name="TextBodyBegin"/>
      <w:bookmarkEnd w:id="7"/>
      <w:r>
        <w:t>(Riadny legislatívny postup: prvé čítanie)</w:t>
      </w:r>
    </w:p>
    <w:p w14:paraId="6A0F511F" w14:textId="77777777" w:rsidR="003A74C2" w:rsidRDefault="004C6683">
      <w:pPr>
        <w:pStyle w:val="EPComma"/>
      </w:pPr>
      <w:r>
        <w:rPr>
          <w:i/>
          <w:iCs/>
        </w:rPr>
        <w:t>Európsky parlament</w:t>
      </w:r>
      <w:r>
        <w:t>,</w:t>
      </w:r>
    </w:p>
    <w:p w14:paraId="68A7F64A" w14:textId="77777777" w:rsidR="003A74C2" w:rsidRDefault="004C6683">
      <w:pPr>
        <w:pStyle w:val="NormalHanging12a"/>
      </w:pPr>
      <w:r>
        <w:t>–</w:t>
      </w:r>
      <w:r>
        <w:tab/>
        <w:t>so zreteľom na návrh Komisie pre Európsky parlament a Radu (COM(2023)0031),</w:t>
      </w:r>
    </w:p>
    <w:p w14:paraId="0EA06188" w14:textId="77777777" w:rsidR="003A74C2" w:rsidRDefault="004C6683">
      <w:pPr>
        <w:pStyle w:val="NormalHanging12a"/>
      </w:pPr>
      <w:r>
        <w:t>–</w:t>
      </w:r>
      <w:r>
        <w:tab/>
        <w:t>so zreteľom na článok 294 ods. 2 a článok 338 ods. 1 Zmluvy o fungovaní Európskej únie, v súlade s ktorými Komisia predložila návrh Európskemu parlamentu (C9</w:t>
      </w:r>
      <w:r>
        <w:noBreakHyphen/>
        <w:t>0010/2023),</w:t>
      </w:r>
    </w:p>
    <w:p w14:paraId="39CA606B" w14:textId="77777777" w:rsidR="003A74C2" w:rsidRDefault="004C6683">
      <w:pPr>
        <w:pStyle w:val="NormalHanging12a"/>
      </w:pPr>
      <w:r>
        <w:t>–</w:t>
      </w:r>
      <w:r>
        <w:tab/>
        <w:t>so zreteľom na článok 294 ods. 3 Zmluvy o fungovaní Európskej únie,</w:t>
      </w:r>
    </w:p>
    <w:p w14:paraId="23E1C3B0" w14:textId="77777777" w:rsidR="003A74C2" w:rsidRDefault="004C6683">
      <w:pPr>
        <w:pStyle w:val="NormalHanging12a"/>
      </w:pPr>
      <w:r>
        <w:t>–</w:t>
      </w:r>
      <w:r>
        <w:tab/>
        <w:t>so zreteľom na stanovisko Európskeho hospodárskeho a sociálneho výboru z 27. apríla 2023</w:t>
      </w:r>
      <w:r>
        <w:rPr>
          <w:rStyle w:val="FootnoteReference"/>
        </w:rPr>
        <w:footnoteReference w:id="1"/>
      </w:r>
      <w:r>
        <w:t>,</w:t>
      </w:r>
    </w:p>
    <w:p w14:paraId="271CF01C" w14:textId="77777777" w:rsidR="003A74C2" w:rsidRDefault="004C6683">
      <w:pPr>
        <w:pStyle w:val="NormalHanging12a"/>
      </w:pPr>
      <w:r>
        <w:t>–</w:t>
      </w:r>
      <w:r>
        <w:tab/>
        <w:t>so zreteľom na článok 59 rokovacieho poriadku,</w:t>
      </w:r>
    </w:p>
    <w:p w14:paraId="1C342C5A" w14:textId="77777777" w:rsidR="003A74C2" w:rsidRDefault="004C6683">
      <w:pPr>
        <w:pStyle w:val="NormalHanging12a"/>
      </w:pPr>
      <w:r>
        <w:t>–</w:t>
      </w:r>
      <w:r>
        <w:tab/>
        <w:t>so zreteľom na stanoviská Výboru pre občianske slobody, spravodlivosť a vnútorné veci a Výboru pre regionálny rozvoj,</w:t>
      </w:r>
    </w:p>
    <w:p w14:paraId="18964BCB" w14:textId="77777777" w:rsidR="003A74C2" w:rsidRDefault="004C6683">
      <w:pPr>
        <w:pStyle w:val="NormalHanging12a"/>
      </w:pPr>
      <w:r>
        <w:t>–</w:t>
      </w:r>
      <w:r>
        <w:tab/>
        <w:t>so zreteľom na správu Výboru pre zamestnanosť a sociálne veci (A9-0284/2023),</w:t>
      </w:r>
    </w:p>
    <w:p w14:paraId="58E66F14" w14:textId="77777777" w:rsidR="003A74C2" w:rsidRDefault="004C6683">
      <w:pPr>
        <w:pStyle w:val="NormalHanging12a"/>
        <w:numPr>
          <w:ilvl w:val="0"/>
          <w:numId w:val="45"/>
        </w:numPr>
        <w:ind w:left="567" w:hanging="567"/>
      </w:pPr>
      <w:r>
        <w:t>prijíma nasledujúcu pozíciu v prvom čítaní;</w:t>
      </w:r>
    </w:p>
    <w:p w14:paraId="1B404548" w14:textId="77777777" w:rsidR="003A74C2" w:rsidRDefault="004C6683">
      <w:pPr>
        <w:pStyle w:val="NormalHanging12a"/>
        <w:numPr>
          <w:ilvl w:val="0"/>
          <w:numId w:val="45"/>
        </w:numPr>
        <w:ind w:left="567" w:hanging="567"/>
      </w:pPr>
      <w:r>
        <w:t>žiada Komisiu, aby mu vec znovu predložila, ak nahrádza, podstatne mení alebo má v úmysle podstatne zmeniť svoj návrh;</w:t>
      </w:r>
    </w:p>
    <w:p w14:paraId="0BAEAE08" w14:textId="77777777" w:rsidR="003A74C2" w:rsidRDefault="004C6683">
      <w:pPr>
        <w:pStyle w:val="NormalHanging12a"/>
      </w:pPr>
      <w:r>
        <w:t>3.</w:t>
      </w:r>
      <w:r>
        <w:tab/>
        <w:t>poveruje svoju predsedníčku, aby postúpila túto pozíciu Rade, Komisii a národným parlamentom.</w:t>
      </w:r>
    </w:p>
    <w:p w14:paraId="47571856" w14:textId="77777777" w:rsidR="003A74C2" w:rsidRDefault="003A74C2">
      <w:pPr>
        <w:sectPr w:rsidR="003A74C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4D7441" w14:textId="77777777" w:rsidR="003A74C2" w:rsidRDefault="004C6683">
      <w:pPr>
        <w:pStyle w:val="Institutionquiagit"/>
        <w:keepNext w:val="0"/>
        <w:spacing w:before="0" w:after="240"/>
        <w:jc w:val="left"/>
        <w:outlineLvl w:val="0"/>
        <w:rPr>
          <w:b/>
        </w:rPr>
      </w:pPr>
      <w:r>
        <w:rPr>
          <w:b/>
        </w:rPr>
        <w:lastRenderedPageBreak/>
        <w:t>P9_TC1-COD(2023)0008</w:t>
      </w:r>
    </w:p>
    <w:p w14:paraId="7D71D9B8" w14:textId="77777777" w:rsidR="003A74C2" w:rsidRDefault="004C6683">
      <w:pPr>
        <w:pStyle w:val="NormalBold"/>
      </w:pPr>
      <w:r>
        <w:t>Pozícia Európskeho parlamentu prijatá v prvom čítaní 24. apríla 2024 na účely prijatia nariadenia Európskeho parlamentu a Rady (EÚ) 2024/... o európskej štatistike obyvateľov, domov a bytov, ktorým sa mení nariadenie (ES) č. 862/2007 a ktorým sa zrušujú nariadenia (ES) č. 763/2008 a (EÚ) č. 1260/2013</w:t>
      </w:r>
      <w:r>
        <w:rPr>
          <w:rStyle w:val="FootnoteReference"/>
        </w:rPr>
        <w:footnoteReference w:customMarkFollows="1" w:id="2"/>
        <w:t>*</w:t>
      </w:r>
    </w:p>
    <w:p w14:paraId="13BA6EA5" w14:textId="77777777" w:rsidR="003A74C2" w:rsidRDefault="004C6683">
      <w:pPr>
        <w:widowControl/>
        <w:spacing w:before="360" w:after="240" w:line="360" w:lineRule="auto"/>
        <w:jc w:val="center"/>
        <w:rPr>
          <w:szCs w:val="24"/>
        </w:rPr>
      </w:pPr>
      <w:r>
        <w:t>(Text s významom pre EHP)</w:t>
      </w:r>
    </w:p>
    <w:p w14:paraId="72335AB9" w14:textId="77777777" w:rsidR="003A74C2" w:rsidRDefault="004C6683">
      <w:pPr>
        <w:keepNext/>
        <w:spacing w:before="600" w:after="120" w:line="360" w:lineRule="auto"/>
        <w:rPr>
          <w:szCs w:val="24"/>
        </w:rPr>
      </w:pPr>
      <w:r>
        <w:t>EURÓPSKY PARLAMENT A RADA EURÓPSKEJ ÚNIE,</w:t>
      </w:r>
    </w:p>
    <w:p w14:paraId="372C608C" w14:textId="77777777" w:rsidR="003A74C2" w:rsidRDefault="004C6683">
      <w:pPr>
        <w:spacing w:before="120" w:after="120" w:line="360" w:lineRule="auto"/>
      </w:pPr>
      <w:r>
        <w:t>so zreteľom na Zmluvu o fungovaní Európskej únie, a najmä na jej článok 338 ods. 1,</w:t>
      </w:r>
    </w:p>
    <w:p w14:paraId="3C809FB8" w14:textId="77777777" w:rsidR="003A74C2" w:rsidRDefault="004C6683">
      <w:pPr>
        <w:spacing w:before="120" w:after="120" w:line="360" w:lineRule="auto"/>
      </w:pPr>
      <w:r>
        <w:t>so zreteľom na návrh Európskej komisie,</w:t>
      </w:r>
    </w:p>
    <w:p w14:paraId="2D7C2CE9" w14:textId="77777777" w:rsidR="003A74C2" w:rsidRDefault="004C6683">
      <w:pPr>
        <w:spacing w:before="120" w:after="120" w:line="360" w:lineRule="auto"/>
      </w:pPr>
      <w:r>
        <w:t>po postúpení návrhu legislatívneho aktu národným parlamentom,</w:t>
      </w:r>
    </w:p>
    <w:p w14:paraId="0FD3C309" w14:textId="77777777" w:rsidR="003A74C2" w:rsidRDefault="004C6683">
      <w:pPr>
        <w:spacing w:before="120" w:after="120" w:line="360" w:lineRule="auto"/>
      </w:pPr>
      <w:r>
        <w:t>so zreteľom na stanovisko Európskeho hospodárskeho a sociálneho výboru</w:t>
      </w:r>
      <w:r>
        <w:rPr>
          <w:vertAlign w:val="superscript"/>
          <w:lang w:eastAsia="en-US"/>
        </w:rPr>
        <w:footnoteReference w:id="3"/>
      </w:r>
      <w:r>
        <w:t>,</w:t>
      </w:r>
    </w:p>
    <w:p w14:paraId="49EDE252" w14:textId="77777777" w:rsidR="003A74C2" w:rsidRDefault="004C6683">
      <w:pPr>
        <w:spacing w:before="120" w:after="120" w:line="360" w:lineRule="auto"/>
      </w:pPr>
      <w:r>
        <w:t>so zreteľom na stanovisko Výboru regiónov</w:t>
      </w:r>
      <w:r>
        <w:rPr>
          <w:vertAlign w:val="superscript"/>
          <w:lang w:eastAsia="en-US"/>
        </w:rPr>
        <w:footnoteReference w:id="4"/>
      </w:r>
      <w:r>
        <w:t>,</w:t>
      </w:r>
    </w:p>
    <w:p w14:paraId="46104A84" w14:textId="77777777" w:rsidR="003A74C2" w:rsidRDefault="004C6683">
      <w:pPr>
        <w:spacing w:before="120" w:after="120" w:line="360" w:lineRule="auto"/>
      </w:pPr>
      <w:r>
        <w:t>konajúc v súlade s riadnym legislatívnym postupom,</w:t>
      </w:r>
    </w:p>
    <w:p w14:paraId="7A0784EA" w14:textId="77777777" w:rsidR="003A74C2" w:rsidRDefault="004C6683">
      <w:pPr>
        <w:spacing w:before="120" w:after="120" w:line="360" w:lineRule="auto"/>
      </w:pPr>
      <w:r>
        <w:t>keďže:</w:t>
      </w:r>
    </w:p>
    <w:p w14:paraId="0D82F27B" w14:textId="77777777" w:rsidR="003A74C2" w:rsidRDefault="004C6683">
      <w:pPr>
        <w:spacing w:before="120" w:after="120" w:line="360" w:lineRule="auto"/>
        <w:ind w:left="850" w:hanging="850"/>
        <w:rPr>
          <w:szCs w:val="24"/>
        </w:rPr>
      </w:pPr>
      <w:r>
        <w:t>(1)</w:t>
      </w:r>
      <w:r>
        <w:tab/>
        <w:t xml:space="preserve">Európska štatistika obyvateľov, domov a bytov zohráva </w:t>
      </w:r>
      <w:r>
        <w:rPr>
          <w:b/>
          <w:bCs/>
          <w:i/>
          <w:iCs/>
        </w:rPr>
        <w:t>ústrednú úlohu pri tvorbe politík a rozhodovacích procesoch, a preto</w:t>
      </w:r>
      <w:r>
        <w:t xml:space="preserve"> je potrebná na účely navrhovania, vykonávania a hodnotenia politík Únie, najmä tých, ktoré sa zaoberajú demografickými zmenami, ekologickou a digitálnou transformáciou, rámcom pre podporu energetickej účinnosti, hospodárskou, sociálnou a územnou súdržnosťou, vykonávaním zásad Európskeho piliera sociálnych práv a dosahovaním cieľov udržateľného rozvoja Agendy 2030 Organizácie Spojených národov (OSN),</w:t>
      </w:r>
      <w:r>
        <w:rPr>
          <w:b/>
          <w:bCs/>
          <w:i/>
          <w:iCs/>
        </w:rPr>
        <w:t xml:space="preserve"> pokiaľ patria do rozsahu pôsobnosti tohto nariadenia.</w:t>
      </w:r>
    </w:p>
    <w:p w14:paraId="739D1AB1" w14:textId="77777777" w:rsidR="003A74C2" w:rsidRDefault="004C6683">
      <w:pPr>
        <w:spacing w:before="120" w:after="120" w:line="360" w:lineRule="auto"/>
        <w:ind w:left="850" w:hanging="850"/>
        <w:rPr>
          <w:szCs w:val="24"/>
        </w:rPr>
      </w:pPr>
      <w:r>
        <w:t>(2)</w:t>
      </w:r>
      <w:r>
        <w:tab/>
        <w:t xml:space="preserve">Štatistika obyvateľstva je dôležitým spoločným menovateľom celého radu politických ukazovateľov a používa sa ako referencia v celej európskej štatistike, najmä na poskytovanie opôr výberu na vykonávanie reprezentatívnych zisťovaní o osobách a domácnostiach podľa nariadenia Európskeho parlamentu a Rady (EÚ) </w:t>
      </w:r>
      <w:r>
        <w:lastRenderedPageBreak/>
        <w:t>2019/1700</w:t>
      </w:r>
      <w:r>
        <w:rPr>
          <w:szCs w:val="24"/>
          <w:vertAlign w:val="superscript"/>
          <w:lang w:eastAsia="en-US"/>
        </w:rPr>
        <w:footnoteReference w:id="5"/>
      </w:r>
      <w:r>
        <w:t>.</w:t>
      </w:r>
    </w:p>
    <w:p w14:paraId="6D15F97A" w14:textId="77777777" w:rsidR="003A74C2" w:rsidRDefault="004C6683">
      <w:pPr>
        <w:spacing w:before="120" w:after="120" w:line="360" w:lineRule="auto"/>
        <w:ind w:left="850" w:hanging="850"/>
        <w:rPr>
          <w:szCs w:val="24"/>
        </w:rPr>
      </w:pPr>
      <w:r>
        <w:t>(3)</w:t>
      </w:r>
      <w:r>
        <w:tab/>
        <w:t xml:space="preserve">Rada pre hospodárske a finančné záležitosti pravidelne udeľuje Výboru pre hospodársku politiku mandát na posúdenie dlhodobej udržateľnosti a kvality verejných financií na základe demografických projekcií vypracovaných </w:t>
      </w:r>
      <w:proofErr w:type="spellStart"/>
      <w:r>
        <w:t>Eurostatom</w:t>
      </w:r>
      <w:proofErr w:type="spellEnd"/>
      <w:r>
        <w:t>. Demografické projekcie sa používajú aj na analýzu politiky v kontexte európskeho semestra. Komisia (</w:t>
      </w:r>
      <w:proofErr w:type="spellStart"/>
      <w:r>
        <w:t>Eurostat</w:t>
      </w:r>
      <w:proofErr w:type="spellEnd"/>
      <w:r>
        <w:t>) by mala mať k dispozícii všetky potrebné štatistiky na tvorbu a uverejňovanie demografických projekcií podľa informačných potrieb Únie.</w:t>
      </w:r>
    </w:p>
    <w:p w14:paraId="7F109CDA" w14:textId="77777777" w:rsidR="003A74C2" w:rsidRDefault="004C6683">
      <w:pPr>
        <w:spacing w:before="120" w:after="120" w:line="360" w:lineRule="auto"/>
        <w:ind w:left="850" w:hanging="850"/>
        <w:rPr>
          <w:szCs w:val="24"/>
        </w:rPr>
      </w:pPr>
      <w:r>
        <w:t>(4)</w:t>
      </w:r>
      <w:r>
        <w:tab/>
        <w:t>V súlade s článkom 175 ods. 2 Zmluvy o fungovaní Európskej únie (ďalej len „ZFEÚ“) by mala Komisia predložiť Európskemu parlamentu, Rade, Hospodárskemu a sociálnemu výboru a Výboru regiónov každé tri roky správu o pokroku pri dosahovaní hospodárskej, sociálnej a územnej súdržnosti. Na prípravu týchto správ a na pravidelné monitorovanie demografického vývoja a možných budúcich demografických výziev na územiach Únie sú potrebné regionálne a miestne údaje vrátane údajov za rôzne typy území, ako sú pohraničné regióny, mestá a ich funkčné mestské oblasti, metropolitné regióny, vidiecke regióny, horské a ostrovné regióny.</w:t>
      </w:r>
    </w:p>
    <w:p w14:paraId="3B5E47D0" w14:textId="77777777" w:rsidR="003A74C2" w:rsidRDefault="004C6683">
      <w:pPr>
        <w:spacing w:before="120" w:after="120" w:line="360" w:lineRule="auto"/>
        <w:ind w:left="850" w:hanging="850"/>
        <w:rPr>
          <w:szCs w:val="24"/>
        </w:rPr>
      </w:pPr>
      <w:r>
        <w:t>(5)</w:t>
      </w:r>
      <w:r>
        <w:tab/>
        <w:t>Podľa článku 16 ods. 4 Zmluvy o Európskej únii (ďalej len „Zmluva o EÚ“) sa má kvalifikovaná väčšina členov Rady vymedzovať okrem iného na základe obyvateľstva členských štátov. Na tento účel sú v súlade s článkom 4 ods. 1 nariadenia Európskeho parlamentu a Rady (EÚ) č. 1260/2013</w:t>
      </w:r>
      <w:r>
        <w:rPr>
          <w:szCs w:val="24"/>
          <w:vertAlign w:val="superscript"/>
          <w:lang w:eastAsia="en-US"/>
        </w:rPr>
        <w:footnoteReference w:id="6"/>
      </w:r>
      <w:r>
        <w:t xml:space="preserve"> členské štáty v súčasnosti povinné poskytovať Komisii (</w:t>
      </w:r>
      <w:proofErr w:type="spellStart"/>
      <w:r>
        <w:t>Eurostatu</w:t>
      </w:r>
      <w:proofErr w:type="spellEnd"/>
      <w:r>
        <w:t>) údaje o celkovom počte obyvateľov na národnej úrovni.</w:t>
      </w:r>
    </w:p>
    <w:p w14:paraId="2AF5D0B4" w14:textId="77777777" w:rsidR="003A74C2" w:rsidRDefault="004C6683">
      <w:pPr>
        <w:spacing w:before="120" w:after="120" w:line="360" w:lineRule="auto"/>
        <w:ind w:left="850" w:hanging="850"/>
        <w:rPr>
          <w:szCs w:val="24"/>
        </w:rPr>
      </w:pPr>
      <w:r>
        <w:t>(6)</w:t>
      </w:r>
      <w:r>
        <w:tab/>
        <w:t xml:space="preserve">V roku 2017 Výbor pre Európsky štatistický systém (ESSC) schválil Budapeštianske memorandum, v ktorom sa uvádza potreba ročnej štatistiky o počte a určitých sociálnych, ekonomických a demografických charakteristikách obyvateľov a zlepšenej štatistiky o migrácii. Na dodržiavanie zásad rovnosti a nediskriminácie </w:t>
      </w:r>
      <w:r>
        <w:lastRenderedPageBreak/>
        <w:t xml:space="preserve">svojich občanov vo všetkých činnostiach a práv občanov zakotvených v Charte základných práv Európskej únie a v článkoch 10 a 19 ZFEÚ </w:t>
      </w:r>
      <w:r>
        <w:rPr>
          <w:b/>
          <w:bCs/>
          <w:i/>
          <w:iCs/>
        </w:rPr>
        <w:t>a na monitorovanie pokroku smerom k vykonávaniu zásad Európskeho piliera sociálnych práv</w:t>
      </w:r>
      <w:r>
        <w:t xml:space="preserve"> potrebuje Únia spoľahlivú a porovnateľnú štatistiku. Nariadenie (EÚ) 2019/1700 poskytuje rámec pre zber údajov zo vzoriek, ktorý umožňuje zbierať údaje o rovnosti a nediskriminácii, pokiaľ je to možné v prípade vzoriek, a analyzovať niektoré aspekty rovnosti a diskriminácie vypracovaním sociálno-ekonomických ukazovateľov a informácií o skúsenostiach s diskrimináciou. Okrem toho Agentúra pre základné práva (FRA) a Európsky inštitút pre rodovú rovnosť (EIGE) realizujú špecifické štúdie a špecializované zisťovania, ktoré môžu ďalej rozšíriť dostupnosť štatistiky o rovnosti na úrovni Únie.</w:t>
      </w:r>
      <w:r>
        <w:rPr>
          <w:b/>
          <w:i/>
        </w:rPr>
        <w:t xml:space="preserve"> </w:t>
      </w:r>
      <w:r>
        <w:rPr>
          <w:b/>
          <w:bCs/>
          <w:i/>
          <w:iCs/>
        </w:rPr>
        <w:t>Okrem toho Európska nadácia pre zlepšovanie životných a pracovných podmienok (</w:t>
      </w:r>
      <w:proofErr w:type="spellStart"/>
      <w:r>
        <w:rPr>
          <w:b/>
          <w:bCs/>
          <w:i/>
          <w:iCs/>
        </w:rPr>
        <w:t>Eurofound</w:t>
      </w:r>
      <w:proofErr w:type="spellEnd"/>
      <w:r>
        <w:rPr>
          <w:b/>
          <w:bCs/>
          <w:i/>
          <w:iCs/>
        </w:rPr>
        <w:t>) poskytuje údaje a informácie zozbierané prostredníctvom prieskumov o životných a pracovných podmienkach</w:t>
      </w:r>
      <w:r>
        <w:t>. Spolupráca a koordinácia medzi členskými štátmi, Komisiou (</w:t>
      </w:r>
      <w:proofErr w:type="spellStart"/>
      <w:r>
        <w:t>Eurostatom</w:t>
      </w:r>
      <w:proofErr w:type="spellEnd"/>
      <w:r>
        <w:t>) a týmito agentúrami by sa mala zlepšiť, aby sa splnili rastúce požiadavky používateľov na spoľahlivé a komplexné údaje o rovnosti a rozmanitosti v Únii.</w:t>
      </w:r>
    </w:p>
    <w:p w14:paraId="33545093" w14:textId="77777777" w:rsidR="003A74C2" w:rsidRDefault="004C6683">
      <w:pPr>
        <w:spacing w:before="120" w:after="120" w:line="360" w:lineRule="auto"/>
        <w:ind w:left="850" w:hanging="850"/>
        <w:rPr>
          <w:szCs w:val="24"/>
        </w:rPr>
      </w:pPr>
      <w:r>
        <w:rPr>
          <w:b/>
          <w:i/>
        </w:rPr>
        <w:t>(6a)</w:t>
      </w:r>
      <w:r>
        <w:tab/>
      </w:r>
      <w:r>
        <w:rPr>
          <w:b/>
          <w:i/>
        </w:rPr>
        <w:t>V Budapeštianskom memorande sa takisto požadovalo zlepšenie štatistiky o migrácii a vypracovanie a uplatňovanie spoločných definícií týkajúcich sa obyvateľstva a migrácie, pričom sa zohľadnila potreba stanoviť pojmy a definície, ktoré sú štatisticky spoľahlivé, relevantné a uplatniteľné vzhľadom na vznikajúce typy migrácie. Minulé a prebiehajúce udalosti, ako je vystúpenie Spojeného kráľovstva z Únie a dôsledky ruskej útočnej vojny proti Ukrajine a iné humanitárne krízy, zdôrazňujú význam včasnej a podrobnej štatistiky o migrácii a medzinárodnej ochrane, ktoré sú nevyhnutné na vytvorenie prehľadu o migračných tokoch do Únie, v rámci nej a z nej.</w:t>
      </w:r>
    </w:p>
    <w:p w14:paraId="44A3E04F" w14:textId="77777777" w:rsidR="003A74C2" w:rsidRDefault="004C6683">
      <w:pPr>
        <w:spacing w:before="120" w:after="120" w:line="360" w:lineRule="auto"/>
        <w:ind w:left="850" w:hanging="850"/>
        <w:rPr>
          <w:szCs w:val="24"/>
        </w:rPr>
      </w:pPr>
      <w:r>
        <w:t>(7)</w:t>
      </w:r>
      <w:r>
        <w:tab/>
        <w:t>Na dosiahnutie cieľov Európskej zelenej dohody si rozvoj a hodnotenie účinných politík vyžaduje lepšiu štatistiku týkajúcu sa využívania energií a energetickej účinnosti domov a bytov, podrobné geografické údaje o rozmiestnení obyvateľstva, ako aj hlbšie štúdie vzťahu medzi obyvateľstvom a bývaním. S pandémiou COVID-19 sa prejavila potreba spoľahlivých, veľmi častých a včasných štatistík úmrtí v Únii. Hoci potreby údajov splnil dobrovoľný zber údajov od členských štátov Komisii (</w:t>
      </w:r>
      <w:proofErr w:type="spellStart"/>
      <w:r>
        <w:t>Eurostatu</w:t>
      </w:r>
      <w:proofErr w:type="spellEnd"/>
      <w:r>
        <w:t xml:space="preserve">), Únia potrebuje primeraný mechanizmus povinného zberu takýchto údajov v rámci Európskeho štatistického systému (ESS) s potrebnou frekvenciou, </w:t>
      </w:r>
      <w:r>
        <w:lastRenderedPageBreak/>
        <w:t>včasnosťou a podrobnosťou.</w:t>
      </w:r>
    </w:p>
    <w:p w14:paraId="5DE1066C" w14:textId="77777777" w:rsidR="003A74C2" w:rsidRDefault="004C6683">
      <w:pPr>
        <w:spacing w:before="120" w:after="120" w:line="360" w:lineRule="auto"/>
        <w:ind w:left="850" w:hanging="850"/>
        <w:rPr>
          <w:szCs w:val="24"/>
        </w:rPr>
      </w:pPr>
      <w:r>
        <w:rPr>
          <w:b/>
          <w:i/>
        </w:rPr>
        <w:t>(7a)</w:t>
      </w:r>
      <w:r>
        <w:tab/>
      </w:r>
      <w:r>
        <w:rPr>
          <w:b/>
          <w:i/>
        </w:rPr>
        <w:t>Na monitorovanie pokroku pri vykonávaní zásad Európskeho piliera sociálnych práv, hlavných cieľov súvisiaceho akčného plánu a Európskej záruky pre deti na vnútroštátnej úrovni a na posúdenie distribučného vplyvu zmeny klímy a politík vo všeobecnosti potrebuje Únia primeraný mechanizmus na povinný zber takýchto údajov v rámci ESS s potrebnou frekvenciou, včasnosťou a podrobnosťou.</w:t>
      </w:r>
    </w:p>
    <w:p w14:paraId="1CC04144" w14:textId="77777777" w:rsidR="003A74C2" w:rsidRDefault="004C6683">
      <w:pPr>
        <w:spacing w:before="120" w:after="120" w:line="360" w:lineRule="auto"/>
        <w:ind w:left="850" w:hanging="850"/>
        <w:rPr>
          <w:szCs w:val="24"/>
        </w:rPr>
      </w:pPr>
      <w:r>
        <w:t>(8)</w:t>
      </w:r>
      <w:r>
        <w:tab/>
        <w:t>Hospodárska a sociálna rada Organizácie Spojených národov na návrh Štatistickej komisie Organizácie Spojených národov každých desať rokov prijíma rezolúcie týkajúce sa svetového sčítania obyvateľov, domov a bytov a vyzýva členské štáty OSN, aby vykonali sčítanie obyvateľov, domov a bytov v súlade s medzinárodnými a regionálnymi odporúčaniami a dodržiavaním integrity, spoľahlivosti, presnosti a hodnoty výsledkov sčítania obyvateľov, domov a bytov. Tieto odporúčania by sa mali zohľadňovať v európskej štatistike obyvateľov, domov a bytov.</w:t>
      </w:r>
    </w:p>
    <w:p w14:paraId="169493FD" w14:textId="77777777" w:rsidR="003A74C2" w:rsidRDefault="004C6683">
      <w:pPr>
        <w:spacing w:before="120" w:after="120" w:line="360" w:lineRule="auto"/>
        <w:ind w:left="850" w:hanging="850"/>
        <w:rPr>
          <w:szCs w:val="24"/>
        </w:rPr>
      </w:pPr>
      <w:r>
        <w:t>(9)</w:t>
      </w:r>
      <w:r>
        <w:tab/>
      </w:r>
      <w:r>
        <w:rPr>
          <w:b/>
          <w:i/>
        </w:rPr>
        <w:t xml:space="preserve">Ústredným cieľom Komisie je zjednodušenie oznamovacích povinností a zníženie administratívnej záťaže. Cieľom oznámenia Komisie zo 16. marca 2023 s názvom Dlhodobá konkurencieschopnosť EÚ: výhľad na obdobie po roku 2030 je zamerať sa na racionalizáciu a zjednodušenie požiadaviek na podávanie správ o 25 % pre podniky a správne orgány bez toho, aby sa ohrozili súvisiace politické ciele. </w:t>
      </w:r>
      <w:r>
        <w:t>V nariadení Európskeho parlamentu a Rady (ES) č. 223/2009</w:t>
      </w:r>
      <w:r>
        <w:rPr>
          <w:szCs w:val="24"/>
          <w:vertAlign w:val="superscript"/>
          <w:lang w:eastAsia="en-US"/>
        </w:rPr>
        <w:footnoteReference w:id="7"/>
      </w:r>
      <w:r>
        <w:t xml:space="preserve"> sa stanovil rámec pre rozvoj, tvorbu a šírenie európskej štatistiky na základe spoločných štatistických zásad. V uvedenom nariadení sa stanovujú kritériá kvality a odkazuje sa v ňom na potrebu minimalizácie zaťaženia respondentov pri zisťovaní a prispieť k všeobecnejšiemu cieľu zníženia administratívneho zaťaženia. Na základe nového právneho rámca pre európsku štatistiku obyvateľov, domov a bytov by sa mali uplatňovať kritériá kvality stanovené v uvedenom nariadení </w:t>
      </w:r>
      <w:r>
        <w:rPr>
          <w:b/>
          <w:bCs/>
          <w:i/>
          <w:iCs/>
        </w:rPr>
        <w:t>a vychádzať z nich</w:t>
      </w:r>
      <w:r>
        <w:t xml:space="preserve"> </w:t>
      </w:r>
      <w:r>
        <w:rPr>
          <w:b/>
          <w:bCs/>
          <w:i/>
          <w:iCs/>
        </w:rPr>
        <w:t>a znížiť administratívne zaťaženie</w:t>
      </w:r>
      <w:r>
        <w:t xml:space="preserve"> prostredníctvom účinného a efektívneho opätovného použitia dostupných zdrojov údajov vrátane administratívnych údajov.</w:t>
      </w:r>
    </w:p>
    <w:p w14:paraId="5CFE12EC" w14:textId="77777777" w:rsidR="003A74C2" w:rsidRDefault="004C6683">
      <w:pPr>
        <w:spacing w:before="120" w:after="120" w:line="360" w:lineRule="auto"/>
        <w:ind w:left="850" w:hanging="850"/>
        <w:rPr>
          <w:szCs w:val="24"/>
        </w:rPr>
      </w:pPr>
      <w:r>
        <w:lastRenderedPageBreak/>
        <w:t>(10)</w:t>
      </w:r>
      <w:r>
        <w:tab/>
        <w:t>Z vyhodnotenia existujúcej štatistiky</w:t>
      </w:r>
      <w:r>
        <w:rPr>
          <w:szCs w:val="24"/>
          <w:vertAlign w:val="superscript"/>
          <w:lang w:eastAsia="en-US"/>
        </w:rPr>
        <w:footnoteReference w:id="8"/>
      </w:r>
      <w:r>
        <w:t xml:space="preserve"> o sčítaní obyvateľov, domov a bytov v Únii, štatistiky o medzinárodných migračných tokoch, stavoch migrantov a nadobúdaní občianstva a demografickej štatistiky vyplynulo, že súčasný právny rámec zahŕňajúci nariadenia Európskeho parlamentu a Rady (ES) č. 862/2007</w:t>
      </w:r>
      <w:r>
        <w:rPr>
          <w:szCs w:val="24"/>
          <w:vertAlign w:val="superscript"/>
          <w:lang w:eastAsia="en-US"/>
        </w:rPr>
        <w:footnoteReference w:id="9"/>
      </w:r>
      <w:r>
        <w:t>, (ES) 763/2008</w:t>
      </w:r>
      <w:r>
        <w:rPr>
          <w:szCs w:val="24"/>
          <w:vertAlign w:val="superscript"/>
          <w:lang w:eastAsia="en-US"/>
        </w:rPr>
        <w:footnoteReference w:id="10"/>
      </w:r>
      <w:r>
        <w:t xml:space="preserve"> a (EÚ) č. 1260/2013 viedol k výraznému celkovému zlepšeniu štatistiky v porovnaní so situáciou v roku 2005, keď nebol účinný súčasný právny rámec. Tento rámec má však potenciál nedostatočnej konzistentnosti a porovnateľnosti, čo by sa malo riešiť.</w:t>
      </w:r>
    </w:p>
    <w:p w14:paraId="1A28C28D" w14:textId="77777777" w:rsidR="003A74C2" w:rsidRDefault="004C6683">
      <w:pPr>
        <w:spacing w:before="120" w:after="120" w:line="360" w:lineRule="auto"/>
        <w:ind w:left="850" w:hanging="850"/>
        <w:rPr>
          <w:szCs w:val="24"/>
        </w:rPr>
      </w:pPr>
      <w:r>
        <w:t>(11)</w:t>
      </w:r>
      <w:r>
        <w:tab/>
      </w:r>
      <w:r>
        <w:rPr>
          <w:b/>
          <w:bCs/>
          <w:i/>
          <w:iCs/>
        </w:rPr>
        <w:t>Zmena klímy, digitálna transformácia,</w:t>
      </w:r>
      <w:r>
        <w:t xml:space="preserve"> vyvíjajúca sa demografická situácia a nedávne migračné trendy si vyžiadali včasnejšiu, častejšiu a podrobnejšiu európsku štatistiku obyvateľstva, </w:t>
      </w:r>
      <w:r>
        <w:rPr>
          <w:b/>
          <w:bCs/>
          <w:i/>
          <w:iCs/>
        </w:rPr>
        <w:t>sociálno-ekonomického rozvoja,</w:t>
      </w:r>
      <w:r>
        <w:t xml:space="preserve"> demografických udalostí a domov a bytov vrátane podrobností o témach alebo skupinách, ktoré sa v poslednom desaťročí stali politicky a spoločensky relevantnými. Okrem toho existujúci právny rámec nie je dostatočne flexibilný na to, aby sa prispôsobil meniacim sa potrebám politiky a umožnil využívanie nových zdrojov na národnej úrovni a na úrovni Únie. Štruktúra existujúceho právneho rámca vo forme troch samostatných nariadení prijatých v rôznych časoch navyše viedla k inherentným nezrovnalostiam v štatistike. Okrem toho keďže 31. augusta 2028 sa prestane uplatňovať nariadenie (EÚ) č. 1260/2013, je potrebný nový právny základ pre demografické štatistické údaje zbierané podľa uvedeného nariadenia. Preto treba nahradiť súčasný právny rámec novým, súdržnejším a flexibilnejším rámcom, ktorým by sa mali zmeniť príslušné časti nariadenia (ES) č. 862/2007 a zrušiť nariadenia (ES) č. 763/2008 a (EÚ) č. 1260/2013.</w:t>
      </w:r>
    </w:p>
    <w:p w14:paraId="28BC5465" w14:textId="77777777" w:rsidR="003A74C2" w:rsidRDefault="004C6683">
      <w:pPr>
        <w:spacing w:before="120" w:after="120" w:line="360" w:lineRule="auto"/>
        <w:ind w:left="850" w:hanging="850"/>
        <w:rPr>
          <w:szCs w:val="24"/>
        </w:rPr>
      </w:pPr>
      <w:r>
        <w:t>(12)</w:t>
      </w:r>
      <w:r>
        <w:tab/>
        <w:t xml:space="preserve">Článok 3 nariadenia (ES) č. 862/2007 sa vzťahuje na štatistiku o občianstve a mieste narodenia obyvateľov s bydliskom (stavy migrantov), o zmenách bydliska medzi krajinami (medzinárodné migračné toky) a o nadobúdaní občianstva obyvateľov s bydliskom, zatiaľ čo ostatná štatistika podľa uvedeného nariadenia sa týka správnych a súdnych konaní súvisiacich s právnymi predpismi v oblasti </w:t>
      </w:r>
      <w:r>
        <w:lastRenderedPageBreak/>
        <w:t>prisťahovalectva a medzinárodnej ochrany. Štatistiky podľa článku 3 uvedeného nariadenia sú preto úzko prepojené a mali by byť v súlade so štatistikou obyvateľstva s bydliskom a jeho demografických zmien podľa nariadení (ES) č. 763/2008 a (EÚ) č. 1260/2013. S cieľom zabezpečiť vnútorný súlad by sa preto táto štatistika mala začleniť do jednotného právneho základu a zároveň by sa mal z nariadenia (ES) č. 862/2007 vypustiť článok 3.</w:t>
      </w:r>
    </w:p>
    <w:p w14:paraId="5BFE70DE" w14:textId="77777777" w:rsidR="003A74C2" w:rsidRDefault="004C6683">
      <w:pPr>
        <w:spacing w:before="120" w:after="120" w:line="360" w:lineRule="auto"/>
        <w:ind w:left="850" w:hanging="850"/>
        <w:rPr>
          <w:szCs w:val="24"/>
        </w:rPr>
      </w:pPr>
      <w:r>
        <w:t>(13)</w:t>
      </w:r>
      <w:r>
        <w:tab/>
        <w:t xml:space="preserve">Rýchlo sa meniaca povaha niektorých charakteristík obyvateľov, domov a bytov, najmä vo vzťahu k demografickým, sociálno-ekonomickým a migračným javom, a zodpovedajúca potreba rýchleho zacielenia a prispôsobenia politík znamená, že je potrebné, aby bola štatistika dostupná včas krátko po referenčnom období. Periodicita a včasnosť štatistických údajov by sa preto mali zreteľne zlepšiť, </w:t>
      </w:r>
      <w:r>
        <w:rPr>
          <w:b/>
          <w:bCs/>
          <w:i/>
          <w:iCs/>
        </w:rPr>
        <w:t>pokiaľ možno prostredníctvom využívania administratívnych údajov a administratívnych záznamov</w:t>
      </w:r>
      <w:r>
        <w:t>.</w:t>
      </w:r>
      <w:r>
        <w:rPr>
          <w:b/>
          <w:i/>
        </w:rPr>
        <w:t xml:space="preserve"> </w:t>
      </w:r>
      <w:r>
        <w:rPr>
          <w:b/>
          <w:bCs/>
          <w:i/>
          <w:iCs/>
        </w:rPr>
        <w:t>Na tento účel by mali členské štáty poskytnúť svojim národným štatistickým úradom primerané zdroje.</w:t>
      </w:r>
    </w:p>
    <w:p w14:paraId="4B3CEE1B" w14:textId="77777777" w:rsidR="003A74C2" w:rsidRDefault="004C6683">
      <w:pPr>
        <w:spacing w:before="120" w:after="120" w:line="360" w:lineRule="auto"/>
        <w:ind w:left="850" w:hanging="850"/>
        <w:rPr>
          <w:szCs w:val="24"/>
        </w:rPr>
      </w:pPr>
      <w:r>
        <w:t>(14)</w:t>
      </w:r>
      <w:r>
        <w:tab/>
        <w:t>Nariadením Európskeho parlamentu a Rady (ES) č. 1059/2003</w:t>
      </w:r>
      <w:r>
        <w:rPr>
          <w:szCs w:val="24"/>
          <w:vertAlign w:val="superscript"/>
          <w:lang w:eastAsia="en-US"/>
        </w:rPr>
        <w:footnoteReference w:id="11"/>
      </w:r>
      <w:r>
        <w:t xml:space="preserve"> sa stanovuje metodika založená na mriežke na účely vymedzenia územných typológií na základe rozmiestnenia obyvateľstva v bunkách mriežky s veľkosťou jeden kilometer štvorcový. Vykonávacie nariadenie Komisie (EÚ) 2018/1799</w:t>
      </w:r>
      <w:r>
        <w:rPr>
          <w:szCs w:val="24"/>
          <w:vertAlign w:val="superscript"/>
          <w:lang w:eastAsia="en-US"/>
        </w:rPr>
        <w:footnoteReference w:id="12"/>
      </w:r>
      <w:r>
        <w:t xml:space="preserve"> ako prechodné priame štatistické opatrenie sprevádzajúce sčítanie obyvateľov, domov a bytov v roku 2021 poskytuje kľúčové výstupy zo sčítania v celoeurópskej mriežke buniek s veľkosťou 1 km</w:t>
      </w:r>
      <w:r>
        <w:rPr>
          <w:vertAlign w:val="superscript"/>
        </w:rPr>
        <w:t>2</w:t>
      </w:r>
      <w:r>
        <w:t xml:space="preserve">. Právny rámec by mal zabezpečiť nepretržité šírenie </w:t>
      </w:r>
      <w:proofErr w:type="spellStart"/>
      <w:r>
        <w:t>georeferenčnej</w:t>
      </w:r>
      <w:proofErr w:type="spellEnd"/>
      <w:r>
        <w:t xml:space="preserve"> štatistiky obyvateľstva na základe mriežok a jej rozšírenie na štatistiku domov a bytov.</w:t>
      </w:r>
    </w:p>
    <w:p w14:paraId="7B876C81" w14:textId="77777777" w:rsidR="003A74C2" w:rsidRDefault="004C6683">
      <w:pPr>
        <w:spacing w:before="120" w:after="120" w:line="360" w:lineRule="auto"/>
        <w:ind w:left="850" w:hanging="850"/>
        <w:rPr>
          <w:szCs w:val="24"/>
        </w:rPr>
      </w:pPr>
      <w:r>
        <w:t>(15)</w:t>
      </w:r>
      <w:r>
        <w:tab/>
        <w:t>Územné jednotky a štatistické mriežky by sa mali vymedziť v súlade s nariadením (ES) č. 1059/2003.</w:t>
      </w:r>
    </w:p>
    <w:p w14:paraId="155A83E2" w14:textId="77777777" w:rsidR="003A74C2" w:rsidRDefault="004C6683">
      <w:pPr>
        <w:spacing w:before="120" w:after="120" w:line="360" w:lineRule="auto"/>
        <w:ind w:left="850" w:hanging="850"/>
        <w:rPr>
          <w:szCs w:val="24"/>
        </w:rPr>
      </w:pPr>
      <w:r>
        <w:t>(16)</w:t>
      </w:r>
      <w:r>
        <w:tab/>
        <w:t xml:space="preserve">Na </w:t>
      </w:r>
      <w:proofErr w:type="spellStart"/>
      <w:r>
        <w:t>geokódovanie</w:t>
      </w:r>
      <w:proofErr w:type="spellEnd"/>
      <w:r>
        <w:t xml:space="preserve"> polohy by sa mala používať téma Štatistické jednotky v súlade </w:t>
      </w:r>
      <w:r>
        <w:lastRenderedPageBreak/>
        <w:t>s prílohou III k smernici Európskeho parlamentu a Rady 2007/2/ES</w:t>
      </w:r>
      <w:r>
        <w:rPr>
          <w:szCs w:val="24"/>
          <w:vertAlign w:val="superscript"/>
          <w:lang w:eastAsia="en-US"/>
        </w:rPr>
        <w:footnoteReference w:id="13"/>
      </w:r>
      <w:r>
        <w:t>.</w:t>
      </w:r>
    </w:p>
    <w:p w14:paraId="4C8221AF" w14:textId="77777777" w:rsidR="003A74C2" w:rsidRDefault="004C6683">
      <w:pPr>
        <w:spacing w:before="120" w:after="120" w:line="360" w:lineRule="auto"/>
        <w:ind w:left="850" w:hanging="850"/>
        <w:rPr>
          <w:szCs w:val="24"/>
        </w:rPr>
      </w:pPr>
      <w:r>
        <w:t>(17)</w:t>
      </w:r>
      <w:r>
        <w:tab/>
        <w:t xml:space="preserve">Súčasný právny rámec pre európsku štatistiku obyvateľov, domov a bytov treba aktualizovať, aby sa zabezpečilo, že v súčasnosti oddelené štatistické procesy budú primerane začlenené do spoločného rámca, ktorý umožní ESS efektívne reagovať na nové informačné potreby Únie a podporiť štatistické inovácie. Štatistické výstupy sa musia zlepšiť, aby zostali relevantné vzhľadom na demografické, migračné, sociálne a ekonomické zmeny v spoločnosti </w:t>
      </w:r>
      <w:r>
        <w:rPr>
          <w:b/>
          <w:bCs/>
          <w:i/>
          <w:iCs/>
        </w:rPr>
        <w:t>a</w:t>
      </w:r>
      <w:r>
        <w:t xml:space="preserve"> výzvy a poskytovali podporu pre tvorbu politiky a rozhodovanie.</w:t>
      </w:r>
    </w:p>
    <w:p w14:paraId="37531356" w14:textId="77777777" w:rsidR="003A74C2" w:rsidRDefault="004C6683">
      <w:pPr>
        <w:spacing w:before="120" w:after="120" w:line="360" w:lineRule="auto"/>
        <w:ind w:left="850" w:hanging="850"/>
        <w:rPr>
          <w:szCs w:val="24"/>
        </w:rPr>
      </w:pPr>
      <w:r>
        <w:t>(18)</w:t>
      </w:r>
      <w:r>
        <w:tab/>
        <w:t>Rozšírená pravidelná (ročná a kratšia ako jeden rok) štatistika obyvateľov, domov a bytov založená na administratívnych zdrojoch by sa mala doplniť o informácie z koordinovaných sčítaní obyvateľov, domov a bytov v Únii, ktoré sa vykonávajú každých desať rokov v súlade so zásadami a odporúčaniami OSN. Rovnako dôležité je, že sčítanie obyvateľov, domov a bytov poskytuje jedinečnú príležitosť na zviditeľnenie oficiálnej štatistiky z hľadiska operácií aj výsledkov.</w:t>
      </w:r>
    </w:p>
    <w:p w14:paraId="09199F24" w14:textId="77777777" w:rsidR="003A74C2" w:rsidRDefault="004C6683">
      <w:pPr>
        <w:spacing w:before="120" w:after="120" w:line="360" w:lineRule="auto"/>
        <w:ind w:left="850" w:hanging="850"/>
        <w:rPr>
          <w:szCs w:val="24"/>
        </w:rPr>
      </w:pPr>
      <w:r>
        <w:t>(19)</w:t>
      </w:r>
      <w:r>
        <w:tab/>
        <w:t xml:space="preserve">Sčítania obyvateľov v Únii by sa mali stať nákladovo efektívnejšími vďaka plnému využitiu bohatého súboru administratívnych údajov dostupných v jednotlivých členských štátoch alebo kombinácie rôznych zdrojov vrátane zdrojov súvisiacich s internetom vecí a poskytovaním digitálnych služieb </w:t>
      </w:r>
      <w:r>
        <w:rPr>
          <w:b/>
          <w:bCs/>
          <w:i/>
          <w:iCs/>
        </w:rPr>
        <w:t>na základe uzavretia protokolov medzi národnými štatistickými úradmi členských štátov a poskytovateľmi údajov zo súkromných databáz</w:t>
      </w:r>
      <w:r>
        <w:t xml:space="preserve">. </w:t>
      </w:r>
      <w:r>
        <w:rPr>
          <w:b/>
          <w:bCs/>
          <w:i/>
          <w:iCs/>
        </w:rPr>
        <w:t>Mali by rešpektovať súkromie osobných údajov zavedením potrebných záruk pre zber osobných údajov s cieľom zabrániť akémukoľvek potenciálnemu zneužitiu a zaručiť základné práva</w:t>
      </w:r>
      <w:r>
        <w:t>.</w:t>
      </w:r>
      <w:r>
        <w:rPr>
          <w:b/>
          <w:i/>
        </w:rPr>
        <w:t xml:space="preserve"> </w:t>
      </w:r>
      <w:r>
        <w:t>Mali by sa používať aj na opätovné vytvorenie východiskového demografického stavu a mali by zahŕňať zisťovania týkajúce sa pokrytia administratívnych zdrojov údajov.</w:t>
      </w:r>
    </w:p>
    <w:p w14:paraId="36FAD3D6" w14:textId="32696199" w:rsidR="003A74C2" w:rsidRDefault="004C6683">
      <w:pPr>
        <w:spacing w:before="120" w:after="120" w:line="360" w:lineRule="auto"/>
        <w:ind w:left="850" w:hanging="850"/>
        <w:rPr>
          <w:szCs w:val="24"/>
        </w:rPr>
      </w:pPr>
      <w:r>
        <w:t>(20)</w:t>
      </w:r>
      <w:r>
        <w:tab/>
        <w:t>Členské štáty a Komisia (</w:t>
      </w:r>
      <w:proofErr w:type="spellStart"/>
      <w:r>
        <w:t>Eurostat</w:t>
      </w:r>
      <w:proofErr w:type="spellEnd"/>
      <w:r>
        <w:t>) by mali mať udržateľný prístup k čo najširšiemu rozsahu zdrojov údajov, aby mohli vytvárať európsku štatistiku obyvateľov, domov a bytov s vysokou kvalitou a nákladovo efektívnym spôsobom. V tejto súvislosti je veľmi dôležité, aby národné štatistické úrady získali včasný prístup a </w:t>
      </w:r>
      <w:r>
        <w:rPr>
          <w:b/>
          <w:bCs/>
          <w:i/>
          <w:iCs/>
        </w:rPr>
        <w:t>mohli</w:t>
      </w:r>
      <w:r>
        <w:rPr>
          <w:b/>
          <w:bCs/>
        </w:rPr>
        <w:t xml:space="preserve"> </w:t>
      </w:r>
      <w:r>
        <w:t xml:space="preserve">bezodkladne využívať administratívne údaje, ktoré majú v držbe orgány verejnej správy na celoštátnej, regionálnej a miestnej úrovni, v súlade s článkom 17a </w:t>
      </w:r>
      <w:r>
        <w:lastRenderedPageBreak/>
        <w:t>nariadenia (ES) č. 223/2009. Napríklad pri štatistike o energetickej účinnosti budov sa môže vychádzať z administratívnych údajov týkajúcich sa vydávania energetických certifikátov budov podľa smernice Európskeho parlamentu a Rady 2010/31/EÚ</w:t>
      </w:r>
      <w:r>
        <w:rPr>
          <w:szCs w:val="24"/>
          <w:vertAlign w:val="superscript"/>
          <w:lang w:eastAsia="en-US"/>
        </w:rPr>
        <w:footnoteReference w:id="14"/>
      </w:r>
      <w:r>
        <w:t xml:space="preserve">. </w:t>
      </w:r>
      <w:r>
        <w:rPr>
          <w:b/>
          <w:i/>
        </w:rPr>
        <w:t xml:space="preserve">Národné štatistické orgány by mali mať možnosť pravidelne a včas v plnej miere opätovne používať administratívne údaje z </w:t>
      </w:r>
      <w:proofErr w:type="spellStart"/>
      <w:r>
        <w:rPr>
          <w:b/>
          <w:i/>
        </w:rPr>
        <w:t>interoperabilných</w:t>
      </w:r>
      <w:proofErr w:type="spellEnd"/>
      <w:r>
        <w:rPr>
          <w:b/>
          <w:i/>
        </w:rPr>
        <w:t xml:space="preserve"> databáz na účely energetickej hospodárnosti budov, ktoré sú dostupné na vnútroštátnej úrovni podľa smernice Európskeho parlamentu a</w:t>
      </w:r>
      <w:r w:rsidR="00E37CD1">
        <w:rPr>
          <w:b/>
          <w:i/>
        </w:rPr>
        <w:t> </w:t>
      </w:r>
      <w:r>
        <w:rPr>
          <w:b/>
          <w:i/>
        </w:rPr>
        <w:t>Rady</w:t>
      </w:r>
      <w:r w:rsidR="00E37CD1">
        <w:rPr>
          <w:b/>
          <w:i/>
        </w:rPr>
        <w:t xml:space="preserve"> (EÚ)</w:t>
      </w:r>
      <w:r>
        <w:rPr>
          <w:b/>
          <w:i/>
        </w:rPr>
        <w:t xml:space="preserve"> 2024/1275 Európskeho parlamentu a Rady</w:t>
      </w:r>
      <w:r>
        <w:rPr>
          <w:b/>
          <w:i/>
          <w:szCs w:val="24"/>
          <w:vertAlign w:val="superscript"/>
          <w:lang w:eastAsia="en-US"/>
        </w:rPr>
        <w:footnoteReference w:id="15"/>
      </w:r>
      <w:r>
        <w:rPr>
          <w:b/>
          <w:i/>
        </w:rPr>
        <w:t xml:space="preserve">. </w:t>
      </w:r>
      <w:r>
        <w:t xml:space="preserve">Vnútroštátne štatistické </w:t>
      </w:r>
      <w:r>
        <w:rPr>
          <w:b/>
          <w:bCs/>
          <w:i/>
          <w:iCs/>
        </w:rPr>
        <w:t>orgány</w:t>
      </w:r>
      <w:r>
        <w:t xml:space="preserve"> sa musia takisto zapájať do rozhodnutí týkajúcich sa návrhu a reorganizácie príslušných administratívnych zdrojov údajov, aby sa zabezpečilo, že ich možno ďalej opätovne použiť na zostavovanie oficiálnej štatistiky.</w:t>
      </w:r>
    </w:p>
    <w:p w14:paraId="4F9D9594" w14:textId="77777777" w:rsidR="003A74C2" w:rsidRDefault="004C6683">
      <w:pPr>
        <w:spacing w:before="120" w:after="120" w:line="360" w:lineRule="auto"/>
        <w:ind w:left="850" w:hanging="850"/>
        <w:rPr>
          <w:szCs w:val="24"/>
        </w:rPr>
      </w:pPr>
      <w:r>
        <w:t>(21)</w:t>
      </w:r>
      <w:r>
        <w:tab/>
        <w:t xml:space="preserve">V posledných rokoch boli na úrovni Únie vyvinuté komplexné databázy a systémy </w:t>
      </w:r>
      <w:proofErr w:type="spellStart"/>
      <w:r>
        <w:t>interoperability</w:t>
      </w:r>
      <w:proofErr w:type="spellEnd"/>
      <w:r>
        <w:t xml:space="preserve"> týkajúce sa pobytu, demografických udalostí, občianstva a migračného a cezhraničného pohybu obyvateľstva, ako sú tie, ktoré boli zriadené podľa nariadení Európskeho parlamentu a Rady (EÚ) č. 910/2014</w:t>
      </w:r>
      <w:r>
        <w:rPr>
          <w:szCs w:val="24"/>
          <w:vertAlign w:val="superscript"/>
          <w:lang w:eastAsia="en-US"/>
        </w:rPr>
        <w:footnoteReference w:id="16"/>
      </w:r>
      <w:r>
        <w:t>, (EÚ) 2018/1724</w:t>
      </w:r>
      <w:r>
        <w:rPr>
          <w:szCs w:val="24"/>
          <w:vertAlign w:val="superscript"/>
          <w:lang w:eastAsia="en-US"/>
        </w:rPr>
        <w:footnoteReference w:id="17"/>
      </w:r>
      <w:r>
        <w:t>, (EÚ) 2019/817</w:t>
      </w:r>
      <w:r>
        <w:rPr>
          <w:szCs w:val="24"/>
          <w:vertAlign w:val="superscript"/>
          <w:lang w:eastAsia="en-US"/>
        </w:rPr>
        <w:footnoteReference w:id="18"/>
      </w:r>
      <w:r>
        <w:t xml:space="preserve"> a (EÚ) 2019/818</w:t>
      </w:r>
      <w:r>
        <w:rPr>
          <w:szCs w:val="24"/>
          <w:vertAlign w:val="superscript"/>
          <w:lang w:eastAsia="en-US"/>
        </w:rPr>
        <w:footnoteReference w:id="19"/>
      </w:r>
      <w:r>
        <w:t xml:space="preserve">. Poskytujú cenné informácie, ktoré možno opätovne použiť na zostavovanie a zabezpečovanie kvality európskej </w:t>
      </w:r>
      <w:r>
        <w:lastRenderedPageBreak/>
        <w:t>štatistiky obyvateľov, domov a bytov.</w:t>
      </w:r>
    </w:p>
    <w:p w14:paraId="6B802AA0" w14:textId="77777777" w:rsidR="003A74C2" w:rsidRDefault="004C6683">
      <w:pPr>
        <w:spacing w:before="120" w:after="120" w:line="360" w:lineRule="auto"/>
        <w:ind w:left="850" w:hanging="850"/>
        <w:rPr>
          <w:szCs w:val="24"/>
        </w:rPr>
      </w:pPr>
      <w:r>
        <w:t>(22)</w:t>
      </w:r>
      <w:r>
        <w:tab/>
        <w:t>V tejto súvislosti je nevyhnutné, aby sa Komisii (</w:t>
      </w:r>
      <w:proofErr w:type="spellStart"/>
      <w:r>
        <w:t>Eurostatu</w:t>
      </w:r>
      <w:proofErr w:type="spellEnd"/>
      <w:r>
        <w:t>) umožnilo opätovne použiť tieto údaje len na štatistické účely za prísneho uplatňovania pravidiel ochrany údajov a ochrany súkromia, ako sa uvádza v nariadení Európskeho parlamentu a Rady (EÚ) 2018/1725</w:t>
      </w:r>
      <w:r>
        <w:rPr>
          <w:szCs w:val="24"/>
          <w:vertAlign w:val="superscript"/>
          <w:lang w:eastAsia="en-US"/>
        </w:rPr>
        <w:footnoteReference w:id="20"/>
      </w:r>
      <w:r>
        <w:t xml:space="preserve">. Malo by sa to týkať najmä štatistických údajov uchovávaných v centrálnom úložisku na účely podávania správ a štatistiky (ďalej len „CRRS“) v súlade s účelom CRRS stanoveným v článku 39 ods. 1 nariadenia (EÚ) 2019/817, ako aj v článku 39 ods. 1 nariadenia (EÚ) 2019/818 a v súlade s nariadeniami, ktorými sa zriaďujú systémy, ktorých štatistické údaje sa uchovávajú v CRRS. Najmä vzhľadom na to, že </w:t>
      </w:r>
      <w:proofErr w:type="spellStart"/>
      <w:r>
        <w:t>CRRS</w:t>
      </w:r>
      <w:proofErr w:type="spellEnd"/>
      <w:r>
        <w:t xml:space="preserve"> má poskytovať </w:t>
      </w:r>
      <w:proofErr w:type="spellStart"/>
      <w:r>
        <w:t>medzisystémové</w:t>
      </w:r>
      <w:proofErr w:type="spellEnd"/>
      <w:r>
        <w:t xml:space="preserve"> štatistické údaje a analytické správy na politické a prevádzkové účely a na účely kvality údajov, Komisia (</w:t>
      </w:r>
      <w:proofErr w:type="spellStart"/>
      <w:r>
        <w:t>Eurostat</w:t>
      </w:r>
      <w:proofErr w:type="spellEnd"/>
      <w:r>
        <w:t>) by mala v čo najväčšej miere spolupracovať s Agentúrou Európskej únie na prevádzkové riadenie rozsiahlych informačných systémov v priestore slobody, bezpečnosti a spravodlivosti (</w:t>
      </w:r>
      <w:proofErr w:type="spellStart"/>
      <w:r>
        <w:t>eu-LISA</w:t>
      </w:r>
      <w:proofErr w:type="spellEnd"/>
      <w:r>
        <w:t>) s cieľom poskytnúť požadovanú európsku štatistiku.</w:t>
      </w:r>
    </w:p>
    <w:p w14:paraId="2EF0307D" w14:textId="0FD1F7B0" w:rsidR="003A74C2" w:rsidRDefault="004C6683">
      <w:pPr>
        <w:spacing w:before="120" w:after="120" w:line="360" w:lineRule="auto"/>
        <w:ind w:left="850" w:hanging="850"/>
        <w:rPr>
          <w:szCs w:val="24"/>
        </w:rPr>
      </w:pPr>
      <w:r>
        <w:t>(23)</w:t>
      </w:r>
      <w:r>
        <w:tab/>
      </w:r>
      <w:r>
        <w:rPr>
          <w:b/>
          <w:bCs/>
          <w:i/>
          <w:iCs/>
        </w:rPr>
        <w:t>Pojem „údaje v súkromnej držbe“ sa vzťahuje na obrovské množstvo údajov v držbe súkromných subjektov, ktoré boli získané v dôsledku ich činnosti a ktoré by štatistické orgány a Komisia (</w:t>
      </w:r>
      <w:proofErr w:type="spellStart"/>
      <w:r>
        <w:rPr>
          <w:b/>
          <w:bCs/>
          <w:i/>
          <w:iCs/>
        </w:rPr>
        <w:t>Eurostat</w:t>
      </w:r>
      <w:proofErr w:type="spellEnd"/>
      <w:r>
        <w:rPr>
          <w:b/>
          <w:bCs/>
          <w:i/>
          <w:iCs/>
        </w:rPr>
        <w:t>) mohli použiť na tvorbu oficiálnej štatistiky.</w:t>
      </w:r>
      <w:r>
        <w:rPr>
          <w:b/>
          <w:i/>
        </w:rPr>
        <w:t xml:space="preserve"> </w:t>
      </w:r>
      <w:r>
        <w:t xml:space="preserve">Takéto údaje môžu zlepšiť pokrytie, včasnosť a schopnosť európskej štatistiky obyvateľov, domov a bytov reagovať na krízy alebo umožniť ▌ inováciu v oblasti štatistiky. Takéto údaje majú potenciál doplniť existujúcu demografickú a migračnú štatistiku, priniesť inovácie v oblasti štatistiky a dokonca slúžiť na tvorbu skorých odhadov </w:t>
      </w:r>
      <w:r>
        <w:rPr>
          <w:b/>
          <w:bCs/>
          <w:i/>
          <w:iCs/>
        </w:rPr>
        <w:t>a zabezpečiť ochranu práv a slobôd držiteľov údajov</w:t>
      </w:r>
      <w:r>
        <w:t>. Národné štatistické úrady a iné príslušné vnútroštátne orgány a Komisia (</w:t>
      </w:r>
      <w:proofErr w:type="spellStart"/>
      <w:r>
        <w:t>Eurostat</w:t>
      </w:r>
      <w:proofErr w:type="spellEnd"/>
      <w:r>
        <w:t xml:space="preserve">) by mali mať prístup k takýmto údajom a mali by </w:t>
      </w:r>
      <w:r>
        <w:rPr>
          <w:b/>
          <w:bCs/>
          <w:i/>
          <w:iCs/>
        </w:rPr>
        <w:t>spolupracovať so súkromnými držiteľmi údajov v súlade s nariadením (ES) č. 223/2009</w:t>
      </w:r>
      <w:r>
        <w:t>.</w:t>
      </w:r>
    </w:p>
    <w:p w14:paraId="4F8108B2" w14:textId="77777777" w:rsidR="003A74C2" w:rsidRDefault="004C6683">
      <w:pPr>
        <w:spacing w:before="120" w:after="120" w:line="360" w:lineRule="auto"/>
        <w:ind w:left="850" w:hanging="850"/>
        <w:rPr>
          <w:szCs w:val="24"/>
        </w:rPr>
      </w:pPr>
      <w:r>
        <w:t>(24)</w:t>
      </w:r>
      <w:r>
        <w:tab/>
        <w:t xml:space="preserve">Na zabezpečenie porovnateľnosti európskej štatistiky obyvateľov, domov a bytov na úrovni Únie je nevyhnutné, aby sa používalo a harmonizovaným spôsobom </w:t>
      </w:r>
      <w:r>
        <w:lastRenderedPageBreak/>
        <w:t xml:space="preserve">uplatňovalo spoločné vymedzenie pojmu obyvateľstvo. S cieľom zaviesť jednotnú harmonizovanú populačnú základňu konzistentne, robustne a nákladovo efektívne a zároveň zabezpečiť včasné výsledky by malo byť možné v prípade potreby uplatňovať </w:t>
      </w:r>
      <w:r>
        <w:rPr>
          <w:b/>
          <w:bCs/>
          <w:i/>
          <w:iCs/>
        </w:rPr>
        <w:t>vedecky podložené techniky modelovania a štatistické metódy</w:t>
      </w:r>
      <w:r>
        <w:t>, ako sú „známky života“.</w:t>
      </w:r>
    </w:p>
    <w:p w14:paraId="243773FA" w14:textId="77777777" w:rsidR="003A74C2" w:rsidRDefault="004C6683">
      <w:pPr>
        <w:spacing w:before="120" w:after="120" w:line="360" w:lineRule="auto"/>
        <w:ind w:left="850" w:hanging="850"/>
        <w:rPr>
          <w:szCs w:val="24"/>
        </w:rPr>
      </w:pPr>
      <w:r>
        <w:t>(25)</w:t>
      </w:r>
      <w:r>
        <w:tab/>
        <w:t>Členské štáty by mali poskytovať svoje údaje a </w:t>
      </w:r>
      <w:proofErr w:type="spellStart"/>
      <w:r>
        <w:t>metaúdaje</w:t>
      </w:r>
      <w:proofErr w:type="spellEnd"/>
      <w:r>
        <w:t xml:space="preserve"> v elektronickej forme, a to vo vhodnom technickom formáte, ktorý má poskytnúť Komisia (</w:t>
      </w:r>
      <w:proofErr w:type="spellStart"/>
      <w:r>
        <w:t>Eurostat</w:t>
      </w:r>
      <w:proofErr w:type="spellEnd"/>
      <w:r>
        <w:t>). Medzinárodné normy, ako je iniciatíva Výmena štatistických údajov a </w:t>
      </w:r>
      <w:proofErr w:type="spellStart"/>
      <w:r>
        <w:t>metaúdajov</w:t>
      </w:r>
      <w:proofErr w:type="spellEnd"/>
      <w:r>
        <w:t xml:space="preserve">, a štatistické alebo technické normy vypracované v rámci Únie, ako sú normy pre </w:t>
      </w:r>
      <w:proofErr w:type="spellStart"/>
      <w:r>
        <w:t>metaúdaje</w:t>
      </w:r>
      <w:proofErr w:type="spellEnd"/>
      <w:r>
        <w:t xml:space="preserve"> a overovanie alebo zásady európskeho rámca </w:t>
      </w:r>
      <w:proofErr w:type="spellStart"/>
      <w:r>
        <w:t>interoperability</w:t>
      </w:r>
      <w:proofErr w:type="spellEnd"/>
      <w:r>
        <w:t xml:space="preserve">, by sa mali používať v rozsahu relevantnom pre európsku štatistiku obyvateľov, domov a bytov. ESSC schválil normy </w:t>
      </w:r>
      <w:proofErr w:type="spellStart"/>
      <w:r>
        <w:t>ESS</w:t>
      </w:r>
      <w:proofErr w:type="spellEnd"/>
      <w:r>
        <w:t xml:space="preserve"> pre </w:t>
      </w:r>
      <w:proofErr w:type="spellStart"/>
      <w:r>
        <w:t>metaúdaje</w:t>
      </w:r>
      <w:proofErr w:type="spellEnd"/>
      <w:r>
        <w:t xml:space="preserve"> a správy o kvalite v súlade s článkom 12 nariadenia (ES) č. 223/2009. Tieto normy majú prispieť k harmonizácii zabezpečenia kvality a podávania správ podľa tohto nariadenia, a preto by sa mali zaviesť.</w:t>
      </w:r>
    </w:p>
    <w:p w14:paraId="7E68F317" w14:textId="77777777" w:rsidR="003A74C2" w:rsidRDefault="004C6683">
      <w:pPr>
        <w:spacing w:before="120" w:after="120" w:line="360" w:lineRule="auto"/>
        <w:ind w:left="850" w:hanging="850"/>
        <w:rPr>
          <w:szCs w:val="24"/>
        </w:rPr>
      </w:pPr>
      <w:r>
        <w:t>(26)</w:t>
      </w:r>
      <w:r>
        <w:tab/>
        <w:t xml:space="preserve">Európska štatistika obyvateľov, domov a bytov by mala spĺňať kritériá kvality týkajúce sa relevantnosti, presnosti, včasnosti a časovej presnosti, prístupnosti a zrozumiteľnosti, porovnateľnosti a koherentnosti uvedené v nariadení (ES) č. 223/2009. Kvalita tejto štatistiky by sa mala zvyšovať podľa toho, ako sa budú vyvíjať potreby Únie, </w:t>
      </w:r>
      <w:r>
        <w:rPr>
          <w:b/>
          <w:bCs/>
          <w:i/>
          <w:iCs/>
        </w:rPr>
        <w:t>a mali by sa zaviesť mechanizmy na riešenie možných situácií, keď kvalita údajov nie je zaručená.</w:t>
      </w:r>
      <w:r>
        <w:t xml:space="preserve"> Príslušné výsledky hodnotenia kvality vykonaného Komisiou (</w:t>
      </w:r>
      <w:proofErr w:type="spellStart"/>
      <w:r>
        <w:t>Eurostatom</w:t>
      </w:r>
      <w:proofErr w:type="spellEnd"/>
      <w:r>
        <w:t>) by mali byť verejne dostupné používateľom štatistiky zabezpečením voľného a jednoduchého prístupu k tejto štatistike prostredníctvom databáz Komisie (</w:t>
      </w:r>
      <w:proofErr w:type="spellStart"/>
      <w:r>
        <w:t>Eurostatu</w:t>
      </w:r>
      <w:proofErr w:type="spellEnd"/>
      <w:r>
        <w:t>) na jej webovom sídle a v jej publikáciách.</w:t>
      </w:r>
    </w:p>
    <w:p w14:paraId="1B42BF2E" w14:textId="0517CAE5" w:rsidR="003A74C2" w:rsidRDefault="004C6683">
      <w:pPr>
        <w:spacing w:before="120" w:after="120" w:line="360" w:lineRule="auto"/>
        <w:ind w:left="850" w:hanging="850"/>
        <w:rPr>
          <w:szCs w:val="24"/>
        </w:rPr>
      </w:pPr>
      <w:r>
        <w:rPr>
          <w:b/>
          <w:i/>
        </w:rPr>
        <w:t>(26a)</w:t>
      </w:r>
      <w:r>
        <w:tab/>
      </w:r>
      <w:r>
        <w:rPr>
          <w:b/>
          <w:i/>
        </w:rPr>
        <w:t xml:space="preserve">Európska štatistika obyvateľov, domov a bytov by sa mala zaoberať pretrvávajúcim nedostatkom údajov týkajúcich sa zraniteľných skupín, najmä ťažko dostupných skupín obyvateľstva, ako sú osoby s pobytom v ústavoch (napr. vojenské zariadenia, nápravné a trestné zariadenia, internáty škôl a univerzít, cirkevné inštitúcie, nemocnice, zariadenia dlhodobej starostlivosti, zariadenia pre osoby so zdravotným postihnutím a detské domovy), osoby vo veku nad 75 rokov a viac, osoby so zdravotným postihnutím, bezdomovci, osoby s migračným pôvodom a osoby bez štátnej príslušnosti. S cieľom preklenúť túto priepasť v oblasti údajov a predchádzať sociálnym a ekonomickým nerovnostiam, ktoré z nej vyplývajú, by </w:t>
      </w:r>
      <w:r>
        <w:rPr>
          <w:b/>
          <w:i/>
        </w:rPr>
        <w:lastRenderedPageBreak/>
        <w:t xml:space="preserve">členské štáty mali vypracovať stratégie a cielené riešenia na zber údajov o ťažko dostupných skupinách obyvateľstva, najmä pokiaľ ide o lokalizáciu, oslovenie, presviedčanie týchto skupín obyvateľstva a rozhovory s nimi. </w:t>
      </w:r>
    </w:p>
    <w:p w14:paraId="6AAD0B12" w14:textId="7CCF7041" w:rsidR="003A74C2" w:rsidRDefault="004C6683">
      <w:pPr>
        <w:spacing w:before="120" w:after="120" w:line="360" w:lineRule="auto"/>
        <w:ind w:left="850" w:hanging="850"/>
        <w:rPr>
          <w:szCs w:val="24"/>
        </w:rPr>
      </w:pPr>
      <w:r>
        <w:rPr>
          <w:b/>
          <w:i/>
        </w:rPr>
        <w:t>(26b)</w:t>
      </w:r>
      <w:r>
        <w:tab/>
      </w:r>
      <w:r>
        <w:rPr>
          <w:b/>
          <w:i/>
        </w:rPr>
        <w:t xml:space="preserve">Primerané, včasné a účinné politiky predpokladajú spoľahlivé a porovnateľné údaje rozčlenené podľa pohlavia, veku a prípadne štátnej príslušnosti, sociálno-ekonomického postavenia, zemepisnej oblasti a iných charakteristík v súlade so štatistickými zásadami stanovenými v článku 338 ods. 1 ZFEÚ a v Kódexe postupov pre európsku štatistiku a v rámci zabezpečenia kvality EŠS. Tieto údaje sú dôležité na lepšie pochopenie trendov v oblasti obyvateľov, domov a bytov, na boj proti prierezovej diskriminácii a na vykonávanie a posudzovanie politík, politických cieľov a opatrení Únie, ako sú zásady Európskeho piliera sociálnych práv, Európska záruka pre deti, európska stratégia v oblasti starostlivosti, európska stratégia v oblasti práv osôb so zdravotným postihnutím a európska platforma na boj proti </w:t>
      </w:r>
      <w:proofErr w:type="spellStart"/>
      <w:r>
        <w:rPr>
          <w:b/>
          <w:i/>
        </w:rPr>
        <w:t>bezdomovectvu</w:t>
      </w:r>
      <w:proofErr w:type="spellEnd"/>
      <w:r>
        <w:rPr>
          <w:b/>
          <w:i/>
        </w:rPr>
        <w:t>, ktoré sa vo veľkej miere opierajú o údaje o domácnostiach a rodinách. Rozčlenenie štatistík podľa zdravotného postihnutia by sa malo podporovať využívaním existujúcich a nových administratívnych zdrojov údajov, ktoré by sa mali využiť na preskúmanie zachytávania zdravotného postihnutia. Pri zbere a používaní takýchto údajov sa musia v plnej miere dodržiavať normy Únie a vnútroštátne normy v oblasti súkromia a základných práv, najmä v prípade údajov o neplnoletých osobách. Rozčlenenie podľa pohlavia by malo odrážať dostupné údaje v členských štátoch. V niektorých členských štátoch je v súčasnosti možné, aby sa osoby zákonne zaregistrovali ako osoby tretieho, často neutrálneho pohlavia. Týmto nariadením nie sú dotknuté príslušné vnútroštátne pravidlá, ktorými sa takáto registrácia vykonáva.</w:t>
      </w:r>
    </w:p>
    <w:p w14:paraId="0B8E96B2" w14:textId="77777777" w:rsidR="003A74C2" w:rsidRDefault="004C6683">
      <w:pPr>
        <w:spacing w:before="120" w:after="120" w:line="360" w:lineRule="auto"/>
        <w:ind w:left="850" w:hanging="850"/>
        <w:rPr>
          <w:szCs w:val="24"/>
        </w:rPr>
      </w:pPr>
      <w:r>
        <w:t>(27)</w:t>
      </w:r>
      <w:r>
        <w:tab/>
        <w:t>Nariadenie (ES) č. 223/2009 obsahuje pravidlá poskytovania údajov členskými štátmi Komisii (</w:t>
      </w:r>
      <w:proofErr w:type="spellStart"/>
      <w:r>
        <w:t>Eurostatu</w:t>
      </w:r>
      <w:proofErr w:type="spellEnd"/>
      <w:r>
        <w:t>) a ich využívania vrátane pravidiel zasielania a ochrany dôverných údajov. Opatrenia prijaté v súlade s týmto nariadením by mali zabezpečiť, aby sa dôverné údaje poskytovali a využívali výlučne na štatistické účely v súlade s článkami 21 a 22 uvedeného nariadenia.</w:t>
      </w:r>
    </w:p>
    <w:p w14:paraId="7837E661" w14:textId="77777777" w:rsidR="003A74C2" w:rsidRDefault="004C6683">
      <w:pPr>
        <w:spacing w:before="120" w:after="120" w:line="360" w:lineRule="auto"/>
        <w:ind w:left="850" w:hanging="850"/>
        <w:rPr>
          <w:szCs w:val="24"/>
        </w:rPr>
      </w:pPr>
      <w:r>
        <w:t>(28)</w:t>
      </w:r>
      <w:r>
        <w:tab/>
        <w:t>Komisia (</w:t>
      </w:r>
      <w:proofErr w:type="spellStart"/>
      <w:r>
        <w:t>Eurostat</w:t>
      </w:r>
      <w:proofErr w:type="spellEnd"/>
      <w:r>
        <w:t xml:space="preserve">) má rešpektovať dôvernosť štatistických údajov poskytovaných členskými štátmi podľa nariadenia (ES) č. 223/2009. Pokiaľ ide o štatistické údaje o obyvateľstve zozbierané podľa tohto nariadenia, mal by sa vypracovať harmonizovaný prístup na zabezpečenie vysokej kvality európskych agregátov a na </w:t>
      </w:r>
      <w:r>
        <w:lastRenderedPageBreak/>
        <w:t>zabránenie zverejňovaniu dôverných údajov v štatistických výstupoch, pričom by sa v čo najväčšej možnej miere malo zabrániť potlačovaniu údajov.</w:t>
      </w:r>
    </w:p>
    <w:p w14:paraId="138E0E87" w14:textId="77777777" w:rsidR="003A74C2" w:rsidRDefault="004C6683">
      <w:pPr>
        <w:spacing w:before="120" w:after="120" w:line="360" w:lineRule="auto"/>
        <w:ind w:left="850" w:hanging="850"/>
        <w:rPr>
          <w:szCs w:val="24"/>
        </w:rPr>
      </w:pPr>
      <w:r>
        <w:t>(29)</w:t>
      </w:r>
      <w:r>
        <w:tab/>
        <w:t xml:space="preserve">Zdroje údajov dostupné na národnej úrovni nie vždy dokážu presne zachytiť javy súvisiace s voľným pohybom osôb v Únii, s prístupom osôb k cezhraničným službám v oblasti demografických udalostí a s uplatňovaním práv osôb na kúpu a vlastníctvo nehnuteľností na bývanie využívaných ako primárne, dovolenkové a sekundárne ubytovanie v celej Únii. Zároveň sa vyskytujú </w:t>
      </w:r>
      <w:r>
        <w:rPr>
          <w:b/>
          <w:bCs/>
          <w:i/>
          <w:iCs/>
        </w:rPr>
        <w:t>nezrovnalosti</w:t>
      </w:r>
      <w:r>
        <w:t xml:space="preserve"> v dvojstranných migračných tokoch a ťažkosti pri meraní skupín obyvateľstva, napríklad v prípade migrantov, bezdomovcov alebo obyvateľov bez štátnej príslušnosti. Spoločné využívanie údajov na účely zostavovania štatistiky obyvateľstva a migrácie a zabezpečenia ich kvality by sa preto malo posilniť a považovať za ďalší zdroj údajov. Takéto posilnené spoločné využívanie údajov sa môže vzťahovať na široký rozsah relevantných údajov, od údajov, ktoré jednoznačne neumožňujú priamu alebo nepriamu identifikáciu štatistických jednotiek, až po údaje, ktoré potenciálne podliehajú požiadavkám na dôvernosť štatistických údajov. Členské štáty by sa mali vo svojom vlastnom záujme a v záujme ostatných členských štátov podieľať na činnostiach v oblasti spoločného využívania údajov vrátane pilotných projektov na posudzovanie inovatívnych bezpečných riešení. Komisia (</w:t>
      </w:r>
      <w:proofErr w:type="spellStart"/>
      <w:r>
        <w:t>Eurostat</w:t>
      </w:r>
      <w:proofErr w:type="spellEnd"/>
      <w:r>
        <w:t>) by mala takisto vytvoriť bezpečnú infraštruktúru na uľahčenie takéhoto spoločného využívania údajov a zároveň zabezpečiť všetky potrebné záruky na ochranu údajov.</w:t>
      </w:r>
    </w:p>
    <w:p w14:paraId="4BD00B1D" w14:textId="77777777" w:rsidR="003A74C2" w:rsidRDefault="004C6683">
      <w:pPr>
        <w:spacing w:before="120" w:after="120" w:line="360" w:lineRule="auto"/>
        <w:ind w:left="850" w:hanging="850"/>
        <w:rPr>
          <w:szCs w:val="24"/>
        </w:rPr>
      </w:pPr>
      <w:r>
        <w:t>▌</w:t>
      </w:r>
    </w:p>
    <w:p w14:paraId="0747289D" w14:textId="77777777" w:rsidR="003A74C2" w:rsidRDefault="004C6683">
      <w:pPr>
        <w:spacing w:before="120" w:after="120" w:line="360" w:lineRule="auto"/>
        <w:ind w:left="850" w:hanging="850"/>
        <w:rPr>
          <w:szCs w:val="24"/>
        </w:rPr>
      </w:pPr>
      <w:r>
        <w:t>(31)</w:t>
      </w:r>
      <w:r>
        <w:tab/>
        <w:t>Spoločné využívanie dôverných údajov by sa malo uskutočňovať iba na základe žiadosti s odôvodnením potreby spoločného využívania týchto údajov v súlade s kapitolou V nariadenia (ES) č. 223/2009.</w:t>
      </w:r>
    </w:p>
    <w:p w14:paraId="4FEDB0AD" w14:textId="77777777" w:rsidR="003A74C2" w:rsidRDefault="004C6683">
      <w:pPr>
        <w:spacing w:before="120" w:after="120" w:line="360" w:lineRule="auto"/>
        <w:ind w:left="850" w:hanging="850"/>
        <w:rPr>
          <w:szCs w:val="24"/>
        </w:rPr>
      </w:pPr>
      <w:r>
        <w:t>(32)</w:t>
      </w:r>
      <w:r>
        <w:tab/>
        <w:t xml:space="preserve">Z dlhodobého hľadiska by spoločné úsilie v rámci ESS zamerané na zmiernenie cezhraničných problémov s kvalitou štatistiky, ako je dvojité započítanie obyvateľov Únie, ktorí využívajú slobodu pohybu, malo </w:t>
      </w:r>
      <w:r>
        <w:rPr>
          <w:b/>
          <w:bCs/>
          <w:i/>
          <w:iCs/>
        </w:rPr>
        <w:t>čerpať výhody</w:t>
      </w:r>
      <w:r>
        <w:t xml:space="preserve"> napríklad zo zavedenia jednotných digitálnych identifikátorov zavedených na úrovni Únie nariadením (EÚ) č. 910/2014.</w:t>
      </w:r>
    </w:p>
    <w:p w14:paraId="6C9FCC0A" w14:textId="77777777" w:rsidR="003A74C2" w:rsidRDefault="004C6683">
      <w:pPr>
        <w:spacing w:before="120" w:after="120" w:line="360" w:lineRule="auto"/>
        <w:ind w:left="850" w:hanging="850"/>
        <w:rPr>
          <w:szCs w:val="24"/>
        </w:rPr>
      </w:pPr>
      <w:r>
        <w:t>(33)</w:t>
      </w:r>
      <w:r>
        <w:tab/>
        <w:t xml:space="preserve">Týmto nariadením nie sú dotknuté nariadenia Európskeho parlamentu a Rady (EÚ) </w:t>
      </w:r>
      <w:r>
        <w:lastRenderedPageBreak/>
        <w:t>2016/679</w:t>
      </w:r>
      <w:r>
        <w:rPr>
          <w:szCs w:val="24"/>
          <w:vertAlign w:val="superscript"/>
          <w:lang w:eastAsia="en-US"/>
        </w:rPr>
        <w:footnoteReference w:id="21"/>
      </w:r>
      <w:r>
        <w:t xml:space="preserve"> a (EÚ) 2018/1725 a smernica Európskeho parlamentu a Rady 2002/58/ES</w:t>
      </w:r>
      <w:r>
        <w:rPr>
          <w:szCs w:val="24"/>
          <w:vertAlign w:val="superscript"/>
          <w:lang w:eastAsia="en-US"/>
        </w:rPr>
        <w:footnoteReference w:id="22"/>
      </w:r>
      <w:r>
        <w:t xml:space="preserve">. Tieto nariadenia sa v rámci svojho príslušného rozsahu pôsobnosti majú uplatňovať na spracúvanie osobných údajov podľa tohto nariadenia, </w:t>
      </w:r>
      <w:r>
        <w:rPr>
          <w:b/>
          <w:bCs/>
          <w:i/>
          <w:iCs/>
        </w:rPr>
        <w:t>a to aj vzhľadom na to, že osobné údaje spracúvané na štatistické účely vo verejnom záujme sú štatistickými dôvernými údajmi v súlade so zásadou štatistickej dôvernosti.</w:t>
      </w:r>
      <w:r>
        <w:rPr>
          <w:b/>
          <w:i/>
        </w:rPr>
        <w:t xml:space="preserve"> Takéto údaje by sa preto mali používať len na štatistické účely a nikdy by sa nemali používať na opatrenia alebo rozhodnutia týkajúce sa akejkoľvek konkrétnej fyzickej osoby. Anonymizované alebo </w:t>
      </w:r>
      <w:proofErr w:type="spellStart"/>
      <w:r>
        <w:rPr>
          <w:b/>
          <w:i/>
        </w:rPr>
        <w:t>pseudonymizované</w:t>
      </w:r>
      <w:proofErr w:type="spellEnd"/>
      <w:r>
        <w:rPr>
          <w:b/>
          <w:i/>
        </w:rPr>
        <w:t xml:space="preserve"> údaje by sa mali prednostne používať na spracúvanie, spoločné využívanie a archiváciu osobných údajov na štatistické účely s cieľom zaručiť záruky prijaté podľa článku 89 nariadenia (EÚ) 2016/679 a článku 13 nariadenia (EÚ) 2018/1725. Kde sa spracúvajú osobné údaje podľa nariadenia (EÚ) 2016/679 alebo (EÚ) 2018/1725, mali by sa v plnej miere uplatňovať zásady zákonnosti, spravodlivosti, transparentnosti a správnosti, obmedzenia účelu, minimalizácie údajov, minimalizácie uchovávania a integrity a dôvernosti. </w:t>
      </w:r>
      <w:r>
        <w:rPr>
          <w:b/>
          <w:bCs/>
          <w:i/>
          <w:iCs/>
        </w:rPr>
        <w:t>Podobne by sa mali uplatňovať aj štatistické zásady stanovené v článku 2 nariadenia (ES) č. 223/2009 a podrobnejšie rozpracované v Kódexe postupov pre európsku štatistiku</w:t>
      </w:r>
      <w:r>
        <w:t>.</w:t>
      </w:r>
    </w:p>
    <w:p w14:paraId="49638AC0" w14:textId="77777777" w:rsidR="003A74C2" w:rsidRDefault="004C6683">
      <w:pPr>
        <w:spacing w:before="120" w:after="120" w:line="360" w:lineRule="auto"/>
        <w:ind w:left="850" w:hanging="850"/>
        <w:rPr>
          <w:szCs w:val="24"/>
        </w:rPr>
      </w:pPr>
      <w:r>
        <w:t>(34)</w:t>
      </w:r>
      <w:r>
        <w:tab/>
        <w:t>Európska štatistika obyvateľov, domov a bytov by sa mala vyvíjať tak, aby zohľadňovala nové potreby údajov vyplývajúce z meniacich sa politických priorít, ako aj zo zmien v demografickej, migračnej, sociálnej alebo hospodárskej situácii v Únii. Komisia (</w:t>
      </w:r>
      <w:proofErr w:type="spellStart"/>
      <w:r>
        <w:t>Eurostat</w:t>
      </w:r>
      <w:proofErr w:type="spellEnd"/>
      <w:r>
        <w:t>) by mala podľa potreby vykonať pilotné štúdie a štúdie realizovateľnosti, v ktorých sa posúdi uskutočniteľnosť príslušných úprav, a mala by zohľadniť aspekty, ako sú náklady a administratívne zaťaženie členských štátov a dostupnosť vhodných zdrojov údajov.</w:t>
      </w:r>
      <w:r>
        <w:rPr>
          <w:b/>
          <w:i/>
        </w:rPr>
        <w:t xml:space="preserve"> Pri príprave týchto štúdií by Komisia mala zabezpečiť reprezentatívnosť štúdií na úrovni Únie, najmä pokiaľ ide o vnútroštátne rozdiely. Komisia by mala v spolupráci s členskými štátmi vyhodnotiť správy o zisteniach štúdií.</w:t>
      </w:r>
    </w:p>
    <w:p w14:paraId="0ACECFFB" w14:textId="77777777" w:rsidR="003A74C2" w:rsidRDefault="004C6683">
      <w:pPr>
        <w:spacing w:before="120" w:after="120" w:line="360" w:lineRule="auto"/>
        <w:ind w:left="850" w:hanging="850"/>
        <w:rPr>
          <w:szCs w:val="24"/>
        </w:rPr>
      </w:pPr>
      <w:r>
        <w:lastRenderedPageBreak/>
        <w:t>(35)</w:t>
      </w:r>
      <w:r>
        <w:tab/>
        <w:t xml:space="preserve">S cieľom zohľadniť demografické, hospodárske a sociálne trendy, </w:t>
      </w:r>
      <w:r>
        <w:rPr>
          <w:b/>
          <w:bCs/>
          <w:i/>
          <w:iCs/>
        </w:rPr>
        <w:t>technologický vývoj a potrebu včas navrhovať dobre cielené politik</w:t>
      </w:r>
      <w:r>
        <w:t>y by sa na Komisiu mala delegovať právomoc prijímať akty v súlade s článkom 290 ZFEÚ na účely zmeny zoznamu, opisu, periodicít a referenčných časov čiastkových tém, na ktoré sa vzťahuje európska štatistika obyvateľov, domov a bytov, a na účely aktualizácie periodicít a referenčných časov v prílohe k tomuto nariadeniu a špecifikácie informácií, ktoré majú členské štáty poskytovať ad hoc. Je osobitne dôležité, aby Komisia počas prípravných prác uskutočnila príslušné konzultácie, a to aj na úrovni expertov, a aby tieto konzultácie vykonávala v súlade so zásadami stanovenými v </w:t>
      </w:r>
      <w:proofErr w:type="spellStart"/>
      <w:r>
        <w:t>Medziinštitucionálnej</w:t>
      </w:r>
      <w:proofErr w:type="spellEnd"/>
      <w:r>
        <w:t xml:space="preserve"> dohode z 13. apríla 2016 o lepšej tvorbe práva</w:t>
      </w:r>
      <w:r>
        <w:rPr>
          <w:szCs w:val="24"/>
          <w:vertAlign w:val="superscript"/>
          <w:lang w:eastAsia="en-US"/>
        </w:rPr>
        <w:footnoteReference w:id="23"/>
      </w:r>
      <w:r>
        <w:t>. Predovšetkým sa všetky dokumenty v záujme rovnakého zastúpenia pri príprave delegovaných aktov doručujú Európskemu parlamentu a Rade v rovnakom čase ako expertom z členských štátov a experti Európskeho parlamentu a Rady majú systematický prístup na zasadnutia skupín expertov Komisie, ktoré sa zaoberajú prípravou delegovaných aktov.</w:t>
      </w:r>
    </w:p>
    <w:p w14:paraId="3B0D76B3" w14:textId="3D126F3D" w:rsidR="003A74C2" w:rsidRDefault="004C6683">
      <w:pPr>
        <w:spacing w:before="120" w:after="120" w:line="360" w:lineRule="auto"/>
        <w:ind w:left="850" w:hanging="850"/>
        <w:rPr>
          <w:szCs w:val="24"/>
        </w:rPr>
      </w:pPr>
      <w:r>
        <w:rPr>
          <w:b/>
          <w:i/>
        </w:rPr>
        <w:t>(35a)</w:t>
      </w:r>
      <w:r>
        <w:tab/>
      </w:r>
      <w:r>
        <w:rPr>
          <w:b/>
          <w:i/>
        </w:rPr>
        <w:t>Význam európskej štatistiky ako dôležitej súčasti rozhodovania založeného na dôkazoch sa odzrkadľuje v programovom a finančnom rámci ustanovenom nariadením Európskeho parlamentu a Rady (EÚ) 2021/690</w:t>
      </w:r>
      <w:r>
        <w:rPr>
          <w:b/>
          <w:i/>
          <w:szCs w:val="24"/>
          <w:vertAlign w:val="superscript"/>
          <w:lang w:eastAsia="en-US"/>
        </w:rPr>
        <w:footnoteReference w:id="24"/>
      </w:r>
      <w:r>
        <w:rPr>
          <w:b/>
          <w:i/>
        </w:rPr>
        <w:t xml:space="preserve"> pre rozvoj, tvorbu a šírenie európskej štatistiky (program jednotného trhu). Členské štáty by mali mať možnosť požiadať o finančnú podporu z Programu pre jednotný trh, ako aj z Nástroja technickej podpory zriadeného nariadením Európskeho parlamentu a Rady (EÚ) 2021/240</w:t>
      </w:r>
      <w:r>
        <w:rPr>
          <w:b/>
          <w:i/>
          <w:szCs w:val="24"/>
          <w:vertAlign w:val="superscript"/>
          <w:lang w:eastAsia="en-US"/>
        </w:rPr>
        <w:footnoteReference w:id="25"/>
      </w:r>
      <w:r>
        <w:rPr>
          <w:b/>
          <w:i/>
        </w:rPr>
        <w:t xml:space="preserve"> v súlade s cieľmi a pravidlami uvedených nástrojov, s cieľom prispôsobiť svoje národné štatistické systémy, zlepšiť metodiku a kvalitu údajov v oblasti štatistiky a plánovať a vykonávať zber údajov ad hoc podľa tohto nariadenia.</w:t>
      </w:r>
    </w:p>
    <w:p w14:paraId="0E8F7271" w14:textId="77777777" w:rsidR="003A74C2" w:rsidRDefault="004C6683">
      <w:pPr>
        <w:spacing w:before="120" w:after="120" w:line="360" w:lineRule="auto"/>
        <w:ind w:left="850" w:hanging="850"/>
        <w:rPr>
          <w:szCs w:val="24"/>
        </w:rPr>
      </w:pPr>
      <w:r>
        <w:lastRenderedPageBreak/>
        <w:t>(36)</w:t>
      </w:r>
      <w:r>
        <w:tab/>
        <w:t xml:space="preserve">V súlade s nariadením (EÚ, </w:t>
      </w:r>
      <w:proofErr w:type="spellStart"/>
      <w:r>
        <w:t>Euratom</w:t>
      </w:r>
      <w:proofErr w:type="spellEnd"/>
      <w:r>
        <w:t>) 2018/1046</w:t>
      </w:r>
      <w:r>
        <w:rPr>
          <w:szCs w:val="24"/>
          <w:vertAlign w:val="superscript"/>
          <w:lang w:eastAsia="en-US"/>
        </w:rPr>
        <w:footnoteReference w:id="26"/>
      </w:r>
      <w:r>
        <w:t xml:space="preserve">, nariadením Európskeho parlamentu a Rady (EÚ, </w:t>
      </w:r>
      <w:proofErr w:type="spellStart"/>
      <w:r>
        <w:t>Euratom</w:t>
      </w:r>
      <w:proofErr w:type="spellEnd"/>
      <w:r>
        <w:t>) č. 883/2013</w:t>
      </w:r>
      <w:r>
        <w:rPr>
          <w:szCs w:val="24"/>
          <w:vertAlign w:val="superscript"/>
          <w:lang w:eastAsia="en-US"/>
        </w:rPr>
        <w:footnoteReference w:id="27"/>
      </w:r>
      <w:r>
        <w:t xml:space="preserve"> a nariadeniami Rady (ES, </w:t>
      </w:r>
      <w:proofErr w:type="spellStart"/>
      <w:r>
        <w:t>Euratom</w:t>
      </w:r>
      <w:proofErr w:type="spellEnd"/>
      <w:r>
        <w:t>) č. 2988/95</w:t>
      </w:r>
      <w:r>
        <w:rPr>
          <w:szCs w:val="24"/>
          <w:vertAlign w:val="superscript"/>
          <w:lang w:eastAsia="en-US"/>
        </w:rPr>
        <w:footnoteReference w:id="28"/>
      </w:r>
      <w:r>
        <w:t>, (</w:t>
      </w:r>
      <w:proofErr w:type="spellStart"/>
      <w:r>
        <w:t>Euratom</w:t>
      </w:r>
      <w:proofErr w:type="spellEnd"/>
      <w:r>
        <w:t>, ES) č. 2185/96</w:t>
      </w:r>
      <w:r>
        <w:rPr>
          <w:szCs w:val="24"/>
          <w:vertAlign w:val="superscript"/>
          <w:lang w:eastAsia="en-US"/>
        </w:rPr>
        <w:footnoteReference w:id="29"/>
      </w:r>
      <w:r>
        <w:t xml:space="preserve"> a (EÚ) 2017/1939</w:t>
      </w:r>
      <w:r>
        <w:rPr>
          <w:szCs w:val="24"/>
          <w:vertAlign w:val="superscript"/>
          <w:lang w:eastAsia="en-US"/>
        </w:rPr>
        <w:footnoteReference w:id="30"/>
      </w:r>
      <w:r>
        <w:t xml:space="preserve"> sa finančné záujmy Únie majú chrániť prostredníctvom primeraných opatrení vrátane opatrení týkajúcich sa: prevencie, odhaľovania, nápravy a vyšetrovania nezrovnalostí vrátane podvodov, vymáhania stratených, nesprávne vyplatených alebo nesprávne použitých finančných prostriedkov a v náležitých prípadoch ukladania administratívnych sankcií. Konkrétne má Európsky úrad pre boj proti podvodom (ďalej len „OLAF“) právomoc vykonávať v súlade s nariadeniami (ES, </w:t>
      </w:r>
      <w:proofErr w:type="spellStart"/>
      <w:r>
        <w:t>Euratom</w:t>
      </w:r>
      <w:proofErr w:type="spellEnd"/>
      <w:r>
        <w:t xml:space="preserve">) č. 2185/96 a (EÚ, </w:t>
      </w:r>
      <w:proofErr w:type="spellStart"/>
      <w:r>
        <w:t>Euratom</w:t>
      </w:r>
      <w:proofErr w:type="spellEnd"/>
      <w:r>
        <w:t>) č. 883/2013 administratívne vyšetrovania vrátane kontrol a inšpekcií na mieste s cieľom zistiť, či nedošlo k podvodu, ku korupcii alebo k akémukoľvek inému protiprávnemu konaniu poškodzujúcemu finančné záujmy Únie. Európska prokuratúra je v súlade s nariadením (EÚ) 2017/1939 splnomocnená vyšetrovať a stíhať trestné činy poškodzujúce finančné záujmy Únie, ako sa stanovuje v smernici Európskeho parlamentu a Rady (EÚ) 2017/1371</w:t>
      </w:r>
      <w:r>
        <w:rPr>
          <w:szCs w:val="24"/>
          <w:vertAlign w:val="superscript"/>
          <w:lang w:eastAsia="en-US"/>
        </w:rPr>
        <w:footnoteReference w:id="31"/>
      </w:r>
      <w:r>
        <w:t xml:space="preserve">. V súlade s nariadením (EÚ, </w:t>
      </w:r>
      <w:proofErr w:type="spellStart"/>
      <w:r>
        <w:t>Euratom</w:t>
      </w:r>
      <w:proofErr w:type="spellEnd"/>
      <w:r>
        <w:t xml:space="preserve">) 2018/1046 má každá osoba alebo každý subjekt, ktoré prijímajú finančné prostriedky Únie, v plnej miere spolupracovať pri ochrane finančných </w:t>
      </w:r>
      <w:r>
        <w:lastRenderedPageBreak/>
        <w:t>záujmov Únie, udeliť potrebné práva a prístup Komisii, úradu OLAF, Dvoru audítorov a, pokiaľ ide o tie členské štáty, ktoré sa zúčastňujú na posilnenej spolupráci podľa nariadenia (EÚ) 2017/1939, Európskej prokuratúre a zároveň má zabezpečiť, aby všetky tretie strany zúčastňujúce sa na implementácii finančných prostriedkov Únie udelili rovnocenné práva.</w:t>
      </w:r>
    </w:p>
    <w:p w14:paraId="3026227B" w14:textId="77777777" w:rsidR="003A74C2" w:rsidRDefault="004C6683">
      <w:pPr>
        <w:spacing w:before="120" w:after="120" w:line="360" w:lineRule="auto"/>
        <w:ind w:left="850" w:hanging="850"/>
        <w:rPr>
          <w:szCs w:val="24"/>
        </w:rPr>
      </w:pPr>
      <w:r>
        <w:t>(37)</w:t>
      </w:r>
      <w:r>
        <w:tab/>
        <w:t>S cieľom zabezpečiť jednotné podmienky vykonávania tohto nariadenia, pokiaľ ide o špecifikáciu požiadaviek na údaje a </w:t>
      </w:r>
      <w:proofErr w:type="spellStart"/>
      <w:r>
        <w:t>metaúdaje</w:t>
      </w:r>
      <w:proofErr w:type="spellEnd"/>
      <w:r>
        <w:t>, technické formáty a postupy na poskytovanie údajov a </w:t>
      </w:r>
      <w:proofErr w:type="spellStart"/>
      <w:r>
        <w:t>metaúdajov</w:t>
      </w:r>
      <w:proofErr w:type="spellEnd"/>
      <w:r>
        <w:t>, obsah a štruktúru správ o kvalite, by sa na Komisiu mali preniesť vykonávacie právomoci. Tieto právomoci by sa mali vykonávať v súlade s nariadením Európskeho parlamentu a Rady (EÚ) č. 182/2011</w:t>
      </w:r>
      <w:r>
        <w:rPr>
          <w:szCs w:val="24"/>
          <w:vertAlign w:val="superscript"/>
          <w:lang w:eastAsia="en-US"/>
        </w:rPr>
        <w:footnoteReference w:id="32"/>
      </w:r>
      <w:r>
        <w:t>.</w:t>
      </w:r>
    </w:p>
    <w:p w14:paraId="4205A2D3" w14:textId="77777777" w:rsidR="003A74C2" w:rsidRDefault="004C6683">
      <w:pPr>
        <w:spacing w:before="120" w:after="120" w:line="360" w:lineRule="auto"/>
        <w:ind w:left="850" w:hanging="850"/>
        <w:rPr>
          <w:szCs w:val="24"/>
        </w:rPr>
      </w:pPr>
      <w:r>
        <w:t>(38)</w:t>
      </w:r>
      <w:r>
        <w:tab/>
        <w:t>Ak by si vykonávanie tohto nariadenia alebo delegovaných a vykonávacích aktov prijatých podľa neho vyžadovalo rozsiahle úpravy národného štatistického systému členského štátu na poskytovanie údajov s periodicitou kratšou ako 10 rokov, Komisia by mala mať možnosť udeliť dotknutému členskému štátu v riadne odôvodnených prípadoch časovo obmedzené výnimky.</w:t>
      </w:r>
    </w:p>
    <w:p w14:paraId="6D443FD5" w14:textId="77777777" w:rsidR="003A74C2" w:rsidRDefault="004C6683">
      <w:pPr>
        <w:spacing w:before="120" w:after="120" w:line="360" w:lineRule="auto"/>
        <w:ind w:left="850" w:hanging="850"/>
        <w:rPr>
          <w:szCs w:val="24"/>
        </w:rPr>
      </w:pPr>
      <w:r>
        <w:t>(39)</w:t>
      </w:r>
      <w:r>
        <w:tab/>
        <w:t>Keďže cieľ tohto nariadenia, a to systematickú tvorbu európskej štatistiky obyvateľov, domov a bytov, nie je možné uspokojivo dosiahnuť na úrovni členských štátov, ale z dôvodov konzistentnosti a porovnateľnosti ho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uvedeného cieľa.</w:t>
      </w:r>
    </w:p>
    <w:p w14:paraId="6E51BDA5" w14:textId="77777777" w:rsidR="003A74C2" w:rsidRDefault="004C6683">
      <w:pPr>
        <w:spacing w:before="120" w:after="120" w:line="360" w:lineRule="auto"/>
        <w:ind w:left="850" w:hanging="850"/>
        <w:rPr>
          <w:szCs w:val="24"/>
        </w:rPr>
      </w:pPr>
      <w:r>
        <w:t>(40)</w:t>
      </w:r>
      <w:r>
        <w:tab/>
        <w:t xml:space="preserve">V súlade s článkom 42 ods. 1 nariadenia (EÚ) 2018/1725 sa uskutočnili konzultácie s európskym dozorným úradníkom pre ochranu údajov, ktorý </w:t>
      </w:r>
      <w:r>
        <w:rPr>
          <w:b/>
          <w:bCs/>
          <w:i/>
          <w:iCs/>
        </w:rPr>
        <w:t>16. marca 2023</w:t>
      </w:r>
      <w:r>
        <w:t xml:space="preserve"> vydal stanovisko.</w:t>
      </w:r>
    </w:p>
    <w:p w14:paraId="50E5591A" w14:textId="77777777" w:rsidR="003A74C2" w:rsidRDefault="004C6683">
      <w:pPr>
        <w:spacing w:before="120" w:after="120" w:line="360" w:lineRule="auto"/>
        <w:ind w:left="850" w:hanging="850"/>
        <w:rPr>
          <w:szCs w:val="24"/>
        </w:rPr>
      </w:pPr>
      <w:r>
        <w:t>(41)</w:t>
      </w:r>
      <w:r>
        <w:tab/>
        <w:t>Uskutočnili sa konzultácie s ESSC,</w:t>
      </w:r>
    </w:p>
    <w:p w14:paraId="09982586" w14:textId="77777777" w:rsidR="003A74C2" w:rsidRDefault="004C6683">
      <w:pPr>
        <w:keepNext/>
        <w:widowControl/>
        <w:spacing w:before="120" w:after="120" w:line="360" w:lineRule="auto"/>
        <w:rPr>
          <w:szCs w:val="24"/>
        </w:rPr>
      </w:pPr>
      <w:r>
        <w:t>PRIJALI TOTO NARIADENIE:</w:t>
      </w:r>
    </w:p>
    <w:p w14:paraId="2CE42873" w14:textId="77777777" w:rsidR="003A74C2" w:rsidRDefault="004C6683">
      <w:pPr>
        <w:widowControl/>
      </w:pPr>
      <w:r>
        <w:br w:type="page"/>
      </w:r>
    </w:p>
    <w:p w14:paraId="47F0820B" w14:textId="77777777" w:rsidR="003A74C2" w:rsidRDefault="004C6683">
      <w:pPr>
        <w:spacing w:before="120" w:after="120" w:line="360" w:lineRule="auto"/>
        <w:jc w:val="center"/>
        <w:rPr>
          <w:szCs w:val="24"/>
        </w:rPr>
      </w:pPr>
      <w:r>
        <w:lastRenderedPageBreak/>
        <w:t>Článok 1</w:t>
      </w:r>
      <w:r>
        <w:br/>
        <w:t>Predmet úpravy</w:t>
      </w:r>
    </w:p>
    <w:p w14:paraId="70B9B7A9" w14:textId="77777777" w:rsidR="003A74C2" w:rsidRDefault="004C6683">
      <w:pPr>
        <w:spacing w:before="120" w:after="120" w:line="360" w:lineRule="auto"/>
        <w:rPr>
          <w:szCs w:val="24"/>
        </w:rPr>
      </w:pPr>
      <w:r>
        <w:t>Týmto nariadením sa stanovuje spoločný právny rámec pre rozvoj, tvorbu a šírenie európskej štatistiky obyvateľov, domov a bytov.</w:t>
      </w:r>
    </w:p>
    <w:p w14:paraId="1FC7BC2B" w14:textId="77777777" w:rsidR="003A74C2" w:rsidRDefault="004C6683">
      <w:pPr>
        <w:spacing w:before="120" w:after="120" w:line="360" w:lineRule="auto"/>
        <w:jc w:val="center"/>
        <w:rPr>
          <w:szCs w:val="24"/>
        </w:rPr>
      </w:pPr>
      <w:r>
        <w:t>Článok 2</w:t>
      </w:r>
      <w:r>
        <w:br/>
        <w:t>Vymedzenie pojmov</w:t>
      </w:r>
    </w:p>
    <w:p w14:paraId="4C8A7524" w14:textId="77777777" w:rsidR="003A74C2" w:rsidRDefault="004C6683">
      <w:pPr>
        <w:spacing w:before="120" w:after="120" w:line="360" w:lineRule="auto"/>
        <w:rPr>
          <w:szCs w:val="24"/>
        </w:rPr>
      </w:pPr>
      <w:r>
        <w:t>Na účely tohto nariadenia sa uplatňuje toto vymedzenie pojmov:</w:t>
      </w:r>
    </w:p>
    <w:p w14:paraId="76BCD6C4" w14:textId="178EAEA3" w:rsidR="003A74C2" w:rsidRDefault="004C6683">
      <w:pPr>
        <w:spacing w:before="120" w:after="120" w:line="360" w:lineRule="auto"/>
        <w:ind w:left="850" w:hanging="850"/>
        <w:rPr>
          <w:szCs w:val="24"/>
        </w:rPr>
      </w:pPr>
      <w:r>
        <w:t>1.</w:t>
      </w:r>
      <w:r>
        <w:tab/>
        <w:t>„občianstvo“ je konkrétna zákonná väzba medzi fyzickou osobou a jej štátom, získaný narodením alebo naturalizáciou, či už vyhlásením, voľbou, sobášom, adopciou alebo iným spôsobom v súlade s vnútroštátnymi právnymi predpismi tohto štátu;</w:t>
      </w:r>
    </w:p>
    <w:p w14:paraId="45882499" w14:textId="25B7A9BF" w:rsidR="003A74C2" w:rsidRDefault="004C6683">
      <w:pPr>
        <w:spacing w:before="120" w:after="120" w:line="360" w:lineRule="auto"/>
        <w:ind w:left="850" w:hanging="850"/>
        <w:rPr>
          <w:szCs w:val="24"/>
        </w:rPr>
      </w:pPr>
      <w:r>
        <w:t>2.</w:t>
      </w:r>
      <w:r>
        <w:tab/>
        <w:t>„obvyklé bydlisko“ je miesto, v ktorom osoba zvyčajne trávi každodenný čas oddychu bez ohľadu na dočasnú neprítomnosť na účely rekreácie, dovoleniek, návštev priateľov a príbuzných, obchodných ciest, zdravotného ošetrenia alebo náboženskej púte. Za osoby s obvyklým bydliskom v špecifickej geografickej oblasti sa považujú len osoby, ktoré:</w:t>
      </w:r>
    </w:p>
    <w:p w14:paraId="12F0E41E" w14:textId="77777777" w:rsidR="003A74C2" w:rsidRDefault="004C6683">
      <w:pPr>
        <w:spacing w:before="120" w:after="120" w:line="360" w:lineRule="auto"/>
        <w:ind w:left="1416" w:hanging="566"/>
        <w:rPr>
          <w:szCs w:val="24"/>
        </w:rPr>
      </w:pPr>
      <w:r>
        <w:t>a)</w:t>
      </w:r>
      <w:r>
        <w:tab/>
        <w:t xml:space="preserve">žili v mieste svojho obvyklého bydliska väčšinu času počas 12 mesiacov pred referenčným dátumom vrátane referenčného dátumu alebo </w:t>
      </w:r>
      <w:proofErr w:type="spellStart"/>
      <w:r>
        <w:t>alebo</w:t>
      </w:r>
      <w:proofErr w:type="spellEnd"/>
    </w:p>
    <w:p w14:paraId="3E6C00E8" w14:textId="77777777" w:rsidR="003A74C2" w:rsidRDefault="004C6683">
      <w:pPr>
        <w:spacing w:before="120" w:after="120" w:line="360" w:lineRule="auto"/>
        <w:ind w:left="1416" w:hanging="566"/>
        <w:rPr>
          <w:szCs w:val="24"/>
        </w:rPr>
      </w:pPr>
      <w:r>
        <w:t>b)</w:t>
      </w:r>
      <w:r>
        <w:tab/>
        <w:t>prišli na miesto svojho obvyklého bydliska počas 12 mesiacov pred referenčným dátumom vrátane referenčného dátumu a u ktorých existuje zámer alebo očakávanie, že sa tam budú zdržiavať väčšinu času aspoň 12 mesiacov po príchode;</w:t>
      </w:r>
    </w:p>
    <w:p w14:paraId="506B8BFD" w14:textId="68C55A67" w:rsidR="003A74C2" w:rsidRDefault="004C6683">
      <w:pPr>
        <w:spacing w:before="120" w:after="120" w:line="360" w:lineRule="auto"/>
        <w:ind w:left="850" w:hanging="850"/>
        <w:rPr>
          <w:szCs w:val="24"/>
        </w:rPr>
      </w:pPr>
      <w:r>
        <w:t>3.</w:t>
      </w:r>
      <w:r>
        <w:tab/>
        <w:t>„prejavy života“ sú akékoľvek informácie naznačujúce skutočnú prítomnosť a obvyklé bydlisko osoby na území záujmu vrátane informácií získaných z akéhokoľvek vhodného zdroja alebo ich kombinácie vrátane digitálnych stôp, ktoré sa týkajú danej osoby;</w:t>
      </w:r>
    </w:p>
    <w:p w14:paraId="48E63C3B" w14:textId="44F794DF" w:rsidR="003A74C2" w:rsidRDefault="004C6683">
      <w:pPr>
        <w:spacing w:before="120" w:after="120" w:line="360" w:lineRule="auto"/>
        <w:ind w:left="850" w:hanging="850"/>
        <w:rPr>
          <w:szCs w:val="24"/>
        </w:rPr>
      </w:pPr>
      <w:r>
        <w:t>4.</w:t>
      </w:r>
      <w:r>
        <w:tab/>
        <w:t>▌</w:t>
      </w:r>
    </w:p>
    <w:p w14:paraId="43A17CAC" w14:textId="330EECA1" w:rsidR="003A74C2" w:rsidRDefault="004C6683">
      <w:pPr>
        <w:spacing w:before="120" w:after="120" w:line="360" w:lineRule="auto"/>
        <w:ind w:left="850" w:hanging="850"/>
        <w:rPr>
          <w:szCs w:val="24"/>
        </w:rPr>
      </w:pPr>
      <w:r>
        <w:t>5.</w:t>
      </w:r>
      <w:r>
        <w:tab/>
        <w:t>„medzinárodná migrácia“ je udalosť, pri ktorej si osoba, ktorá mala predtým obvyklé bydlisko v inom členskom štáte alebo v tretej krajine, zriadi svoje obvyklé bydlisko na území členského štátu alebo tretej krajiny;</w:t>
      </w:r>
    </w:p>
    <w:p w14:paraId="2538B923" w14:textId="2055EBB2" w:rsidR="003A74C2" w:rsidRDefault="004C6683">
      <w:pPr>
        <w:spacing w:before="120" w:after="120" w:line="360" w:lineRule="auto"/>
        <w:ind w:left="850" w:hanging="850"/>
        <w:rPr>
          <w:szCs w:val="24"/>
        </w:rPr>
      </w:pPr>
      <w:r>
        <w:lastRenderedPageBreak/>
        <w:t>6.</w:t>
      </w:r>
      <w:r>
        <w:tab/>
        <w:t>„prisťahovalec“ je osoba, ktorá počas referenčného obdobia medzinárodne migrovala s cieľom zriadiť si nové obvyklé bydlisko v krajine podávajúcej správu;</w:t>
      </w:r>
    </w:p>
    <w:p w14:paraId="0C2347B7" w14:textId="7863906F" w:rsidR="003A74C2" w:rsidRDefault="004C6683">
      <w:pPr>
        <w:spacing w:before="120" w:after="120" w:line="360" w:lineRule="auto"/>
        <w:ind w:left="850" w:hanging="850"/>
        <w:rPr>
          <w:szCs w:val="24"/>
        </w:rPr>
      </w:pPr>
      <w:r>
        <w:t>7.</w:t>
      </w:r>
      <w:r>
        <w:tab/>
        <w:t>„vysťahovalec“ je osoba, ktorá počas referenčného obdobia medzinárodne migrovala s cieľom zriadiť si svoje nové obvyklé bydlisko mimo krajiny podávajúcej správu, pričom predtým mala obvyklé bydlisko v krajine podávajúcej správu;</w:t>
      </w:r>
    </w:p>
    <w:p w14:paraId="4082DC58" w14:textId="53E2A5FA" w:rsidR="003A74C2" w:rsidRDefault="004C6683">
      <w:pPr>
        <w:spacing w:before="120" w:after="120" w:line="360" w:lineRule="auto"/>
        <w:ind w:left="850" w:hanging="850"/>
        <w:rPr>
          <w:szCs w:val="24"/>
        </w:rPr>
      </w:pPr>
      <w:r>
        <w:t>8.</w:t>
      </w:r>
      <w:r>
        <w:tab/>
        <w:t>„vnútorná migrácia“ je udalosť, pri ktorej osoba zmení miesto svojho obvyklého bydliska na území krajiny podávajúcej správu;</w:t>
      </w:r>
    </w:p>
    <w:p w14:paraId="774C03E4" w14:textId="413F947D" w:rsidR="003A74C2" w:rsidRDefault="004C6683">
      <w:pPr>
        <w:spacing w:before="120" w:after="120" w:line="360" w:lineRule="auto"/>
        <w:ind w:left="850" w:hanging="850"/>
        <w:rPr>
          <w:szCs w:val="24"/>
        </w:rPr>
      </w:pPr>
      <w:r>
        <w:rPr>
          <w:b/>
          <w:i/>
        </w:rPr>
        <w:t>8a.</w:t>
      </w:r>
      <w:r>
        <w:tab/>
      </w:r>
      <w:r>
        <w:rPr>
          <w:b/>
          <w:i/>
        </w:rPr>
        <w:t>„ťažko dostupné skupiny obyvateľstva“ sú skupiny jednotlivcov, v prípade ktorých existuje skutočná alebo vnímaná prekážka brániaca úplnému a reprezentatívnemu začleneniu do zberu štatistických údajov alebo ich identifikácii buď z dôvodu nedostatočného pokrytia príslušných skupín, alebo z dôvodu nedostatku špecifických charakteristík na ich identifikáciu;</w:t>
      </w:r>
    </w:p>
    <w:p w14:paraId="3A3E3F8F" w14:textId="3B307131" w:rsidR="003A74C2" w:rsidRDefault="004C6683">
      <w:pPr>
        <w:spacing w:before="120" w:after="120" w:line="360" w:lineRule="auto"/>
        <w:ind w:left="850" w:hanging="850"/>
        <w:rPr>
          <w:szCs w:val="24"/>
        </w:rPr>
      </w:pPr>
      <w:r>
        <w:t>9.</w:t>
      </w:r>
      <w:r>
        <w:tab/>
        <w:t>„obydlie“ je dočasná alebo trvalá stavba, prístrešok alebo ubytovacie zariadenie, v ktorom býva jedna alebo viacero osôb bez ohľadu na to, či je navrhnuté alebo určené na obývanie ľuďmi;</w:t>
      </w:r>
    </w:p>
    <w:p w14:paraId="01192300" w14:textId="7C2E4BA2" w:rsidR="003A74C2" w:rsidRDefault="004C6683">
      <w:pPr>
        <w:spacing w:before="120" w:after="120" w:line="360" w:lineRule="auto"/>
        <w:ind w:left="850" w:hanging="850"/>
        <w:rPr>
          <w:b/>
          <w:i/>
          <w:szCs w:val="24"/>
        </w:rPr>
      </w:pPr>
      <w:r>
        <w:t>10.</w:t>
      </w:r>
      <w:r>
        <w:tab/>
        <w:t xml:space="preserve">„byty“ </w:t>
      </w:r>
      <w:r>
        <w:rPr>
          <w:b/>
          <w:bCs/>
          <w:i/>
          <w:iCs/>
        </w:rPr>
        <w:t>sú štrukturálne samostatné a nezávislé priestory na stálom mieste, ktoré sú určené na nepretržité obývanie ľuďmi a k referenčnému dátumu</w:t>
      </w:r>
      <w:r>
        <w:t>:</w:t>
      </w:r>
      <w:r>
        <w:rPr>
          <w:b/>
          <w:i/>
        </w:rPr>
        <w:t xml:space="preserve"> </w:t>
      </w:r>
    </w:p>
    <w:p w14:paraId="3C606681" w14:textId="77777777" w:rsidR="003A74C2" w:rsidRDefault="004C6683" w:rsidP="002419A3">
      <w:pPr>
        <w:spacing w:before="120" w:after="120" w:line="360" w:lineRule="auto"/>
        <w:ind w:left="1418" w:hanging="568"/>
        <w:rPr>
          <w:b/>
          <w:i/>
          <w:szCs w:val="24"/>
        </w:rPr>
      </w:pPr>
      <w:r>
        <w:rPr>
          <w:b/>
          <w:i/>
        </w:rPr>
        <w:t xml:space="preserve">a) </w:t>
      </w:r>
      <w:r>
        <w:rPr>
          <w:b/>
          <w:i/>
        </w:rPr>
        <w:tab/>
        <w:t xml:space="preserve">sa využívajú ako obvyklé bydlisko; </w:t>
      </w:r>
    </w:p>
    <w:p w14:paraId="594942D9" w14:textId="77777777" w:rsidR="003A74C2" w:rsidRDefault="004C6683" w:rsidP="002419A3">
      <w:pPr>
        <w:spacing w:before="120" w:after="120" w:line="360" w:lineRule="auto"/>
        <w:ind w:left="1418" w:hanging="568"/>
        <w:rPr>
          <w:b/>
          <w:i/>
          <w:szCs w:val="24"/>
        </w:rPr>
      </w:pPr>
      <w:r>
        <w:rPr>
          <w:b/>
          <w:i/>
        </w:rPr>
        <w:t xml:space="preserve">b) </w:t>
      </w:r>
      <w:r>
        <w:rPr>
          <w:b/>
          <w:i/>
        </w:rPr>
        <w:tab/>
        <w:t xml:space="preserve">sú neobývané; alebo </w:t>
      </w:r>
    </w:p>
    <w:p w14:paraId="6A9657EB" w14:textId="77777777" w:rsidR="003A74C2" w:rsidRDefault="004C6683" w:rsidP="002419A3">
      <w:pPr>
        <w:spacing w:before="120" w:after="120" w:line="360" w:lineRule="auto"/>
        <w:ind w:left="1418" w:hanging="568"/>
        <w:rPr>
          <w:b/>
          <w:i/>
          <w:szCs w:val="24"/>
        </w:rPr>
      </w:pPr>
      <w:r>
        <w:rPr>
          <w:b/>
          <w:i/>
        </w:rPr>
        <w:t xml:space="preserve">c) </w:t>
      </w:r>
      <w:r>
        <w:rPr>
          <w:b/>
          <w:i/>
        </w:rPr>
        <w:tab/>
        <w:t xml:space="preserve">sa využívajú ako vedľajšie alebo sezónne bydlisko; </w:t>
      </w:r>
    </w:p>
    <w:p w14:paraId="24B7D174" w14:textId="24A4A459" w:rsidR="003A74C2" w:rsidRDefault="004C6683">
      <w:pPr>
        <w:spacing w:before="120" w:after="120" w:line="360" w:lineRule="auto"/>
        <w:ind w:left="851" w:hanging="851"/>
        <w:rPr>
          <w:b/>
          <w:i/>
          <w:szCs w:val="24"/>
        </w:rPr>
      </w:pPr>
      <w:r>
        <w:rPr>
          <w:b/>
          <w:i/>
        </w:rPr>
        <w:t>x.</w:t>
      </w:r>
      <w:r>
        <w:rPr>
          <w:b/>
          <w:i/>
        </w:rPr>
        <w:tab/>
        <w:t>„samostatné priestory“ sú priestory obkolesený múrmi a zakryté strechou alebo stropom tak, že tam jedna alebo viacero osôb môžu bývať nezávisle od ostatných.</w:t>
      </w:r>
    </w:p>
    <w:p w14:paraId="3AEB0504" w14:textId="00DF6DE6" w:rsidR="003A74C2" w:rsidRDefault="004C6683">
      <w:pPr>
        <w:spacing w:before="120" w:after="120" w:line="360" w:lineRule="auto"/>
        <w:ind w:left="851" w:hanging="851"/>
        <w:rPr>
          <w:szCs w:val="24"/>
        </w:rPr>
      </w:pPr>
      <w:proofErr w:type="spellStart"/>
      <w:r>
        <w:rPr>
          <w:b/>
          <w:i/>
        </w:rPr>
        <w:t>xx.</w:t>
      </w:r>
      <w:proofErr w:type="spellEnd"/>
      <w:r>
        <w:rPr>
          <w:b/>
          <w:i/>
        </w:rPr>
        <w:tab/>
      </w:r>
      <w:r>
        <w:rPr>
          <w:b/>
          <w:bCs/>
          <w:i/>
          <w:iCs/>
        </w:rPr>
        <w:t>„nezávislé priestory“ sú priestory s priamym prístupom z ulice alebo schodiska, pasáže, chodby alebo pozemku</w:t>
      </w:r>
      <w:r>
        <w:t>.</w:t>
      </w:r>
    </w:p>
    <w:p w14:paraId="652C34EE" w14:textId="71CB94D3" w:rsidR="003A74C2" w:rsidRDefault="004C6683">
      <w:pPr>
        <w:spacing w:before="120" w:after="120" w:line="360" w:lineRule="auto"/>
        <w:ind w:left="850" w:hanging="850"/>
        <w:rPr>
          <w:szCs w:val="24"/>
        </w:rPr>
      </w:pPr>
      <w:r>
        <w:t>11.</w:t>
      </w:r>
      <w:r>
        <w:tab/>
        <w:t>„budova určená na bývanie“ je trvalá stavba pozostávajúca z jedného alebo viacerých bytov alebo ktorá je určená na inštitucionálne alebo kolektívne bývanie;</w:t>
      </w:r>
    </w:p>
    <w:p w14:paraId="6BF77D6D" w14:textId="2BF0A1D3" w:rsidR="003A74C2" w:rsidRDefault="004C6683">
      <w:pPr>
        <w:spacing w:before="120" w:after="120" w:line="360" w:lineRule="auto"/>
        <w:ind w:left="850" w:hanging="850"/>
        <w:rPr>
          <w:szCs w:val="24"/>
        </w:rPr>
      </w:pPr>
      <w:r>
        <w:t>12.</w:t>
      </w:r>
      <w:r>
        <w:tab/>
        <w:t>„domácnosť“ je skupina dvoch alebo viacerých osôb, ktoré spoločne využívajú obydlia ▌, alebo jednotlivec, ktorý netvorí súčasť žiadnej inej domácnosti;</w:t>
      </w:r>
    </w:p>
    <w:p w14:paraId="1093BF2E" w14:textId="12F4BCC0" w:rsidR="003A74C2" w:rsidRDefault="004C6683">
      <w:pPr>
        <w:spacing w:before="120" w:after="120" w:line="360" w:lineRule="auto"/>
        <w:ind w:left="850" w:hanging="850"/>
        <w:rPr>
          <w:szCs w:val="24"/>
        </w:rPr>
      </w:pPr>
      <w:r>
        <w:rPr>
          <w:b/>
          <w:i/>
        </w:rPr>
        <w:t>12a.</w:t>
      </w:r>
      <w:r>
        <w:tab/>
      </w:r>
      <w:r>
        <w:rPr>
          <w:b/>
          <w:i/>
        </w:rPr>
        <w:t>„inštitúcia“ je kolektívne obydlie na účely dlhodobého bývania a poskytovania služieb potrebných pre každodenný život skupine osôb;</w:t>
      </w:r>
    </w:p>
    <w:p w14:paraId="0F19EF80" w14:textId="79462EC0" w:rsidR="003A74C2" w:rsidRDefault="004C6683">
      <w:pPr>
        <w:spacing w:before="120" w:after="120" w:line="360" w:lineRule="auto"/>
        <w:ind w:left="850" w:hanging="850"/>
        <w:rPr>
          <w:szCs w:val="24"/>
        </w:rPr>
      </w:pPr>
      <w:r>
        <w:lastRenderedPageBreak/>
        <w:t>13.</w:t>
      </w:r>
      <w:r>
        <w:tab/>
        <w:t>„rodina“ je skupina dvoch alebo viacerých osôb, ktoré žijú väčšinu času v tej istej domácnosti a ktoré sú v príbuzenskom vzťahu na základe rodičovstva alebo manželského partnerstva, registrovaného partnerstva alebo partnerstva konsenzuálneho zväzku;</w:t>
      </w:r>
    </w:p>
    <w:p w14:paraId="7105C648" w14:textId="0832FFCE" w:rsidR="003A74C2" w:rsidRDefault="004C6683">
      <w:pPr>
        <w:spacing w:before="120" w:after="120" w:line="360" w:lineRule="auto"/>
        <w:ind w:left="850" w:hanging="850"/>
        <w:rPr>
          <w:szCs w:val="24"/>
        </w:rPr>
      </w:pPr>
      <w:r>
        <w:t>14.</w:t>
      </w:r>
      <w:r>
        <w:tab/>
        <w:t>„administratívne záznamy“ sú údaje vytvorené neštatistickým zdrojom, zvyčajne registrom verejného subjektu, ktorého hlavným cieľom nie je poskytovať štatistiky;</w:t>
      </w:r>
    </w:p>
    <w:p w14:paraId="0594AE9F" w14:textId="465F4CD5" w:rsidR="003A74C2" w:rsidRDefault="004C6683">
      <w:pPr>
        <w:spacing w:before="120" w:after="120" w:line="360" w:lineRule="auto"/>
        <w:ind w:left="850" w:hanging="850"/>
        <w:rPr>
          <w:szCs w:val="24"/>
        </w:rPr>
      </w:pPr>
      <w:r>
        <w:t>15.</w:t>
      </w:r>
      <w:r>
        <w:tab/>
        <w:t>„doména“ je jeden alebo viacero súborov údajov, ktoré sa vzťahujú na konkrétne témy;</w:t>
      </w:r>
    </w:p>
    <w:p w14:paraId="33FBC3FB" w14:textId="706E488A" w:rsidR="003A74C2" w:rsidRDefault="004C6683">
      <w:pPr>
        <w:spacing w:before="120" w:after="120" w:line="360" w:lineRule="auto"/>
        <w:ind w:left="850" w:hanging="850"/>
        <w:rPr>
          <w:szCs w:val="24"/>
        </w:rPr>
      </w:pPr>
      <w:r>
        <w:t>16.</w:t>
      </w:r>
      <w:r>
        <w:tab/>
        <w:t>„téma“ je obsah informácií, ktoré sa majú zbierať o štatistických jednotkách, pričom každá téma zahŕňa niekoľko čiastkových tém;</w:t>
      </w:r>
    </w:p>
    <w:p w14:paraId="5C9A5331" w14:textId="5BCF4244" w:rsidR="003A74C2" w:rsidRDefault="004C6683">
      <w:pPr>
        <w:spacing w:before="120" w:after="120" w:line="360" w:lineRule="auto"/>
        <w:ind w:left="850" w:hanging="850"/>
        <w:rPr>
          <w:szCs w:val="24"/>
        </w:rPr>
      </w:pPr>
      <w:r>
        <w:t>17.</w:t>
      </w:r>
      <w:r>
        <w:tab/>
        <w:t>„čiastková téma“ je podrobný obsah informácií o štatistických jednotkách v súvislosti s určitou témou, ktoré sa majú zbierať, pričom každá čiastková téma pokrýva jednu alebo niekoľko premenných;</w:t>
      </w:r>
    </w:p>
    <w:p w14:paraId="277664EE" w14:textId="38AA150D" w:rsidR="003A74C2" w:rsidRDefault="004C6683">
      <w:pPr>
        <w:spacing w:before="120" w:after="120" w:line="360" w:lineRule="auto"/>
        <w:ind w:left="850" w:hanging="850"/>
        <w:rPr>
          <w:szCs w:val="24"/>
        </w:rPr>
      </w:pPr>
      <w:r>
        <w:t>18.</w:t>
      </w:r>
      <w:r>
        <w:tab/>
        <w:t>„súbor údajov“ je jedna alebo viacero agregovaných premenných usporiadaných v štruktúrovanej podobe;</w:t>
      </w:r>
    </w:p>
    <w:p w14:paraId="040AC80B" w14:textId="5CBED482" w:rsidR="003A74C2" w:rsidRDefault="004C6683">
      <w:pPr>
        <w:spacing w:before="120" w:after="120" w:line="360" w:lineRule="auto"/>
        <w:ind w:left="850" w:hanging="850"/>
        <w:rPr>
          <w:szCs w:val="24"/>
        </w:rPr>
      </w:pPr>
      <w:r>
        <w:t>19.</w:t>
      </w:r>
      <w:r>
        <w:tab/>
        <w:t>„sčítanie obyvateľov, domov a bytov“ sú podrobné súbory údajov a </w:t>
      </w:r>
      <w:proofErr w:type="spellStart"/>
      <w:r>
        <w:t>metaúdaje</w:t>
      </w:r>
      <w:proofErr w:type="spellEnd"/>
      <w:r>
        <w:t xml:space="preserve"> za desaťročie, ktoré sa majú poskytovať podľa tohto nariadenia;</w:t>
      </w:r>
    </w:p>
    <w:p w14:paraId="2CA90FB6" w14:textId="246E1FB6" w:rsidR="003A74C2" w:rsidRDefault="004C6683">
      <w:pPr>
        <w:spacing w:before="120" w:after="120" w:line="360" w:lineRule="auto"/>
        <w:ind w:left="850" w:hanging="850"/>
        <w:rPr>
          <w:szCs w:val="24"/>
        </w:rPr>
      </w:pPr>
      <w:r>
        <w:t>20.</w:t>
      </w:r>
      <w:r>
        <w:tab/>
        <w:t>„štatistická jednotka“ je jeden člen súboru subjektov, a to osôb, predmetov alebo udalostí, o ktorých sa zbierajú údaje a zostavujú štatistiky;</w:t>
      </w:r>
    </w:p>
    <w:p w14:paraId="6CCC780E" w14:textId="707C9EF0" w:rsidR="003A74C2" w:rsidRDefault="004C6683">
      <w:pPr>
        <w:spacing w:before="120" w:after="120" w:line="360" w:lineRule="auto"/>
        <w:ind w:left="850" w:hanging="850"/>
        <w:rPr>
          <w:szCs w:val="24"/>
        </w:rPr>
      </w:pPr>
      <w:r>
        <w:t>21.</w:t>
      </w:r>
      <w:r>
        <w:tab/>
        <w:t>„premenná“ je charakteristika štatistickej jednotky, ktorá môže nadobudnúť viac ako jeden súbor hodnôt;</w:t>
      </w:r>
    </w:p>
    <w:p w14:paraId="7B26A11A" w14:textId="755293F8" w:rsidR="003A74C2" w:rsidRDefault="004C6683">
      <w:pPr>
        <w:spacing w:before="120" w:after="120" w:line="360" w:lineRule="auto"/>
        <w:ind w:left="850" w:hanging="850"/>
        <w:rPr>
          <w:szCs w:val="24"/>
        </w:rPr>
      </w:pPr>
      <w:r>
        <w:t>22.</w:t>
      </w:r>
      <w:r>
        <w:tab/>
        <w:t>„členenie“ je vopred vymedzený diskrétny, vyčerpávajúci a vzájomne sa vylučujúci súbor hodnôt, ktoré možno priradiť premenným charakterizujúcim štatistické jednotky;</w:t>
      </w:r>
    </w:p>
    <w:p w14:paraId="13FF5191" w14:textId="2D93FD42" w:rsidR="003A74C2" w:rsidRDefault="004C6683">
      <w:pPr>
        <w:spacing w:before="120" w:after="120" w:line="360" w:lineRule="auto"/>
        <w:ind w:left="850" w:hanging="850"/>
        <w:rPr>
          <w:szCs w:val="24"/>
        </w:rPr>
      </w:pPr>
      <w:r>
        <w:t>23.</w:t>
      </w:r>
      <w:r>
        <w:tab/>
        <w:t>„národná úroveň“ je územie členského štátu;</w:t>
      </w:r>
    </w:p>
    <w:p w14:paraId="44E8E98A" w14:textId="1DAE91AC" w:rsidR="003A74C2" w:rsidRDefault="004C6683">
      <w:pPr>
        <w:spacing w:before="120" w:after="120" w:line="360" w:lineRule="auto"/>
        <w:ind w:left="850" w:hanging="850"/>
        <w:rPr>
          <w:szCs w:val="24"/>
        </w:rPr>
      </w:pPr>
      <w:r>
        <w:t>24.</w:t>
      </w:r>
      <w:r>
        <w:tab/>
        <w:t>„regionálna úroveň“ je úroveň NUTS3 stanovená v nariadení (ES) č. 1059/2003;</w:t>
      </w:r>
    </w:p>
    <w:p w14:paraId="36542003" w14:textId="08E0F2D2" w:rsidR="003A74C2" w:rsidRDefault="004C6683">
      <w:pPr>
        <w:spacing w:before="120" w:after="120" w:line="360" w:lineRule="auto"/>
        <w:ind w:left="850" w:hanging="850"/>
        <w:rPr>
          <w:szCs w:val="24"/>
        </w:rPr>
      </w:pPr>
      <w:r>
        <w:t>25.</w:t>
      </w:r>
      <w:r>
        <w:tab/>
        <w:t>„miestna úroveň“ je úroveň lokálnej administratívnej jednotky ▌ podľa nariadenia (ES) č. 1059/2003;</w:t>
      </w:r>
    </w:p>
    <w:p w14:paraId="545CD480" w14:textId="20F6FC5A" w:rsidR="003A74C2" w:rsidRDefault="004C6683">
      <w:pPr>
        <w:spacing w:before="120" w:after="120" w:line="360" w:lineRule="auto"/>
        <w:ind w:left="850" w:hanging="850"/>
        <w:rPr>
          <w:szCs w:val="24"/>
        </w:rPr>
      </w:pPr>
      <w:r>
        <w:t>26.</w:t>
      </w:r>
      <w:r>
        <w:tab/>
        <w:t>„úroveň mriežky“ je štatistická mriežka podľa nariadenia (ES) č. 1059/2003;</w:t>
      </w:r>
    </w:p>
    <w:p w14:paraId="0851224C" w14:textId="18A56802" w:rsidR="003A74C2" w:rsidRDefault="004C6683">
      <w:pPr>
        <w:spacing w:before="120" w:after="120" w:line="360" w:lineRule="auto"/>
        <w:ind w:left="850" w:hanging="850"/>
        <w:rPr>
          <w:szCs w:val="24"/>
        </w:rPr>
      </w:pPr>
      <w:r>
        <w:t>27.</w:t>
      </w:r>
      <w:r>
        <w:tab/>
        <w:t xml:space="preserve">„opora výberu“ sú akýkoľvek zoznam, materiál alebo zariadenie, ktoré vymedzuje a </w:t>
      </w:r>
      <w:r>
        <w:lastRenderedPageBreak/>
        <w:t>identifikuje prvky cieľovej populácie a môže umožniť v závislosti od použitia prístup k prvkom alebo im poskytnúť ďalšie charakteristiky;</w:t>
      </w:r>
    </w:p>
    <w:p w14:paraId="2B9D7163" w14:textId="6CD8E009" w:rsidR="003A74C2" w:rsidRDefault="004C6683">
      <w:pPr>
        <w:spacing w:before="120" w:after="120" w:line="360" w:lineRule="auto"/>
        <w:ind w:left="850" w:hanging="850"/>
        <w:rPr>
          <w:szCs w:val="24"/>
        </w:rPr>
      </w:pPr>
      <w:r>
        <w:t>28.</w:t>
      </w:r>
      <w:r>
        <w:tab/>
        <w:t>„referenčný dátum“ je časový okamih, na ktorý sa štatistika vzťahuje;</w:t>
      </w:r>
    </w:p>
    <w:p w14:paraId="5213AA25" w14:textId="3FC3BBB7" w:rsidR="003A74C2" w:rsidRDefault="004C6683">
      <w:pPr>
        <w:spacing w:before="120" w:after="120" w:line="360" w:lineRule="auto"/>
        <w:ind w:left="850" w:hanging="850"/>
        <w:rPr>
          <w:szCs w:val="24"/>
        </w:rPr>
      </w:pPr>
      <w:r>
        <w:t>29.</w:t>
      </w:r>
      <w:r>
        <w:tab/>
        <w:t>„referenčné obdobie“ je časový interval, na ktorý sa vzťahuje štatistika týkajúca sa udalostí;</w:t>
      </w:r>
    </w:p>
    <w:p w14:paraId="57733CB5" w14:textId="0685A2E0" w:rsidR="003A74C2" w:rsidRDefault="004C6683">
      <w:pPr>
        <w:spacing w:before="120" w:after="120" w:line="360" w:lineRule="auto"/>
        <w:ind w:left="850" w:hanging="850"/>
        <w:rPr>
          <w:szCs w:val="24"/>
        </w:rPr>
      </w:pPr>
      <w:r>
        <w:t>30.</w:t>
      </w:r>
      <w:r>
        <w:tab/>
        <w:t>„referenčný čas“ je buď referenčný dátum, alebo referenčné obdobie v závislosti od toho, či sa štatistika týka udalostí alebo iných štatistických jednotiek;</w:t>
      </w:r>
    </w:p>
    <w:p w14:paraId="7AECE1D6" w14:textId="7DFC49FA" w:rsidR="003A74C2" w:rsidRDefault="004C6683">
      <w:pPr>
        <w:spacing w:before="120" w:after="120" w:line="360" w:lineRule="auto"/>
        <w:ind w:left="850" w:hanging="850"/>
        <w:rPr>
          <w:szCs w:val="24"/>
        </w:rPr>
      </w:pPr>
      <w:r>
        <w:t>31.</w:t>
      </w:r>
      <w:r>
        <w:tab/>
        <w:t>„</w:t>
      </w:r>
      <w:proofErr w:type="spellStart"/>
      <w:r>
        <w:t>metaúdaje</w:t>
      </w:r>
      <w:proofErr w:type="spellEnd"/>
      <w:r>
        <w:t>“ sú informácie, ktoré sú potrebné na využitie a interpretovanie štatistiky a ktoré štruktúrovaným spôsobom opisujú súbory údajov;</w:t>
      </w:r>
    </w:p>
    <w:p w14:paraId="6CA0D922" w14:textId="1D6EEADC" w:rsidR="003A74C2" w:rsidRDefault="004C6683">
      <w:pPr>
        <w:spacing w:before="120" w:after="120" w:line="360" w:lineRule="auto"/>
        <w:ind w:left="850" w:hanging="850"/>
        <w:rPr>
          <w:szCs w:val="24"/>
        </w:rPr>
      </w:pPr>
      <w:r>
        <w:t>32.</w:t>
      </w:r>
      <w:r>
        <w:tab/>
        <w:t>„vopred skontrolované súbory údajov“ sú súbory údajov overené členskými štátmi na základe dohodnutých spoločných pravidiel overovania;</w:t>
      </w:r>
    </w:p>
    <w:p w14:paraId="71B6DA12" w14:textId="572F10C0" w:rsidR="003A74C2" w:rsidRDefault="004C6683">
      <w:pPr>
        <w:spacing w:before="120" w:after="120" w:line="360" w:lineRule="auto"/>
        <w:ind w:left="850" w:hanging="850"/>
        <w:rPr>
          <w:szCs w:val="24"/>
        </w:rPr>
      </w:pPr>
      <w:r>
        <w:t>33.</w:t>
      </w:r>
      <w:r>
        <w:tab/>
        <w:t>„správa o kvalite“ je správa obsahujúca informácie o kvalite štatistického produktu alebo procesu.</w:t>
      </w:r>
    </w:p>
    <w:p w14:paraId="0ED8D3F6" w14:textId="77777777" w:rsidR="003A74C2" w:rsidRDefault="004C6683">
      <w:pPr>
        <w:spacing w:before="120" w:after="120" w:line="360" w:lineRule="auto"/>
        <w:jc w:val="center"/>
      </w:pPr>
      <w:r>
        <w:t xml:space="preserve">Článok 3 </w:t>
      </w:r>
    </w:p>
    <w:p w14:paraId="2F483BBE" w14:textId="77777777" w:rsidR="003A74C2" w:rsidRDefault="004C6683">
      <w:pPr>
        <w:spacing w:before="120" w:after="120" w:line="360" w:lineRule="auto"/>
        <w:jc w:val="center"/>
        <w:rPr>
          <w:szCs w:val="24"/>
        </w:rPr>
      </w:pPr>
      <w:r>
        <w:t xml:space="preserve">Populačná základňa </w:t>
      </w:r>
    </w:p>
    <w:p w14:paraId="0128A46B" w14:textId="77777777" w:rsidR="003A74C2" w:rsidRDefault="004C6683">
      <w:pPr>
        <w:spacing w:before="120" w:after="120" w:line="360" w:lineRule="auto"/>
        <w:ind w:left="850" w:hanging="850"/>
        <w:rPr>
          <w:szCs w:val="24"/>
        </w:rPr>
      </w:pPr>
      <w:r>
        <w:t>1.</w:t>
      </w:r>
      <w:r>
        <w:tab/>
        <w:t>Na účely tohto nariadenia tvoria populačnú základňu všetky osoby, ktoré majú k referenčnému dátumu svoje obvyklé bydlisko v Únii v určenej územnej jednotke členského štátu na národnej, regionálnej, miestnej úrovni alebo na úrovni mriežky.</w:t>
      </w:r>
    </w:p>
    <w:p w14:paraId="0F385FC9" w14:textId="77777777" w:rsidR="003A74C2" w:rsidRDefault="004C6683">
      <w:pPr>
        <w:spacing w:before="120" w:after="120" w:line="360" w:lineRule="auto"/>
        <w:ind w:left="850" w:hanging="850"/>
        <w:rPr>
          <w:szCs w:val="24"/>
        </w:rPr>
      </w:pPr>
      <w:r>
        <w:t>2.</w:t>
      </w:r>
      <w:r>
        <w:tab/>
        <w:t>Populačná základňa zahŕňa všetky osoby s obvyklým bydliskom bez ohľadu na občianstvo alebo na to, či osoba je alebo bola v minulosti bez štátnej príslušnosti ▌.</w:t>
      </w:r>
    </w:p>
    <w:p w14:paraId="00BF5D5E" w14:textId="77777777" w:rsidR="003A74C2" w:rsidRDefault="004C6683">
      <w:pPr>
        <w:spacing w:before="120" w:after="120" w:line="360" w:lineRule="auto"/>
        <w:ind w:left="850" w:hanging="850"/>
        <w:rPr>
          <w:szCs w:val="24"/>
        </w:rPr>
      </w:pPr>
      <w:r>
        <w:t>3.</w:t>
      </w:r>
      <w:r>
        <w:tab/>
        <w:t>Populačná základňa nezahŕňa osoby s obvyklým bydliskom mimo územia členského štátu bez ohľadu na miesto narodenia alebo občianstvo a bez ohľadu na akékoľvek rodinné, sociálne, ekonomické alebo majetkové väzby, ktoré môže mať daná osoba s členským štátom.</w:t>
      </w:r>
    </w:p>
    <w:p w14:paraId="486D98BB" w14:textId="77777777" w:rsidR="003A74C2" w:rsidRDefault="004C6683">
      <w:pPr>
        <w:spacing w:before="120" w:after="120" w:line="360" w:lineRule="auto"/>
        <w:ind w:left="850" w:hanging="850"/>
        <w:rPr>
          <w:szCs w:val="24"/>
        </w:rPr>
      </w:pPr>
      <w:r>
        <w:t>4.</w:t>
      </w:r>
      <w:r>
        <w:tab/>
        <w:t>Osobám bez obvyklého bydliska sa ako miesto obvyklého bydliska priradí miesto, v ktorom sa nachádzajú k referenčnému dátumu.</w:t>
      </w:r>
    </w:p>
    <w:p w14:paraId="2F891B42" w14:textId="77777777" w:rsidR="003A74C2" w:rsidRDefault="004C6683">
      <w:pPr>
        <w:spacing w:before="120" w:after="120" w:line="360" w:lineRule="auto"/>
        <w:ind w:left="850" w:hanging="850"/>
        <w:rPr>
          <w:szCs w:val="24"/>
        </w:rPr>
      </w:pPr>
      <w:r>
        <w:t>5.</w:t>
      </w:r>
      <w:r>
        <w:tab/>
        <w:t>Členské štáty uplatňujú vymedzenie pojmu obvyklé bydlisko uvedené v tomto nariadení na všetky súbory údajov poskytnuté Komisii (</w:t>
      </w:r>
      <w:proofErr w:type="spellStart"/>
      <w:r>
        <w:t>Eurostatu</w:t>
      </w:r>
      <w:proofErr w:type="spellEnd"/>
      <w:r>
        <w:t>) podľa tohto nariadenia a na národnej, regionálnej, miestnej úrovni a na úrovni mriežky.</w:t>
      </w:r>
    </w:p>
    <w:p w14:paraId="39E78E17" w14:textId="77777777" w:rsidR="003A74C2" w:rsidRDefault="004C6683">
      <w:pPr>
        <w:spacing w:before="120" w:after="120" w:line="360" w:lineRule="auto"/>
        <w:ind w:left="850" w:hanging="850"/>
        <w:rPr>
          <w:szCs w:val="24"/>
        </w:rPr>
      </w:pPr>
      <w:r>
        <w:t>6.</w:t>
      </w:r>
      <w:r>
        <w:tab/>
        <w:t>Pri uplatňovaní vymedzenia pojmu obvyklé bydlisko členské štáty použijú:</w:t>
      </w:r>
    </w:p>
    <w:p w14:paraId="0342DD67" w14:textId="77777777" w:rsidR="003A74C2" w:rsidRDefault="004C6683">
      <w:pPr>
        <w:spacing w:before="120" w:after="120" w:line="360" w:lineRule="auto"/>
        <w:ind w:left="1416" w:hanging="566"/>
        <w:rPr>
          <w:szCs w:val="24"/>
        </w:rPr>
      </w:pPr>
      <w:r>
        <w:lastRenderedPageBreak/>
        <w:t>a)</w:t>
      </w:r>
      <w:r>
        <w:tab/>
        <w:t>jeden zdroj údajov alebo kombináciu zdrojov údajov uvedených v článku 9 ods. 1;</w:t>
      </w:r>
    </w:p>
    <w:p w14:paraId="3734721D" w14:textId="77777777" w:rsidR="003A74C2" w:rsidRDefault="004C6683">
      <w:pPr>
        <w:spacing w:before="120" w:after="120" w:line="360" w:lineRule="auto"/>
        <w:ind w:left="1416" w:hanging="566"/>
        <w:rPr>
          <w:szCs w:val="24"/>
        </w:rPr>
      </w:pPr>
      <w:r>
        <w:t>b)</w:t>
      </w:r>
      <w:r>
        <w:tab/>
        <w:t>metódy odhadu, ako sú „známky života“</w:t>
      </w:r>
      <w:r>
        <w:rPr>
          <w:b/>
          <w:bCs/>
          <w:i/>
          <w:iCs/>
        </w:rPr>
        <w:t>, ako aj iné vedecky podložené, dobre zdokumentované a verejne dostupné metódy štatistického odhadu</w:t>
      </w:r>
      <w:r>
        <w:t xml:space="preserve"> na korekciu skutočnej prítomnosti na predpokladanom mieste obvyklého bydliska počas väčšiny obdobia 12 mesiacov končiaceho sa referenčným dátumom a ▌ na odhadnutie počtu osôb, ktoré plánujú sa zdržať alebo sa očakáva, že sa zdržia väčšinu času počas 12 mesiacov po príchode.</w:t>
      </w:r>
    </w:p>
    <w:p w14:paraId="720A9721" w14:textId="77777777" w:rsidR="003A74C2" w:rsidRDefault="004C6683">
      <w:pPr>
        <w:spacing w:before="120" w:after="120" w:line="360" w:lineRule="auto"/>
        <w:ind w:left="850" w:hanging="850"/>
        <w:rPr>
          <w:szCs w:val="24"/>
        </w:rPr>
      </w:pPr>
      <w:r>
        <w:rPr>
          <w:b/>
          <w:i/>
        </w:rPr>
        <w:t>6a.</w:t>
      </w:r>
      <w:r>
        <w:tab/>
      </w:r>
      <w:r>
        <w:rPr>
          <w:b/>
          <w:i/>
        </w:rPr>
        <w:t>Na účely hlasovania kvalifikovanou väčšinou v Rade Komisia informuje Radu o celkovom počte obyvateľov členských štátov na konci každého referenčného roka, ktorý má Komisia (</w:t>
      </w:r>
      <w:proofErr w:type="spellStart"/>
      <w:r>
        <w:rPr>
          <w:b/>
          <w:i/>
        </w:rPr>
        <w:t>Eurostat</w:t>
      </w:r>
      <w:proofErr w:type="spellEnd"/>
      <w:r>
        <w:rPr>
          <w:b/>
          <w:i/>
        </w:rPr>
        <w:t>) k dispozícii k 31. augustu kalendárneho roka nasledujúceho po referenčnom roku.</w:t>
      </w:r>
    </w:p>
    <w:p w14:paraId="1B54C09B" w14:textId="77777777" w:rsidR="003A74C2" w:rsidRDefault="004C6683">
      <w:pPr>
        <w:spacing w:before="120" w:after="120" w:line="360" w:lineRule="auto"/>
        <w:jc w:val="center"/>
      </w:pPr>
      <w:r>
        <w:t xml:space="preserve">Článok 4 </w:t>
      </w:r>
    </w:p>
    <w:p w14:paraId="1D6DB847" w14:textId="77777777" w:rsidR="003A74C2" w:rsidRDefault="004C6683">
      <w:pPr>
        <w:spacing w:before="120" w:after="120" w:line="360" w:lineRule="auto"/>
        <w:jc w:val="center"/>
        <w:rPr>
          <w:szCs w:val="24"/>
        </w:rPr>
      </w:pPr>
      <w:r>
        <w:t>Štatistické jednotky</w:t>
      </w:r>
    </w:p>
    <w:p w14:paraId="15433797" w14:textId="77777777" w:rsidR="003A74C2" w:rsidRDefault="004C6683">
      <w:pPr>
        <w:spacing w:before="120" w:after="120" w:line="360" w:lineRule="auto"/>
        <w:rPr>
          <w:szCs w:val="24"/>
        </w:rPr>
      </w:pPr>
      <w:r>
        <w:t>Štatistika podľa tohto nariadenia sa zostavuje za tieto štatistické jednotky:</w:t>
      </w:r>
    </w:p>
    <w:p w14:paraId="4EB84D62" w14:textId="77777777" w:rsidR="003A74C2" w:rsidRDefault="004C6683">
      <w:pPr>
        <w:spacing w:before="120" w:after="120" w:line="360" w:lineRule="auto"/>
        <w:ind w:left="850" w:hanging="850"/>
        <w:rPr>
          <w:szCs w:val="24"/>
        </w:rPr>
      </w:pPr>
      <w:r>
        <w:t>a)</w:t>
      </w:r>
      <w:r>
        <w:tab/>
        <w:t>osoby;</w:t>
      </w:r>
    </w:p>
    <w:p w14:paraId="0F7D84EB" w14:textId="77777777" w:rsidR="003A74C2" w:rsidRDefault="004C6683">
      <w:pPr>
        <w:spacing w:before="120" w:after="120" w:line="360" w:lineRule="auto"/>
        <w:ind w:left="850" w:hanging="850"/>
        <w:rPr>
          <w:szCs w:val="24"/>
        </w:rPr>
      </w:pPr>
      <w:r>
        <w:t>b)</w:t>
      </w:r>
      <w:r>
        <w:tab/>
        <w:t>demografické udalosti;</w:t>
      </w:r>
    </w:p>
    <w:p w14:paraId="5D60D674" w14:textId="77777777" w:rsidR="003A74C2" w:rsidRDefault="004C6683">
      <w:pPr>
        <w:spacing w:before="120" w:after="120" w:line="360" w:lineRule="auto"/>
        <w:ind w:left="850" w:hanging="850"/>
        <w:rPr>
          <w:szCs w:val="24"/>
        </w:rPr>
      </w:pPr>
      <w:r>
        <w:t>c)</w:t>
      </w:r>
      <w:r>
        <w:tab/>
        <w:t>rodiny;</w:t>
      </w:r>
    </w:p>
    <w:p w14:paraId="67100AFC" w14:textId="77777777" w:rsidR="003A74C2" w:rsidRDefault="004C6683">
      <w:pPr>
        <w:spacing w:before="120" w:after="120" w:line="360" w:lineRule="auto"/>
        <w:ind w:left="850" w:hanging="850"/>
        <w:rPr>
          <w:szCs w:val="24"/>
        </w:rPr>
      </w:pPr>
      <w:r>
        <w:t>d)</w:t>
      </w:r>
      <w:r>
        <w:tab/>
        <w:t>domácnosti;</w:t>
      </w:r>
    </w:p>
    <w:p w14:paraId="6D82667F" w14:textId="77777777" w:rsidR="003A74C2" w:rsidRDefault="004C6683">
      <w:pPr>
        <w:spacing w:before="120" w:after="120" w:line="360" w:lineRule="auto"/>
        <w:ind w:left="850" w:hanging="850"/>
        <w:rPr>
          <w:szCs w:val="24"/>
        </w:rPr>
      </w:pPr>
      <w:r>
        <w:t>e)</w:t>
      </w:r>
      <w:r>
        <w:tab/>
        <w:t xml:space="preserve">budovy určené na bývanie, obydlia </w:t>
      </w:r>
      <w:r>
        <w:rPr>
          <w:b/>
          <w:bCs/>
          <w:i/>
          <w:iCs/>
        </w:rPr>
        <w:t>vrátane inštitúcií</w:t>
      </w:r>
      <w:r>
        <w:t xml:space="preserve"> a byty.</w:t>
      </w:r>
    </w:p>
    <w:p w14:paraId="3EA30721" w14:textId="77777777" w:rsidR="003A74C2" w:rsidRDefault="004C6683">
      <w:pPr>
        <w:spacing w:before="120" w:after="120" w:line="360" w:lineRule="auto"/>
        <w:jc w:val="center"/>
      </w:pPr>
      <w:r>
        <w:t xml:space="preserve">Článok 5 </w:t>
      </w:r>
    </w:p>
    <w:p w14:paraId="0F555389" w14:textId="77777777" w:rsidR="003A74C2" w:rsidRDefault="004C6683">
      <w:pPr>
        <w:spacing w:before="120" w:after="120" w:line="360" w:lineRule="auto"/>
        <w:jc w:val="center"/>
        <w:rPr>
          <w:szCs w:val="24"/>
        </w:rPr>
      </w:pPr>
      <w:r>
        <w:t>Požiadavky na štatistiku</w:t>
      </w:r>
    </w:p>
    <w:p w14:paraId="57725A60" w14:textId="77777777" w:rsidR="003A74C2" w:rsidRDefault="004C6683">
      <w:pPr>
        <w:spacing w:before="120" w:after="120" w:line="360" w:lineRule="auto"/>
        <w:ind w:left="850" w:hanging="850"/>
        <w:rPr>
          <w:szCs w:val="24"/>
        </w:rPr>
      </w:pPr>
      <w:r>
        <w:t>1.</w:t>
      </w:r>
      <w:r>
        <w:tab/>
        <w:t>Európska štatistika obyvateľov, domov a bytov zahŕňa tieto oblasti:</w:t>
      </w:r>
    </w:p>
    <w:p w14:paraId="59020A23" w14:textId="77777777" w:rsidR="003A74C2" w:rsidRDefault="004C6683">
      <w:pPr>
        <w:spacing w:before="120" w:after="120" w:line="360" w:lineRule="auto"/>
        <w:ind w:left="1416" w:hanging="566"/>
        <w:rPr>
          <w:szCs w:val="24"/>
        </w:rPr>
      </w:pPr>
      <w:r>
        <w:t>a)</w:t>
      </w:r>
      <w:r>
        <w:tab/>
        <w:t>demografia;</w:t>
      </w:r>
    </w:p>
    <w:p w14:paraId="3E4BC4D2" w14:textId="77777777" w:rsidR="003A74C2" w:rsidRDefault="004C6683">
      <w:pPr>
        <w:spacing w:before="120" w:after="120" w:line="360" w:lineRule="auto"/>
        <w:ind w:left="1416" w:hanging="566"/>
        <w:rPr>
          <w:szCs w:val="24"/>
        </w:rPr>
      </w:pPr>
      <w:r>
        <w:t>b)</w:t>
      </w:r>
      <w:r>
        <w:tab/>
        <w:t>domy a byty;</w:t>
      </w:r>
    </w:p>
    <w:p w14:paraId="7BCA7989" w14:textId="77777777" w:rsidR="003A74C2" w:rsidRDefault="004C6683">
      <w:pPr>
        <w:spacing w:before="120" w:after="120" w:line="360" w:lineRule="auto"/>
        <w:ind w:left="1416" w:hanging="566"/>
        <w:rPr>
          <w:szCs w:val="24"/>
        </w:rPr>
      </w:pPr>
      <w:r>
        <w:t>c)</w:t>
      </w:r>
      <w:r>
        <w:tab/>
        <w:t>rodiny a domácnosti.</w:t>
      </w:r>
    </w:p>
    <w:p w14:paraId="21A58764" w14:textId="77777777" w:rsidR="003A74C2" w:rsidRDefault="004C6683">
      <w:pPr>
        <w:spacing w:before="120" w:after="120" w:line="360" w:lineRule="auto"/>
        <w:ind w:left="850" w:hanging="850"/>
        <w:rPr>
          <w:szCs w:val="24"/>
        </w:rPr>
      </w:pPr>
      <w:r>
        <w:t>2.</w:t>
      </w:r>
      <w:r>
        <w:tab/>
        <w:t>Štatistika v oblastiach uvedených v odseku 1 tohto článku sa usporiada do súborov údajov podľa tém a čiastkových tém uvedených v prílohe.</w:t>
      </w:r>
      <w:r>
        <w:rPr>
          <w:b/>
          <w:i/>
        </w:rPr>
        <w:t xml:space="preserve"> Ak je štatistická jednotka osoba, súbory údajov sa rozčlenia podľa pohlavia a veku a v prípade potreby </w:t>
      </w:r>
      <w:r>
        <w:rPr>
          <w:b/>
          <w:i/>
        </w:rPr>
        <w:lastRenderedPageBreak/>
        <w:t>podľa iných charakteristík.</w:t>
      </w:r>
    </w:p>
    <w:p w14:paraId="6647BC4D" w14:textId="77777777" w:rsidR="003A74C2" w:rsidRDefault="004C6683">
      <w:pPr>
        <w:spacing w:before="120" w:after="120" w:line="360" w:lineRule="auto"/>
        <w:ind w:left="850" w:hanging="850"/>
        <w:rPr>
          <w:szCs w:val="24"/>
        </w:rPr>
      </w:pPr>
      <w:r>
        <w:t>3.</w:t>
      </w:r>
      <w:r>
        <w:tab/>
        <w:t>Komisia je v súlade s článkom 17 splnomocnená prijímať delegované akty s cieľom zmeniť zoznam čiastkových tém v prílohe. Tieto delegované akty sa prijmú minimálne 12 mesiacov pred začiatkom príslušného referenčného času.</w:t>
      </w:r>
    </w:p>
    <w:p w14:paraId="690FBFEB" w14:textId="77777777" w:rsidR="003A74C2" w:rsidRDefault="004C6683">
      <w:pPr>
        <w:spacing w:before="120" w:after="120" w:line="360" w:lineRule="auto"/>
        <w:ind w:left="850" w:hanging="850"/>
        <w:rPr>
          <w:szCs w:val="24"/>
        </w:rPr>
      </w:pPr>
      <w:r>
        <w:t>4.</w:t>
      </w:r>
      <w:r>
        <w:tab/>
        <w:t>Pri výkone právomoci prijímať delegované akty podľa odseku 3 tohto článku Komisia zabezpečí, aby tieto akty nepredstavovali pre členské štáty a respondentov zisťovania výrazné a neprimerané zaťaženie. Každá nová čiastková téma sa posúdi z hľadiska jej uskutočniteľnosti prostredníctvom pilotných štúdií vykonaných Komisiou (</w:t>
      </w:r>
      <w:proofErr w:type="spellStart"/>
      <w:r>
        <w:t>Eurostatom</w:t>
      </w:r>
      <w:proofErr w:type="spellEnd"/>
      <w:r>
        <w:t>) a členskými štátmi v súlade s článkom 14.</w:t>
      </w:r>
    </w:p>
    <w:p w14:paraId="1C42946F" w14:textId="77777777" w:rsidR="003A74C2" w:rsidRDefault="004C6683">
      <w:pPr>
        <w:spacing w:before="120" w:after="120" w:line="360" w:lineRule="auto"/>
        <w:ind w:left="850" w:hanging="850"/>
        <w:rPr>
          <w:szCs w:val="24"/>
        </w:rPr>
      </w:pPr>
      <w:r>
        <w:t>5.</w:t>
      </w:r>
      <w:r>
        <w:tab/>
        <w:t>Komisia prijme vykonávacie akty s cieľom špecifikovať technické vlastnosti súborov údajov a </w:t>
      </w:r>
      <w:proofErr w:type="spellStart"/>
      <w:r>
        <w:t>metaúdajov</w:t>
      </w:r>
      <w:proofErr w:type="spellEnd"/>
      <w:r>
        <w:t>, ktoré sa majú poskytnúť Komisii (</w:t>
      </w:r>
      <w:proofErr w:type="spellStart"/>
      <w:r>
        <w:t>Eurostatu</w:t>
      </w:r>
      <w:proofErr w:type="spellEnd"/>
      <w:r>
        <w:t>). V uvedených vykonávacích aktoch sa v relevantných prípadoch špecifikujú tieto technické prvky:</w:t>
      </w:r>
    </w:p>
    <w:p w14:paraId="414515AE" w14:textId="77777777" w:rsidR="003A74C2" w:rsidRDefault="004C6683">
      <w:pPr>
        <w:spacing w:before="120" w:after="120" w:line="360" w:lineRule="auto"/>
        <w:ind w:left="1416" w:hanging="566"/>
        <w:rPr>
          <w:szCs w:val="24"/>
        </w:rPr>
      </w:pPr>
      <w:r>
        <w:t>a)</w:t>
      </w:r>
      <w:r>
        <w:tab/>
        <w:t>názvy premenných, ich technické špecifikácie a členenia;</w:t>
      </w:r>
    </w:p>
    <w:p w14:paraId="125D8643" w14:textId="77777777" w:rsidR="003A74C2" w:rsidRDefault="004C6683">
      <w:pPr>
        <w:spacing w:before="120" w:after="120" w:line="360" w:lineRule="auto"/>
        <w:ind w:left="1416" w:hanging="566"/>
        <w:rPr>
          <w:szCs w:val="24"/>
        </w:rPr>
      </w:pPr>
      <w:r>
        <w:t>b)</w:t>
      </w:r>
      <w:r>
        <w:tab/>
        <w:t>podrobné špecifikácie štatistických jednotiek a </w:t>
      </w:r>
      <w:proofErr w:type="spellStart"/>
      <w:r>
        <w:t>metaúdajov</w:t>
      </w:r>
      <w:proofErr w:type="spellEnd"/>
      <w:r>
        <w:t>;</w:t>
      </w:r>
    </w:p>
    <w:p w14:paraId="28F467D9" w14:textId="77777777" w:rsidR="003A74C2" w:rsidRDefault="004C6683">
      <w:pPr>
        <w:spacing w:before="120" w:after="120" w:line="360" w:lineRule="auto"/>
        <w:ind w:left="1416" w:hanging="566"/>
        <w:rPr>
          <w:szCs w:val="24"/>
        </w:rPr>
      </w:pPr>
      <w:r>
        <w:t>c)</w:t>
      </w:r>
      <w:r>
        <w:tab/>
        <w:t>štatistické klasifikácie, ktoré sa majú použiť;</w:t>
      </w:r>
    </w:p>
    <w:p w14:paraId="4340A974" w14:textId="77777777" w:rsidR="003A74C2" w:rsidRDefault="004C6683">
      <w:pPr>
        <w:spacing w:before="120" w:after="120" w:line="360" w:lineRule="auto"/>
        <w:ind w:left="1416" w:hanging="566"/>
        <w:rPr>
          <w:szCs w:val="24"/>
        </w:rPr>
      </w:pPr>
      <w:r>
        <w:t>d)</w:t>
      </w:r>
      <w:r>
        <w:tab/>
        <w:t>lehoty poskytovania;</w:t>
      </w:r>
    </w:p>
    <w:p w14:paraId="22B194C5" w14:textId="77777777" w:rsidR="003A74C2" w:rsidRDefault="004C6683">
      <w:pPr>
        <w:spacing w:before="120" w:after="120" w:line="360" w:lineRule="auto"/>
        <w:ind w:left="1416" w:hanging="566"/>
        <w:rPr>
          <w:szCs w:val="24"/>
        </w:rPr>
      </w:pPr>
      <w:r>
        <w:t>e)</w:t>
      </w:r>
      <w:r>
        <w:tab/>
        <w:t>technické formáty poskytovania súborov údajov a </w:t>
      </w:r>
      <w:proofErr w:type="spellStart"/>
      <w:r>
        <w:t>metaúdajov</w:t>
      </w:r>
      <w:proofErr w:type="spellEnd"/>
      <w:r>
        <w:t>;</w:t>
      </w:r>
    </w:p>
    <w:p w14:paraId="11A503F0" w14:textId="77777777" w:rsidR="003A74C2" w:rsidRDefault="004C6683">
      <w:pPr>
        <w:spacing w:before="120" w:after="120" w:line="360" w:lineRule="auto"/>
        <w:ind w:left="1416" w:hanging="566"/>
        <w:rPr>
          <w:szCs w:val="24"/>
        </w:rPr>
      </w:pPr>
      <w:r>
        <w:t>f)</w:t>
      </w:r>
      <w:r>
        <w:tab/>
        <w:t>obsah, štruktúra, periodicita, spôsoby a lehoty poskytovania správ o kvalite, ako aj ďalšie špecifikácie, ak sú potrebné a odôvodnené.</w:t>
      </w:r>
    </w:p>
    <w:p w14:paraId="0294D4C6" w14:textId="77777777" w:rsidR="003A74C2" w:rsidRDefault="004C6683">
      <w:pPr>
        <w:spacing w:before="120" w:after="120" w:line="360" w:lineRule="auto"/>
        <w:ind w:left="850"/>
        <w:rPr>
          <w:szCs w:val="24"/>
        </w:rPr>
      </w:pPr>
      <w:r>
        <w:t>Uvedené vykonávacie akty sa prijmú v súlade s postupom preskúmania uvedeným v článku 18 ods. 2 aspoň 12 mesiacov pred začiatkom príslušného referenčného času, s výnimkou sčítania obyvateľov, domov a bytov, v prípade ktorého sa vykonávacie akty prijmú aspoň 24 mesiacov pred začiatkom roka, do ktorého patrí referenčný dátum.</w:t>
      </w:r>
    </w:p>
    <w:p w14:paraId="22B36774" w14:textId="77777777" w:rsidR="003A74C2" w:rsidRDefault="004C6683">
      <w:pPr>
        <w:spacing w:before="120" w:after="120" w:line="360" w:lineRule="auto"/>
        <w:jc w:val="center"/>
      </w:pPr>
      <w:r>
        <w:t xml:space="preserve">Článok 6 </w:t>
      </w:r>
    </w:p>
    <w:p w14:paraId="57949779" w14:textId="77777777" w:rsidR="003A74C2" w:rsidRDefault="004C6683">
      <w:pPr>
        <w:spacing w:before="120" w:after="120" w:line="360" w:lineRule="auto"/>
        <w:jc w:val="center"/>
        <w:rPr>
          <w:szCs w:val="24"/>
        </w:rPr>
      </w:pPr>
      <w:r>
        <w:t>Periodicita a referenčné časy</w:t>
      </w:r>
    </w:p>
    <w:p w14:paraId="7A83CEA0" w14:textId="77777777" w:rsidR="003A74C2" w:rsidRDefault="004C6683">
      <w:pPr>
        <w:spacing w:before="120" w:after="120" w:line="360" w:lineRule="auto"/>
        <w:ind w:left="850" w:hanging="850"/>
        <w:rPr>
          <w:szCs w:val="24"/>
        </w:rPr>
      </w:pPr>
      <w:r>
        <w:t>1.</w:t>
      </w:r>
      <w:r>
        <w:tab/>
        <w:t>Členské štáty vypracúvajú európsku štatistiku obyvateľov, domov a bytov štvrťročne, každých šesť mesiacov, ročne a viacročne a v rámci sčítania obyvateľov, domov a bytov v desaťročnom intervale.</w:t>
      </w:r>
    </w:p>
    <w:p w14:paraId="2D9ACFE1" w14:textId="77777777" w:rsidR="003A74C2" w:rsidRDefault="004C6683">
      <w:pPr>
        <w:spacing w:before="120" w:after="120" w:line="360" w:lineRule="auto"/>
        <w:ind w:left="850" w:hanging="850"/>
        <w:rPr>
          <w:szCs w:val="24"/>
        </w:rPr>
      </w:pPr>
      <w:r>
        <w:t>2.</w:t>
      </w:r>
      <w:r>
        <w:tab/>
        <w:t xml:space="preserve">Referenčnými rokmi v prípade sčítania obyvateľov, domov a bytov za desaťročie sú </w:t>
      </w:r>
      <w:r>
        <w:lastRenderedPageBreak/>
        <w:t>roky končiace sa číslicou „1“.</w:t>
      </w:r>
    </w:p>
    <w:p w14:paraId="2725B90A" w14:textId="77777777" w:rsidR="003A74C2" w:rsidRDefault="004C6683">
      <w:pPr>
        <w:spacing w:before="120" w:after="120" w:line="360" w:lineRule="auto"/>
        <w:ind w:left="850" w:hanging="850"/>
        <w:rPr>
          <w:szCs w:val="24"/>
        </w:rPr>
      </w:pPr>
      <w:r>
        <w:t>3.</w:t>
      </w:r>
      <w:r>
        <w:tab/>
        <w:t>Referenčnými rokmi v prípade viacročnej štatistiky sú roky končiace sa číslicou „1“, „5“ a „8“.</w:t>
      </w:r>
    </w:p>
    <w:p w14:paraId="6D38875A" w14:textId="43A28372" w:rsidR="003A74C2" w:rsidRDefault="004C6683">
      <w:pPr>
        <w:spacing w:before="120" w:after="120" w:line="360" w:lineRule="auto"/>
        <w:ind w:left="850" w:hanging="850"/>
        <w:rPr>
          <w:szCs w:val="24"/>
        </w:rPr>
      </w:pPr>
      <w:r>
        <w:t>4.</w:t>
      </w:r>
      <w:r>
        <w:tab/>
        <w:t>Periodicita a referenčný čas ▌v prípade každej čiastkovej témy sú stanovené v prílohe.</w:t>
      </w:r>
    </w:p>
    <w:p w14:paraId="2CAD75EB" w14:textId="77777777" w:rsidR="003A74C2" w:rsidRDefault="004C6683">
      <w:pPr>
        <w:spacing w:before="120" w:after="120" w:line="360" w:lineRule="auto"/>
        <w:ind w:left="850" w:hanging="850"/>
        <w:rPr>
          <w:szCs w:val="24"/>
        </w:rPr>
      </w:pPr>
      <w:r>
        <w:t>5.</w:t>
      </w:r>
      <w:r>
        <w:tab/>
        <w:t>Prvým referenčným dátumom, za ktorý sa má poskytnúť ročná štatistika k téme „stavy obyvateľov“, je 31. december 2025. Prvým referenčným časom, za ktorý sa má poskytnúť akákoľvek ďalšia štatistika podľa tohto nariadenia, je rok 2026.</w:t>
      </w:r>
    </w:p>
    <w:p w14:paraId="15917358" w14:textId="77777777" w:rsidR="003A74C2" w:rsidRDefault="004C6683">
      <w:pPr>
        <w:spacing w:before="120" w:after="120" w:line="360" w:lineRule="auto"/>
        <w:ind w:left="850" w:hanging="850"/>
        <w:rPr>
          <w:szCs w:val="24"/>
        </w:rPr>
      </w:pPr>
      <w:r>
        <w:t>6.</w:t>
      </w:r>
      <w:r>
        <w:tab/>
        <w:t>Komisia je splnomocnená prijímať v súlade s článkom 17 delegované akty s cieľom zmeniť prílohu aktualizáciou periodicít a referenčných časov.</w:t>
      </w:r>
    </w:p>
    <w:p w14:paraId="0802A893" w14:textId="77777777" w:rsidR="003A74C2" w:rsidRDefault="004C6683">
      <w:pPr>
        <w:spacing w:before="120" w:after="120" w:line="360" w:lineRule="auto"/>
        <w:jc w:val="center"/>
      </w:pPr>
      <w:r>
        <w:t xml:space="preserve">Článok 7 </w:t>
      </w:r>
    </w:p>
    <w:p w14:paraId="6909CC51" w14:textId="77777777" w:rsidR="003A74C2" w:rsidRDefault="004C6683">
      <w:pPr>
        <w:spacing w:before="120" w:after="120" w:line="360" w:lineRule="auto"/>
        <w:jc w:val="center"/>
        <w:rPr>
          <w:szCs w:val="24"/>
        </w:rPr>
      </w:pPr>
      <w:r>
        <w:t>Požiadavky na ad hoc štatistiku</w:t>
      </w:r>
    </w:p>
    <w:p w14:paraId="37F0331E" w14:textId="77777777" w:rsidR="003A74C2" w:rsidRDefault="004C6683">
      <w:pPr>
        <w:spacing w:before="120" w:after="120" w:line="360" w:lineRule="auto"/>
        <w:ind w:left="850" w:hanging="850"/>
        <w:rPr>
          <w:szCs w:val="24"/>
        </w:rPr>
      </w:pPr>
      <w:r>
        <w:t>1.</w:t>
      </w:r>
      <w:r>
        <w:tab/>
        <w:t>Členské štáty poskytujú Komisii (</w:t>
      </w:r>
      <w:proofErr w:type="spellStart"/>
      <w:r>
        <w:t>Eurostatu</w:t>
      </w:r>
      <w:proofErr w:type="spellEnd"/>
      <w:r>
        <w:t>) ad hoc súbory údajov a </w:t>
      </w:r>
      <w:proofErr w:type="spellStart"/>
      <w:r>
        <w:t>metaúdaje</w:t>
      </w:r>
      <w:proofErr w:type="spellEnd"/>
      <w:r>
        <w:t>.</w:t>
      </w:r>
    </w:p>
    <w:p w14:paraId="14E5CAC3" w14:textId="77777777" w:rsidR="003A74C2" w:rsidRDefault="004C6683">
      <w:pPr>
        <w:spacing w:before="120" w:after="120" w:line="360" w:lineRule="auto"/>
        <w:ind w:left="850" w:hanging="850"/>
        <w:rPr>
          <w:szCs w:val="24"/>
        </w:rPr>
      </w:pPr>
      <w:r>
        <w:t>2.</w:t>
      </w:r>
      <w:r>
        <w:tab/>
        <w:t>Komisia je splnomocnená v súlade s článkom 17 prijímať delegované akty s cieľom doplniť toto nariadenie špecifikovaním súborov údajov a </w:t>
      </w:r>
      <w:proofErr w:type="spellStart"/>
      <w:r>
        <w:t>metaúdajov</w:t>
      </w:r>
      <w:proofErr w:type="spellEnd"/>
      <w:r>
        <w:t xml:space="preserve">, ktoré majú členské štáty poskytovať ad hoc, ak sa zber dodatočných štatistických údajov považuje za potrebný na účely riešenia dodatočných štatistických potrieb podľa tohto nariadenia, </w:t>
      </w:r>
      <w:r>
        <w:rPr>
          <w:b/>
          <w:bCs/>
          <w:i/>
          <w:iCs/>
        </w:rPr>
        <w:t>pričom sa uprednostnia administratívne zdroje údajov a záznamy, ktoré sa majú použiť na zber požadovaných údajov.</w:t>
      </w:r>
    </w:p>
    <w:p w14:paraId="4EA04B8B" w14:textId="77777777" w:rsidR="003A74C2" w:rsidRDefault="004C6683">
      <w:pPr>
        <w:spacing w:before="120" w:after="120" w:line="360" w:lineRule="auto"/>
        <w:ind w:left="850" w:hanging="850"/>
        <w:rPr>
          <w:szCs w:val="24"/>
        </w:rPr>
      </w:pPr>
      <w:r>
        <w:t>3.</w:t>
      </w:r>
      <w:r>
        <w:tab/>
        <w:t>V informáciách podľa odseku 2 sa uvádzajú:</w:t>
      </w:r>
    </w:p>
    <w:p w14:paraId="767EEFE1" w14:textId="77777777" w:rsidR="003A74C2" w:rsidRDefault="004C6683">
      <w:pPr>
        <w:spacing w:before="120" w:after="120" w:line="360" w:lineRule="auto"/>
        <w:ind w:left="1416" w:hanging="566"/>
        <w:rPr>
          <w:szCs w:val="24"/>
        </w:rPr>
      </w:pPr>
      <w:r>
        <w:t>a)</w:t>
      </w:r>
      <w:r>
        <w:tab/>
        <w:t>čiastkové témy, ktoré sa majú poskytnúť v rámci ad hoc súborov údajov, a dôvody ozrejmujúce takéto dodatočné štatistické potreby;</w:t>
      </w:r>
    </w:p>
    <w:p w14:paraId="7EC58983" w14:textId="77777777" w:rsidR="003A74C2" w:rsidRDefault="004C6683">
      <w:pPr>
        <w:spacing w:before="120" w:after="120" w:line="360" w:lineRule="auto"/>
        <w:ind w:left="1416" w:hanging="566"/>
        <w:rPr>
          <w:szCs w:val="24"/>
        </w:rPr>
      </w:pPr>
      <w:r>
        <w:t>b)</w:t>
      </w:r>
      <w:r>
        <w:tab/>
        <w:t>referenčné časy.</w:t>
      </w:r>
    </w:p>
    <w:p w14:paraId="7B3973AD" w14:textId="77777777" w:rsidR="003A74C2" w:rsidRDefault="004C6683">
      <w:pPr>
        <w:spacing w:before="120" w:after="120" w:line="360" w:lineRule="auto"/>
        <w:ind w:left="850" w:hanging="850"/>
        <w:rPr>
          <w:szCs w:val="24"/>
        </w:rPr>
      </w:pPr>
      <w:r>
        <w:t>4.</w:t>
      </w:r>
      <w:r>
        <w:tab/>
        <w:t>Komisia je splnomocnená prijímať delegované akty uvedené v odseku 2 od referenčného roku 2027 a s minimálnym odstupom dva roky medzi jednotlivými ad hoc zbermi.</w:t>
      </w:r>
    </w:p>
    <w:p w14:paraId="6617B53F" w14:textId="77777777" w:rsidR="003A74C2" w:rsidRDefault="004C6683">
      <w:pPr>
        <w:spacing w:before="120" w:after="120" w:line="360" w:lineRule="auto"/>
        <w:ind w:left="850" w:hanging="850"/>
        <w:rPr>
          <w:szCs w:val="24"/>
        </w:rPr>
      </w:pPr>
      <w:r>
        <w:t>5.</w:t>
      </w:r>
      <w:r>
        <w:tab/>
        <w:t>Komisia prijme vykonávacie akty s cieľom špecifikovať technické vlastnosti ad hoc súborov údajov a </w:t>
      </w:r>
      <w:proofErr w:type="spellStart"/>
      <w:r>
        <w:t>metaúdajov</w:t>
      </w:r>
      <w:proofErr w:type="spellEnd"/>
      <w:r>
        <w:t xml:space="preserve"> uvedených v odseku 2. V uvedených vykonávacích aktoch sa v relevantných prípadoch špecifikujú tieto technické prvky:</w:t>
      </w:r>
    </w:p>
    <w:p w14:paraId="36912667" w14:textId="77777777" w:rsidR="003A74C2" w:rsidRDefault="004C6683">
      <w:pPr>
        <w:spacing w:before="120" w:after="120" w:line="360" w:lineRule="auto"/>
        <w:ind w:left="1416" w:hanging="566"/>
        <w:rPr>
          <w:szCs w:val="24"/>
        </w:rPr>
      </w:pPr>
      <w:r>
        <w:t>a)</w:t>
      </w:r>
      <w:r>
        <w:tab/>
        <w:t>názvy premenných, ich technické špecifikácie a členenia;</w:t>
      </w:r>
    </w:p>
    <w:p w14:paraId="797B0233" w14:textId="77777777" w:rsidR="003A74C2" w:rsidRDefault="004C6683">
      <w:pPr>
        <w:spacing w:before="120" w:after="120" w:line="360" w:lineRule="auto"/>
        <w:ind w:left="1416" w:hanging="566"/>
        <w:rPr>
          <w:szCs w:val="24"/>
        </w:rPr>
      </w:pPr>
      <w:r>
        <w:lastRenderedPageBreak/>
        <w:t>b)</w:t>
      </w:r>
      <w:r>
        <w:tab/>
        <w:t>podrobné špecifikácie štatistických jednotiek a </w:t>
      </w:r>
      <w:proofErr w:type="spellStart"/>
      <w:r>
        <w:t>metaúdajov</w:t>
      </w:r>
      <w:proofErr w:type="spellEnd"/>
      <w:r>
        <w:t>;</w:t>
      </w:r>
    </w:p>
    <w:p w14:paraId="7F1054FC" w14:textId="77777777" w:rsidR="003A74C2" w:rsidRDefault="004C6683">
      <w:pPr>
        <w:spacing w:before="120" w:after="120" w:line="360" w:lineRule="auto"/>
        <w:ind w:left="1416" w:hanging="566"/>
        <w:rPr>
          <w:szCs w:val="24"/>
        </w:rPr>
      </w:pPr>
      <w:r>
        <w:t>c)</w:t>
      </w:r>
      <w:r>
        <w:tab/>
        <w:t>štatistické klasifikácie, ktoré sa majú použiť;</w:t>
      </w:r>
    </w:p>
    <w:p w14:paraId="30994E7E" w14:textId="77777777" w:rsidR="003A74C2" w:rsidRDefault="004C6683">
      <w:pPr>
        <w:spacing w:before="120" w:after="120" w:line="360" w:lineRule="auto"/>
        <w:ind w:left="1416" w:hanging="566"/>
        <w:rPr>
          <w:szCs w:val="24"/>
        </w:rPr>
      </w:pPr>
      <w:r>
        <w:t>d)</w:t>
      </w:r>
      <w:r>
        <w:tab/>
        <w:t>lehoty poskytovania.</w:t>
      </w:r>
    </w:p>
    <w:p w14:paraId="046516DD" w14:textId="77777777" w:rsidR="003A74C2" w:rsidRDefault="004C6683">
      <w:pPr>
        <w:spacing w:before="120" w:after="120" w:line="360" w:lineRule="auto"/>
        <w:ind w:left="850"/>
        <w:rPr>
          <w:szCs w:val="24"/>
        </w:rPr>
      </w:pPr>
      <w:r>
        <w:t>Uvedené vykonávacie akty sa prijmú v súlade s postupom preskúmania uvedeným v článku 18 ods. 2 najneskôr 12 mesiacov pred začiatkom referenčného času.</w:t>
      </w:r>
    </w:p>
    <w:p w14:paraId="352ABCA8" w14:textId="77777777" w:rsidR="003A74C2" w:rsidRDefault="003A74C2">
      <w:pPr>
        <w:spacing w:before="120" w:after="120" w:line="360" w:lineRule="auto"/>
        <w:jc w:val="center"/>
      </w:pPr>
    </w:p>
    <w:p w14:paraId="43943E7D" w14:textId="77777777" w:rsidR="003A74C2" w:rsidRDefault="004C6683">
      <w:pPr>
        <w:spacing w:before="120" w:after="120" w:line="360" w:lineRule="auto"/>
        <w:jc w:val="center"/>
      </w:pPr>
      <w:r>
        <w:t xml:space="preserve">Článok 8 </w:t>
      </w:r>
    </w:p>
    <w:p w14:paraId="292E29DD" w14:textId="77777777" w:rsidR="003A74C2" w:rsidRDefault="004C6683">
      <w:pPr>
        <w:spacing w:before="120" w:after="120" w:line="360" w:lineRule="auto"/>
        <w:jc w:val="center"/>
        <w:rPr>
          <w:szCs w:val="24"/>
        </w:rPr>
      </w:pPr>
      <w:r>
        <w:t>Súbory údajov a </w:t>
      </w:r>
      <w:proofErr w:type="spellStart"/>
      <w:r>
        <w:t>metaúdaje</w:t>
      </w:r>
      <w:proofErr w:type="spellEnd"/>
      <w:r>
        <w:t xml:space="preserve">, ktoré sa majú </w:t>
      </w:r>
      <w:r>
        <w:rPr>
          <w:b/>
          <w:bCs/>
          <w:i/>
          <w:iCs/>
        </w:rPr>
        <w:t>zasielať</w:t>
      </w:r>
      <w:r>
        <w:t xml:space="preserve"> Komisii</w:t>
      </w:r>
    </w:p>
    <w:p w14:paraId="6B08BEB3" w14:textId="77777777" w:rsidR="003A74C2" w:rsidRDefault="004C6683">
      <w:pPr>
        <w:spacing w:before="120" w:after="120" w:line="360" w:lineRule="auto"/>
        <w:ind w:left="850" w:hanging="850"/>
        <w:rPr>
          <w:szCs w:val="24"/>
        </w:rPr>
      </w:pPr>
      <w:r>
        <w:t>1.</w:t>
      </w:r>
      <w:r>
        <w:tab/>
        <w:t xml:space="preserve">Členské štáty </w:t>
      </w:r>
      <w:r>
        <w:rPr>
          <w:b/>
          <w:bCs/>
          <w:i/>
          <w:iCs/>
        </w:rPr>
        <w:t>zašlú Komisii (</w:t>
      </w:r>
      <w:proofErr w:type="spellStart"/>
      <w:r>
        <w:rPr>
          <w:b/>
          <w:bCs/>
          <w:i/>
          <w:iCs/>
        </w:rPr>
        <w:t>Eurostatu</w:t>
      </w:r>
      <w:proofErr w:type="spellEnd"/>
      <w:r>
        <w:rPr>
          <w:b/>
          <w:bCs/>
          <w:i/>
          <w:iCs/>
        </w:rPr>
        <w:t>)</w:t>
      </w:r>
      <w:r>
        <w:t xml:space="preserve"> vopred skontrolované súbory údajov a </w:t>
      </w:r>
      <w:proofErr w:type="spellStart"/>
      <w:r>
        <w:t>metaúdaje</w:t>
      </w:r>
      <w:proofErr w:type="spellEnd"/>
      <w:r>
        <w:t xml:space="preserve"> </w:t>
      </w:r>
      <w:r>
        <w:rPr>
          <w:b/>
          <w:bCs/>
          <w:i/>
          <w:iCs/>
        </w:rPr>
        <w:t xml:space="preserve">v súlade s prílohou </w:t>
      </w:r>
      <w:r>
        <w:t>s použitím technického formátu stanoveného Komisiou (</w:t>
      </w:r>
      <w:proofErr w:type="spellStart"/>
      <w:r>
        <w:t>Eurostatom</w:t>
      </w:r>
      <w:proofErr w:type="spellEnd"/>
      <w:r>
        <w:t>). Súbory údajov a </w:t>
      </w:r>
      <w:proofErr w:type="spellStart"/>
      <w:r>
        <w:t>metaúdaje</w:t>
      </w:r>
      <w:proofErr w:type="spellEnd"/>
      <w:r>
        <w:t xml:space="preserve"> sa Komisii (</w:t>
      </w:r>
      <w:proofErr w:type="spellStart"/>
      <w:r>
        <w:t>Eurostatu</w:t>
      </w:r>
      <w:proofErr w:type="spellEnd"/>
      <w:r>
        <w:t xml:space="preserve">) </w:t>
      </w:r>
      <w:r>
        <w:rPr>
          <w:b/>
          <w:bCs/>
          <w:i/>
          <w:iCs/>
        </w:rPr>
        <w:t>zasielajú</w:t>
      </w:r>
      <w:r>
        <w:t xml:space="preserve"> prostredníctvom služieb jednotného kontaktného miesta.</w:t>
      </w:r>
    </w:p>
    <w:p w14:paraId="4988DACE" w14:textId="77777777" w:rsidR="003A74C2" w:rsidRDefault="004C6683">
      <w:pPr>
        <w:spacing w:before="120" w:after="120" w:line="360" w:lineRule="auto"/>
        <w:ind w:left="850" w:hanging="850"/>
        <w:rPr>
          <w:szCs w:val="24"/>
        </w:rPr>
      </w:pPr>
      <w:r>
        <w:t>2.</w:t>
      </w:r>
      <w:r>
        <w:tab/>
        <w:t xml:space="preserve">Ak členské štáty zverejnia </w:t>
      </w:r>
      <w:r>
        <w:rPr>
          <w:b/>
          <w:bCs/>
          <w:i/>
          <w:iCs/>
        </w:rPr>
        <w:t>údaje</w:t>
      </w:r>
      <w:r>
        <w:t xml:space="preserve"> požadované podľa tohto nariadenia na národnej úrovni pred lehotami </w:t>
      </w:r>
      <w:r>
        <w:rPr>
          <w:b/>
          <w:bCs/>
          <w:i/>
          <w:iCs/>
        </w:rPr>
        <w:t>zasielania</w:t>
      </w:r>
      <w:r>
        <w:t xml:space="preserve"> stanovenými podľa článku 5 ods. 5 písm. d) a článku 7 ods. 5 písm. d), poskytnú ich Komisii (</w:t>
      </w:r>
      <w:proofErr w:type="spellStart"/>
      <w:r>
        <w:t>Eurostatu</w:t>
      </w:r>
      <w:proofErr w:type="spellEnd"/>
      <w:r>
        <w:t xml:space="preserve">) </w:t>
      </w:r>
      <w:r>
        <w:rPr>
          <w:b/>
          <w:bCs/>
          <w:i/>
          <w:iCs/>
        </w:rPr>
        <w:t>bez zbytočného odkladu, a to najneskôr do 21 kalendárnych dní od zverejnenia na národnej úrovni.</w:t>
      </w:r>
    </w:p>
    <w:p w14:paraId="223EDB64" w14:textId="77777777" w:rsidR="003A74C2" w:rsidRDefault="004C6683">
      <w:pPr>
        <w:spacing w:before="120" w:after="120" w:line="360" w:lineRule="auto"/>
        <w:ind w:left="850" w:hanging="850"/>
        <w:rPr>
          <w:szCs w:val="24"/>
        </w:rPr>
      </w:pPr>
      <w:r>
        <w:t>3.</w:t>
      </w:r>
      <w:r>
        <w:tab/>
        <w:t xml:space="preserve">Členské štáty </w:t>
      </w:r>
      <w:r>
        <w:rPr>
          <w:b/>
          <w:bCs/>
          <w:i/>
          <w:iCs/>
        </w:rPr>
        <w:t>zasielajú</w:t>
      </w:r>
      <w:r>
        <w:t xml:space="preserve"> Komisii (</w:t>
      </w:r>
      <w:proofErr w:type="spellStart"/>
      <w:r>
        <w:t>Eurostatu</w:t>
      </w:r>
      <w:proofErr w:type="spellEnd"/>
      <w:r>
        <w:t>):</w:t>
      </w:r>
    </w:p>
    <w:p w14:paraId="60735AE6" w14:textId="77777777" w:rsidR="003A74C2" w:rsidRDefault="004C6683">
      <w:pPr>
        <w:spacing w:before="120" w:after="120" w:line="360" w:lineRule="auto"/>
        <w:ind w:left="1416" w:hanging="566"/>
        <w:rPr>
          <w:szCs w:val="24"/>
        </w:rPr>
      </w:pPr>
      <w:r>
        <w:t>a)</w:t>
      </w:r>
      <w:r>
        <w:tab/>
        <w:t>revidované súbory údajov a </w:t>
      </w:r>
      <w:proofErr w:type="spellStart"/>
      <w:r>
        <w:t>metaúdaje</w:t>
      </w:r>
      <w:proofErr w:type="spellEnd"/>
      <w:r>
        <w:t>, ak sa revízia vykoná po prvom poskytnutí súborov údajov požadovaných podľa tohto nariadenia;</w:t>
      </w:r>
    </w:p>
    <w:p w14:paraId="44732603" w14:textId="77777777" w:rsidR="003A74C2" w:rsidRDefault="004C6683">
      <w:pPr>
        <w:spacing w:before="120" w:after="120" w:line="360" w:lineRule="auto"/>
        <w:ind w:left="1416" w:hanging="566"/>
        <w:rPr>
          <w:szCs w:val="24"/>
        </w:rPr>
      </w:pPr>
      <w:r>
        <w:t>b)</w:t>
      </w:r>
      <w:r>
        <w:tab/>
        <w:t>revidované súbory údajov a </w:t>
      </w:r>
      <w:proofErr w:type="spellStart"/>
      <w:r>
        <w:t>metaúdaje</w:t>
      </w:r>
      <w:proofErr w:type="spellEnd"/>
      <w:r>
        <w:t xml:space="preserve"> týkajúce sa príslušných časových radov, ak sa vykoná revízia súborov údajov, ktoré sa Komisii (</w:t>
      </w:r>
      <w:proofErr w:type="spellStart"/>
      <w:r>
        <w:t>Eurostatu</w:t>
      </w:r>
      <w:proofErr w:type="spellEnd"/>
      <w:r>
        <w:t xml:space="preserve">) poskytli pred uplatňovaním tohto nariadenia. </w:t>
      </w:r>
    </w:p>
    <w:p w14:paraId="10860F9E" w14:textId="77777777" w:rsidR="003A74C2" w:rsidRDefault="004C6683">
      <w:pPr>
        <w:spacing w:before="120" w:after="120" w:line="360" w:lineRule="auto"/>
        <w:ind w:left="850"/>
        <w:rPr>
          <w:szCs w:val="24"/>
        </w:rPr>
      </w:pPr>
      <w:r>
        <w:t>Revidované súbory údajov a </w:t>
      </w:r>
      <w:proofErr w:type="spellStart"/>
      <w:r>
        <w:t>metaúdaje</w:t>
      </w:r>
      <w:proofErr w:type="spellEnd"/>
      <w:r>
        <w:t xml:space="preserve"> sa </w:t>
      </w:r>
      <w:r>
        <w:rPr>
          <w:b/>
          <w:bCs/>
          <w:i/>
          <w:iCs/>
        </w:rPr>
        <w:t>zašlú do 14 kalendárnych dní od revízie</w:t>
      </w:r>
      <w:r>
        <w:t xml:space="preserve"> a doplnia sa o správy o kvalite v súlade s článkom 12.</w:t>
      </w:r>
    </w:p>
    <w:p w14:paraId="0211E1AA" w14:textId="77777777" w:rsidR="003A74C2" w:rsidRDefault="004C6683" w:rsidP="002419A3">
      <w:pPr>
        <w:spacing w:before="120" w:after="120" w:line="360" w:lineRule="auto"/>
        <w:ind w:left="850" w:firstLine="1"/>
        <w:rPr>
          <w:szCs w:val="24"/>
        </w:rPr>
      </w:pPr>
      <w:r>
        <w:rPr>
          <w:b/>
          <w:i/>
        </w:rPr>
        <w:t>Členské štáty bez zbytočného odkladu informujú Komisiu o každom rozhodnutí revidovať súbory údajov.</w:t>
      </w:r>
    </w:p>
    <w:p w14:paraId="030AF241" w14:textId="77777777" w:rsidR="003A74C2" w:rsidRDefault="004C6683">
      <w:pPr>
        <w:spacing w:before="120" w:after="120" w:line="360" w:lineRule="auto"/>
        <w:jc w:val="center"/>
      </w:pPr>
      <w:r>
        <w:t xml:space="preserve">Článok 9 </w:t>
      </w:r>
    </w:p>
    <w:p w14:paraId="55FC63A2" w14:textId="77777777" w:rsidR="003A74C2" w:rsidRDefault="004C6683">
      <w:pPr>
        <w:spacing w:before="120" w:after="120" w:line="360" w:lineRule="auto"/>
        <w:jc w:val="center"/>
        <w:rPr>
          <w:szCs w:val="24"/>
        </w:rPr>
      </w:pPr>
      <w:r>
        <w:t>Zdroje údajov a metódy</w:t>
      </w:r>
    </w:p>
    <w:p w14:paraId="4E871B48" w14:textId="77777777" w:rsidR="003A74C2" w:rsidRDefault="004C6683">
      <w:pPr>
        <w:spacing w:before="120" w:after="120" w:line="360" w:lineRule="auto"/>
        <w:ind w:left="850" w:hanging="850"/>
        <w:rPr>
          <w:szCs w:val="24"/>
        </w:rPr>
      </w:pPr>
      <w:r>
        <w:t>1.</w:t>
      </w:r>
      <w:r>
        <w:tab/>
        <w:t>Členské štáty a Komisia (</w:t>
      </w:r>
      <w:proofErr w:type="spellStart"/>
      <w:r>
        <w:t>Eurostat</w:t>
      </w:r>
      <w:proofErr w:type="spellEnd"/>
      <w:r>
        <w:t xml:space="preserve">) použijú jeden z nasledujúcich zdrojov údajov </w:t>
      </w:r>
      <w:r>
        <w:lastRenderedPageBreak/>
        <w:t>alebo ich kombináciu za predpokladu, že umožňujú tvorbu štatistiky, ktorá spĺňa požiadavky na kvalitu stanovené v článku 12:</w:t>
      </w:r>
    </w:p>
    <w:p w14:paraId="302E7EC3" w14:textId="77777777" w:rsidR="003A74C2" w:rsidRDefault="004C6683">
      <w:pPr>
        <w:spacing w:before="120" w:after="120" w:line="360" w:lineRule="auto"/>
        <w:ind w:left="1416" w:hanging="566"/>
        <w:rPr>
          <w:szCs w:val="24"/>
        </w:rPr>
      </w:pPr>
      <w:r>
        <w:t>a)</w:t>
      </w:r>
      <w:r>
        <w:tab/>
        <w:t>administratívne zdroje údajov;</w:t>
      </w:r>
    </w:p>
    <w:p w14:paraId="02C1BE02" w14:textId="77777777" w:rsidR="003A74C2" w:rsidRDefault="004C6683">
      <w:pPr>
        <w:spacing w:before="120" w:after="120" w:line="360" w:lineRule="auto"/>
        <w:ind w:left="1416" w:hanging="566"/>
        <w:rPr>
          <w:szCs w:val="24"/>
        </w:rPr>
      </w:pPr>
      <w:r>
        <w:t>b)</w:t>
      </w:r>
      <w:r>
        <w:tab/>
        <w:t>štatistické zisťovania alebo iné zbery štatistických údajov;</w:t>
      </w:r>
    </w:p>
    <w:p w14:paraId="5DA30AEC" w14:textId="77777777" w:rsidR="003A74C2" w:rsidRDefault="004C6683">
      <w:pPr>
        <w:spacing w:before="120" w:after="120" w:line="360" w:lineRule="auto"/>
        <w:ind w:left="1416" w:hanging="566"/>
        <w:rPr>
          <w:szCs w:val="24"/>
        </w:rPr>
      </w:pPr>
      <w:r>
        <w:t>c)</w:t>
      </w:r>
      <w:r>
        <w:tab/>
        <w:t>iné zdroje vrátane údajov v súkromnej držbe;</w:t>
      </w:r>
    </w:p>
    <w:p w14:paraId="52E6E26B" w14:textId="77777777" w:rsidR="003A74C2" w:rsidRDefault="004C6683">
      <w:pPr>
        <w:spacing w:before="120" w:after="120" w:line="360" w:lineRule="auto"/>
        <w:ind w:left="1416" w:hanging="566"/>
        <w:rPr>
          <w:szCs w:val="24"/>
        </w:rPr>
      </w:pPr>
      <w:r>
        <w:t>d)</w:t>
      </w:r>
      <w:r>
        <w:tab/>
        <w:t>opätovné použitie údajov získaných spoločným využívaním údajov medzi národnými štatistickými úradmi a Komisiou (</w:t>
      </w:r>
      <w:proofErr w:type="spellStart"/>
      <w:r>
        <w:t>Eurostatom</w:t>
      </w:r>
      <w:proofErr w:type="spellEnd"/>
      <w:r>
        <w:t>) v rámci Európskeho štatistického systému.</w:t>
      </w:r>
    </w:p>
    <w:p w14:paraId="7E88F5D0" w14:textId="77777777" w:rsidR="003A74C2" w:rsidRDefault="004C6683">
      <w:pPr>
        <w:spacing w:before="120" w:after="120" w:line="360" w:lineRule="auto"/>
        <w:ind w:left="850" w:hanging="850"/>
        <w:rPr>
          <w:szCs w:val="24"/>
        </w:rPr>
      </w:pPr>
      <w:r>
        <w:t>2.</w:t>
      </w:r>
      <w:r>
        <w:tab/>
        <w:t>Členské štáty posudzujú a monitorujú kvalitu svojich zdrojov údajov vrátane administratívnych záznamov a iných vhodných použitých zdrojov.</w:t>
      </w:r>
    </w:p>
    <w:p w14:paraId="674B2FAF" w14:textId="77777777" w:rsidR="003A74C2" w:rsidRDefault="004C6683">
      <w:pPr>
        <w:spacing w:before="120" w:after="120" w:line="360" w:lineRule="auto"/>
        <w:ind w:left="850" w:hanging="850"/>
        <w:rPr>
          <w:szCs w:val="24"/>
        </w:rPr>
      </w:pPr>
      <w:r>
        <w:t>3.</w:t>
      </w:r>
      <w:r>
        <w:tab/>
      </w:r>
      <w:r>
        <w:rPr>
          <w:b/>
          <w:i/>
        </w:rPr>
        <w:t xml:space="preserve">Členské štáty sa usilujú neustále rozvíjať inovačné zdroje a metódy a používať ich na zlepšovanie štatistiky zostavovanej podľa tohto nariadenia za predpokladu, že umožňujú tvorbu štatistiky, ktorá spĺňa požiadavky na kvalitu stanovené v článku 12. </w:t>
      </w:r>
      <w:r>
        <w:t>▌</w:t>
      </w:r>
    </w:p>
    <w:p w14:paraId="4A7147FB" w14:textId="4C998341" w:rsidR="003A74C2" w:rsidRDefault="004C6683">
      <w:pPr>
        <w:spacing w:before="120" w:after="120" w:line="360" w:lineRule="auto"/>
        <w:ind w:left="850" w:hanging="850"/>
        <w:rPr>
          <w:szCs w:val="24"/>
        </w:rPr>
      </w:pPr>
      <w:r>
        <w:t>4.</w:t>
      </w:r>
      <w:r>
        <w:tab/>
        <w:t>Štatistika zostavená podľa tohto nariadenia je založená na štatisticky spoľahlivých a riadne zdokumentovaných metódach, pričom sa v nej zohľadňujú medzinárodné odporúčania a osvedčené postupy, ako sú „známky života“ ▌ a iné vedecky podložené metódy štatistického odhadu používané na zostavovanie údajov o obyvateľoch s obvyklým bydliskom v členských štátoch.</w:t>
      </w:r>
    </w:p>
    <w:p w14:paraId="76E3483D" w14:textId="77777777" w:rsidR="003A74C2" w:rsidRDefault="004C6683">
      <w:pPr>
        <w:spacing w:before="120" w:after="120" w:line="360" w:lineRule="auto"/>
        <w:ind w:left="850" w:hanging="850"/>
        <w:rPr>
          <w:szCs w:val="24"/>
        </w:rPr>
      </w:pPr>
      <w:r>
        <w:t>5.</w:t>
      </w:r>
      <w:r>
        <w:tab/>
        <w:t xml:space="preserve">Na </w:t>
      </w:r>
      <w:r>
        <w:rPr>
          <w:b/>
          <w:bCs/>
          <w:i/>
          <w:iCs/>
        </w:rPr>
        <w:t>riadne odôvodnenú žiadosť Komisie (</w:t>
      </w:r>
      <w:proofErr w:type="spellStart"/>
      <w:r>
        <w:rPr>
          <w:b/>
          <w:bCs/>
          <w:i/>
          <w:iCs/>
        </w:rPr>
        <w:t>Eurostatu</w:t>
      </w:r>
      <w:proofErr w:type="spellEnd"/>
      <w:r>
        <w:rPr>
          <w:b/>
          <w:bCs/>
          <w:i/>
          <w:iCs/>
        </w:rPr>
        <w:t>)</w:t>
      </w:r>
      <w:r>
        <w:t xml:space="preserve"> členské štáty poskytnú Komisii (</w:t>
      </w:r>
      <w:proofErr w:type="spellStart"/>
      <w:r>
        <w:t>Eurostatu</w:t>
      </w:r>
      <w:proofErr w:type="spellEnd"/>
      <w:r>
        <w:t>) výsledky posúdenia zdrojov údajov, dokumentáciu metód a potrebné objasnenia.</w:t>
      </w:r>
    </w:p>
    <w:p w14:paraId="0857471F" w14:textId="77777777" w:rsidR="003A74C2" w:rsidRDefault="004C6683">
      <w:pPr>
        <w:spacing w:before="120" w:after="120" w:line="360" w:lineRule="auto"/>
        <w:jc w:val="center"/>
      </w:pPr>
      <w:r>
        <w:t xml:space="preserve">Článok 10 </w:t>
      </w:r>
    </w:p>
    <w:p w14:paraId="17502696" w14:textId="77777777" w:rsidR="003A74C2" w:rsidRDefault="004C6683">
      <w:pPr>
        <w:spacing w:before="120" w:after="120" w:line="360" w:lineRule="auto"/>
        <w:jc w:val="center"/>
        <w:rPr>
          <w:szCs w:val="24"/>
        </w:rPr>
      </w:pPr>
      <w:r>
        <w:t>Včasný prístup a opätovné použitie administratívnych údajov</w:t>
      </w:r>
    </w:p>
    <w:p w14:paraId="78E5166A" w14:textId="77777777" w:rsidR="003A74C2" w:rsidRDefault="004C6683">
      <w:pPr>
        <w:spacing w:before="120" w:after="120" w:line="360" w:lineRule="auto"/>
        <w:ind w:left="850" w:hanging="850"/>
        <w:rPr>
          <w:szCs w:val="24"/>
        </w:rPr>
      </w:pPr>
      <w:r>
        <w:t>1.</w:t>
      </w:r>
      <w:r>
        <w:tab/>
      </w:r>
      <w:r>
        <w:rPr>
          <w:b/>
          <w:bCs/>
          <w:i/>
          <w:iCs/>
        </w:rPr>
        <w:t>V súlade s článkom 17a nariadenia (ES) č. 223/2009</w:t>
      </w:r>
      <w:r>
        <w:t xml:space="preserve"> vnútroštátne orgány zodpovedné za administratívne zdroje údajov relevantné na účely tohto nariadenia umožnia opätovné použitie týchto údajov včas a s frekvenciou, ktorá je dostatočná na tvorbu a predkladanie štatistiky v lehotách a v súlade s osobitnými požiadavkami na kvalitu podľa tohto nariadenia. </w:t>
      </w:r>
      <w:r>
        <w:rPr>
          <w:b/>
          <w:bCs/>
          <w:i/>
          <w:iCs/>
        </w:rPr>
        <w:t xml:space="preserve">Národné štatistické orgány a vnútroštátne orgány zodpovedné za administratívne záznamy vytvoria potrebné mechanizmy spolupráce </w:t>
      </w:r>
      <w:r>
        <w:rPr>
          <w:b/>
          <w:bCs/>
          <w:i/>
          <w:iCs/>
        </w:rPr>
        <w:lastRenderedPageBreak/>
        <w:t>na zabezpečenie včasného a bezplatného prístupu k týmto záznamom</w:t>
      </w:r>
      <w:r>
        <w:t>.</w:t>
      </w:r>
    </w:p>
    <w:p w14:paraId="0799DD1E" w14:textId="75B61AC2" w:rsidR="003A74C2" w:rsidRDefault="004C6683">
      <w:pPr>
        <w:spacing w:before="120" w:after="120" w:line="360" w:lineRule="auto"/>
        <w:ind w:left="850" w:hanging="850"/>
        <w:rPr>
          <w:szCs w:val="24"/>
        </w:rPr>
      </w:pPr>
      <w:r>
        <w:rPr>
          <w:b/>
          <w:i/>
        </w:rPr>
        <w:t>1a.</w:t>
      </w:r>
      <w:r>
        <w:tab/>
      </w:r>
      <w:r>
        <w:rPr>
          <w:b/>
          <w:i/>
        </w:rPr>
        <w:t>Na účely tvorby štatistiky o čiastkovej téme energetických charakteristík budov musia mať národné štatistické orgány včasný a pravidelný prístup k vnútroštátnym databázam o energetickej hospodárnosti budov podľa smernice (EÚ) 2024/1275 a musia mať možnosť opätovne použiť administratívne údaje z týchto databáz.</w:t>
      </w:r>
    </w:p>
    <w:p w14:paraId="34C47E13" w14:textId="77777777" w:rsidR="003A74C2" w:rsidRDefault="004C6683">
      <w:pPr>
        <w:spacing w:before="120" w:after="120" w:line="360" w:lineRule="auto"/>
        <w:ind w:left="850" w:hanging="850"/>
        <w:rPr>
          <w:szCs w:val="24"/>
        </w:rPr>
      </w:pPr>
      <w:r>
        <w:rPr>
          <w:b/>
          <w:i/>
        </w:rPr>
        <w:t>1b.</w:t>
      </w:r>
      <w:r>
        <w:tab/>
      </w:r>
      <w:r>
        <w:rPr>
          <w:b/>
          <w:i/>
        </w:rPr>
        <w:t>Na účely členenia obyvateľstva podľa pohlavia používajú národné štatistické úrady informácie dostupné vo vnútroštátnych administratívnych zdrojoch údajov.</w:t>
      </w:r>
    </w:p>
    <w:p w14:paraId="71255EE3" w14:textId="77777777" w:rsidR="003A74C2" w:rsidRDefault="004C6683">
      <w:pPr>
        <w:spacing w:before="120" w:after="120" w:line="360" w:lineRule="auto"/>
        <w:ind w:left="850" w:hanging="850"/>
        <w:rPr>
          <w:szCs w:val="24"/>
        </w:rPr>
      </w:pPr>
      <w:r>
        <w:t>2.</w:t>
      </w:r>
      <w:r>
        <w:tab/>
        <w:t>Na účely tohto nariadenia sa Komisii (</w:t>
      </w:r>
      <w:proofErr w:type="spellStart"/>
      <w:r>
        <w:t>Eurostatu</w:t>
      </w:r>
      <w:proofErr w:type="spellEnd"/>
      <w:r>
        <w:t>) na požiadanie umožní včasný prístup k relevantným údajom a </w:t>
      </w:r>
      <w:proofErr w:type="spellStart"/>
      <w:r>
        <w:t>metaúdajom</w:t>
      </w:r>
      <w:proofErr w:type="spellEnd"/>
      <w:r>
        <w:t xml:space="preserve"> z databáz a systémov </w:t>
      </w:r>
      <w:proofErr w:type="spellStart"/>
      <w:r>
        <w:t>interoperability</w:t>
      </w:r>
      <w:proofErr w:type="spellEnd"/>
      <w:r>
        <w:t>, ktoré spravujú orgány a agentúry Únie, a to aj podľa nariadení (EÚ) č. 910/2014, (EÚ) 2018/1724, a k štatistickým údajom uloženým v centrálnom úložisku na účely podávania správ a štatistiky (CRRS).</w:t>
      </w:r>
      <w:r>
        <w:rPr>
          <w:b/>
          <w:i/>
        </w:rPr>
        <w:t xml:space="preserve"> </w:t>
      </w:r>
      <w:r>
        <w:rPr>
          <w:b/>
          <w:bCs/>
          <w:i/>
          <w:iCs/>
        </w:rPr>
        <w:t>Komisia (</w:t>
      </w:r>
      <w:proofErr w:type="spellStart"/>
      <w:r>
        <w:rPr>
          <w:b/>
          <w:bCs/>
          <w:i/>
          <w:iCs/>
        </w:rPr>
        <w:t>Eurostat</w:t>
      </w:r>
      <w:proofErr w:type="spellEnd"/>
      <w:r>
        <w:rPr>
          <w:b/>
          <w:bCs/>
          <w:i/>
          <w:iCs/>
        </w:rPr>
        <w:t xml:space="preserve">) získava prístup najmä k údajom z </w:t>
      </w:r>
      <w:proofErr w:type="spellStart"/>
      <w:r>
        <w:rPr>
          <w:b/>
          <w:bCs/>
          <w:i/>
          <w:iCs/>
        </w:rPr>
        <w:t>interoperabilných</w:t>
      </w:r>
      <w:proofErr w:type="spellEnd"/>
      <w:r>
        <w:rPr>
          <w:b/>
          <w:bCs/>
          <w:i/>
          <w:iCs/>
        </w:rPr>
        <w:t xml:space="preserve"> rozsiahlych informačných systémov (LSIT) v priestore slobody, bezpečnosti a spravodlivosti z CRRS</w:t>
      </w:r>
      <w:r>
        <w:t xml:space="preserve"> v súlade s nariadeniami (EÚ) 2019/817 a (EÚ) 2019/818 a nariadeniami, ktorými sa zriaďujú systémy, ktorých štatistické údaje sa uchovávajú v CRRS. Na tento účel Komisia (</w:t>
      </w:r>
      <w:proofErr w:type="spellStart"/>
      <w:r>
        <w:t>Eurostat</w:t>
      </w:r>
      <w:proofErr w:type="spellEnd"/>
      <w:r>
        <w:t>) ďalej spolupracuje s príslušnými orgánmi a agentúrami Únie s cieľom špecifikovať prispôsobené štatistické údaje a </w:t>
      </w:r>
      <w:proofErr w:type="spellStart"/>
      <w:r>
        <w:t>metaúdaje</w:t>
      </w:r>
      <w:proofErr w:type="spellEnd"/>
      <w:r>
        <w:t xml:space="preserve"> požadované, ak je to možné podľa práva Únie, pre európsku štatistiku obyvateľov, domov a bytov, operatívne spôsoby ich poskytovania a nevyhnutné sprievodné fyzické a logické záruky.</w:t>
      </w:r>
    </w:p>
    <w:p w14:paraId="41B62F50" w14:textId="77777777" w:rsidR="003A74C2" w:rsidRDefault="004C6683">
      <w:pPr>
        <w:spacing w:before="120" w:after="120" w:line="360" w:lineRule="auto"/>
        <w:jc w:val="center"/>
        <w:rPr>
          <w:szCs w:val="24"/>
        </w:rPr>
      </w:pPr>
      <w:r>
        <w:t>Článok 11</w:t>
      </w:r>
      <w:r>
        <w:br/>
        <w:t xml:space="preserve"> Zoznamy krajín a území</w:t>
      </w:r>
    </w:p>
    <w:p w14:paraId="0541EBDB" w14:textId="77777777" w:rsidR="003A74C2" w:rsidRDefault="004C6683">
      <w:pPr>
        <w:spacing w:before="120" w:after="120" w:line="360" w:lineRule="auto"/>
        <w:ind w:left="850" w:hanging="850"/>
        <w:rPr>
          <w:szCs w:val="24"/>
        </w:rPr>
      </w:pPr>
      <w:r>
        <w:t>1.</w:t>
      </w:r>
      <w:r>
        <w:tab/>
        <w:t>Ak súbory údajov obsahujú informácie podľa krajín alebo území, členské štáty použijú na účely tohto nariadenia a nariadenia (ES) č. 862/2007 osobitné členenia.</w:t>
      </w:r>
    </w:p>
    <w:p w14:paraId="4D01D13A" w14:textId="77777777" w:rsidR="003A74C2" w:rsidRDefault="004C6683">
      <w:pPr>
        <w:spacing w:before="120" w:after="120" w:line="360" w:lineRule="auto"/>
        <w:ind w:left="850" w:hanging="850"/>
        <w:rPr>
          <w:szCs w:val="24"/>
        </w:rPr>
      </w:pPr>
      <w:r>
        <w:t>2.</w:t>
      </w:r>
      <w:r>
        <w:tab/>
        <w:t>Komisia prijme vykonávacie akty, ktorými spresní alebo aktualizuje zoznamy krajín a </w:t>
      </w:r>
      <w:r>
        <w:rPr>
          <w:b/>
          <w:bCs/>
          <w:i/>
          <w:iCs/>
        </w:rPr>
        <w:t>území,</w:t>
      </w:r>
      <w:r>
        <w:t xml:space="preserve"> ktoré sa vzťahujú na členenia štatistík zostavených podľa tohto nariadenia. Uvedené vykonávacie akty sa prijmú v súlade s postupom preskúmania uvedeným v článku 18 ods. 2 tohto nariadenia. ▌</w:t>
      </w:r>
    </w:p>
    <w:p w14:paraId="59C47F67" w14:textId="77777777" w:rsidR="003A74C2" w:rsidRDefault="004C6683">
      <w:pPr>
        <w:spacing w:before="120" w:after="120" w:line="360" w:lineRule="auto"/>
        <w:ind w:left="850" w:hanging="850"/>
        <w:rPr>
          <w:szCs w:val="24"/>
        </w:rPr>
      </w:pPr>
      <w:r>
        <w:t>3.</w:t>
      </w:r>
      <w:r>
        <w:tab/>
        <w:t>Vykonávacie akty, ktorými sa mení viac ako jedna tretina kategórií členenia krajín alebo území, sa uplatňujú najskôr 12 mesiacov po nadobudnutí ich účinnosti.</w:t>
      </w:r>
    </w:p>
    <w:p w14:paraId="62586A62" w14:textId="77777777" w:rsidR="003A74C2" w:rsidRDefault="004C6683">
      <w:pPr>
        <w:spacing w:before="120" w:after="120" w:line="360" w:lineRule="auto"/>
        <w:jc w:val="center"/>
        <w:rPr>
          <w:szCs w:val="24"/>
        </w:rPr>
      </w:pPr>
      <w:r>
        <w:t>Článok 12</w:t>
      </w:r>
      <w:r>
        <w:br/>
      </w:r>
      <w:r>
        <w:lastRenderedPageBreak/>
        <w:t xml:space="preserve"> Požiadavky na kvalitu a podávanie správ o kvalite</w:t>
      </w:r>
    </w:p>
    <w:p w14:paraId="74F614E1" w14:textId="77777777" w:rsidR="003A74C2" w:rsidRDefault="004C6683">
      <w:pPr>
        <w:spacing w:before="120" w:after="120" w:line="360" w:lineRule="auto"/>
        <w:ind w:left="850" w:hanging="850"/>
        <w:rPr>
          <w:szCs w:val="24"/>
        </w:rPr>
      </w:pPr>
      <w:r>
        <w:t>1.</w:t>
      </w:r>
      <w:r>
        <w:tab/>
        <w:t xml:space="preserve">Členské štáty prijmú opatrenia potrebné na to, aby sa zabezpečila kvalita </w:t>
      </w:r>
      <w:r>
        <w:rPr>
          <w:b/>
          <w:bCs/>
          <w:i/>
          <w:iCs/>
        </w:rPr>
        <w:t>zasielaných</w:t>
      </w:r>
      <w:r>
        <w:t xml:space="preserve"> súborov údajov a </w:t>
      </w:r>
      <w:proofErr w:type="spellStart"/>
      <w:r>
        <w:t>metaúdajov</w:t>
      </w:r>
      <w:proofErr w:type="spellEnd"/>
      <w:r>
        <w:t>.</w:t>
      </w:r>
    </w:p>
    <w:p w14:paraId="1F8BEF6E" w14:textId="77777777" w:rsidR="003A74C2" w:rsidRDefault="004C6683">
      <w:pPr>
        <w:spacing w:before="120" w:after="120" w:line="360" w:lineRule="auto"/>
        <w:ind w:left="850" w:hanging="850"/>
        <w:rPr>
          <w:szCs w:val="24"/>
        </w:rPr>
      </w:pPr>
      <w:r>
        <w:t>2.</w:t>
      </w:r>
      <w:r>
        <w:tab/>
        <w:t>Členské štáty prijmú primerané a účinné opatrenia na účely:</w:t>
      </w:r>
    </w:p>
    <w:p w14:paraId="566D13D2" w14:textId="662D6A01" w:rsidR="003A74C2" w:rsidRDefault="004C6683">
      <w:pPr>
        <w:spacing w:before="120" w:after="120" w:line="360" w:lineRule="auto"/>
        <w:ind w:left="1416" w:hanging="566"/>
        <w:rPr>
          <w:szCs w:val="24"/>
        </w:rPr>
      </w:pPr>
      <w:r>
        <w:t>a)</w:t>
      </w:r>
      <w:r>
        <w:tab/>
        <w:t>uplatňovania pravidiel týkajúcich sa populačnej základne, ako sa stanovuje v článku 3, jednotne a nezávisle od použitých zdrojov údajov;</w:t>
      </w:r>
    </w:p>
    <w:p w14:paraId="319E365B" w14:textId="77777777" w:rsidR="003A74C2" w:rsidRDefault="004C6683">
      <w:pPr>
        <w:spacing w:before="120" w:after="120" w:line="360" w:lineRule="auto"/>
        <w:ind w:left="1416" w:hanging="566"/>
        <w:rPr>
          <w:szCs w:val="24"/>
        </w:rPr>
      </w:pPr>
      <w:r>
        <w:t>b)</w:t>
      </w:r>
      <w:r>
        <w:tab/>
        <w:t>zachytávania alebo odhadovania ťažko dostupných skupín obyvateľstva;</w:t>
      </w:r>
    </w:p>
    <w:p w14:paraId="1D981D73" w14:textId="77777777" w:rsidR="003A74C2" w:rsidRDefault="004C6683">
      <w:pPr>
        <w:spacing w:before="120" w:after="120" w:line="360" w:lineRule="auto"/>
        <w:ind w:left="1416" w:hanging="566"/>
        <w:rPr>
          <w:szCs w:val="24"/>
        </w:rPr>
      </w:pPr>
      <w:r>
        <w:t>c)</w:t>
      </w:r>
      <w:r>
        <w:tab/>
        <w:t>kontroly úplnosti a presnosti zahrnutého obyvateľstva v súlade s článkom 3;</w:t>
      </w:r>
    </w:p>
    <w:p w14:paraId="6FAE76D4" w14:textId="77777777" w:rsidR="003A74C2" w:rsidRDefault="004C6683">
      <w:pPr>
        <w:spacing w:before="120" w:after="120" w:line="360" w:lineRule="auto"/>
        <w:ind w:left="1416" w:hanging="566"/>
        <w:rPr>
          <w:szCs w:val="24"/>
        </w:rPr>
      </w:pPr>
      <w:r>
        <w:t>d)</w:t>
      </w:r>
      <w:r>
        <w:tab/>
        <w:t>stanovenia opôr výberu, ktoré sú vhodné na účely tohto nariadenia a článku 12 nariadenia (EÚ) 2019/1700;</w:t>
      </w:r>
    </w:p>
    <w:p w14:paraId="131189BF" w14:textId="77777777" w:rsidR="003A74C2" w:rsidRDefault="004C6683">
      <w:pPr>
        <w:spacing w:before="120" w:after="120" w:line="360" w:lineRule="auto"/>
        <w:ind w:left="1416" w:hanging="566"/>
        <w:rPr>
          <w:szCs w:val="24"/>
        </w:rPr>
      </w:pPr>
      <w:r>
        <w:t>e)</w:t>
      </w:r>
      <w:r>
        <w:tab/>
        <w:t xml:space="preserve">zabránenia možným rizikám nezapočítania alebo dvojitého započítania v súvislosti s voľným pohybom osôb v Únii, s prístupom osôb k cezhraničným službám spojeným s demografickými udalosťami a s právami osôb na cezhraničný nákup, vlastnenie a užívanie nehnuteľnosti na bývanie v celej Únii, </w:t>
      </w:r>
      <w:r>
        <w:rPr>
          <w:b/>
          <w:bCs/>
          <w:i/>
          <w:iCs/>
        </w:rPr>
        <w:t>napríklad zavedením jednotných digitálnych identifikátorov</w:t>
      </w:r>
      <w:r>
        <w:t>;</w:t>
      </w:r>
    </w:p>
    <w:p w14:paraId="22DE1910" w14:textId="77777777" w:rsidR="003A74C2" w:rsidRDefault="004C6683">
      <w:pPr>
        <w:spacing w:before="120" w:after="120" w:line="360" w:lineRule="auto"/>
        <w:ind w:left="1416" w:hanging="566"/>
        <w:rPr>
          <w:szCs w:val="24"/>
        </w:rPr>
      </w:pPr>
      <w:r>
        <w:t>f)</w:t>
      </w:r>
      <w:r>
        <w:tab/>
        <w:t>zabránenia možným rizikám nezapočítania alebo dvojitého započítania a zabezpečenia lepšej porovnateľnosti migračných tokov;</w:t>
      </w:r>
    </w:p>
    <w:p w14:paraId="3D7448E3" w14:textId="77777777" w:rsidR="003A74C2" w:rsidRDefault="004C6683">
      <w:pPr>
        <w:spacing w:before="120" w:after="120" w:line="360" w:lineRule="auto"/>
        <w:ind w:left="1416" w:hanging="566"/>
        <w:rPr>
          <w:szCs w:val="24"/>
        </w:rPr>
      </w:pPr>
      <w:r>
        <w:t>g)</w:t>
      </w:r>
      <w:r>
        <w:tab/>
        <w:t>poskytnutia všetkých údajov Komisii (</w:t>
      </w:r>
      <w:proofErr w:type="spellStart"/>
      <w:r>
        <w:t>Eurostatu</w:t>
      </w:r>
      <w:proofErr w:type="spellEnd"/>
      <w:r>
        <w:t>) potrebných na zabezpečenie úplnosti zverejňovanej európskej štatistiky.</w:t>
      </w:r>
    </w:p>
    <w:p w14:paraId="311D10A5" w14:textId="77777777" w:rsidR="003A74C2" w:rsidRDefault="004C6683">
      <w:pPr>
        <w:spacing w:before="120" w:after="120" w:line="360" w:lineRule="auto"/>
        <w:ind w:left="851" w:hanging="851"/>
        <w:rPr>
          <w:szCs w:val="24"/>
        </w:rPr>
      </w:pPr>
      <w:r>
        <w:rPr>
          <w:b/>
          <w:i/>
        </w:rPr>
        <w:t>2a.</w:t>
      </w:r>
      <w:r>
        <w:tab/>
      </w:r>
      <w:r>
        <w:rPr>
          <w:b/>
          <w:i/>
        </w:rPr>
        <w:t>Komisia (</w:t>
      </w:r>
      <w:proofErr w:type="spellStart"/>
      <w:r>
        <w:rPr>
          <w:b/>
          <w:i/>
        </w:rPr>
        <w:t>Eurostat</w:t>
      </w:r>
      <w:proofErr w:type="spellEnd"/>
      <w:r>
        <w:rPr>
          <w:b/>
          <w:i/>
        </w:rPr>
        <w:t xml:space="preserve">) posúdi kvalitu </w:t>
      </w:r>
      <w:proofErr w:type="spellStart"/>
      <w:r>
        <w:rPr>
          <w:b/>
          <w:i/>
        </w:rPr>
        <w:t>metaúdajov</w:t>
      </w:r>
      <w:proofErr w:type="spellEnd"/>
      <w:r>
        <w:rPr>
          <w:b/>
          <w:i/>
        </w:rPr>
        <w:t xml:space="preserve"> o špecifikáciách údajov s cieľom, okrem iného, uverejniť ich používateľsky ústretovým spôsobom na webovom sídle Komisie (</w:t>
      </w:r>
      <w:proofErr w:type="spellStart"/>
      <w:r>
        <w:rPr>
          <w:b/>
          <w:i/>
        </w:rPr>
        <w:t>Eurostatu</w:t>
      </w:r>
      <w:proofErr w:type="spellEnd"/>
      <w:r>
        <w:rPr>
          <w:b/>
          <w:i/>
        </w:rPr>
        <w:t>).</w:t>
      </w:r>
    </w:p>
    <w:p w14:paraId="43145E29" w14:textId="77777777" w:rsidR="003A74C2" w:rsidRDefault="004C6683">
      <w:pPr>
        <w:spacing w:before="120" w:after="120" w:line="360" w:lineRule="auto"/>
        <w:ind w:left="850" w:hanging="850"/>
        <w:rPr>
          <w:szCs w:val="24"/>
        </w:rPr>
      </w:pPr>
      <w:r>
        <w:t>3.</w:t>
      </w:r>
      <w:r>
        <w:tab/>
        <w:t>Členské štáty zašlú Komisii (</w:t>
      </w:r>
      <w:proofErr w:type="spellStart"/>
      <w:r>
        <w:t>Eurostatu</w:t>
      </w:r>
      <w:proofErr w:type="spellEnd"/>
      <w:r>
        <w:t>) po prvý raz do 31. marca 2027 a následne každý rok končiaci sa číslicou „0“, „3“ alebo „7“ správu o kvalite s opisom kvality poskytovanej štatistiky a štatistických procesov v prípade súborov údajov poskytnutých počas daného obdobia.</w:t>
      </w:r>
      <w:r>
        <w:rPr>
          <w:b/>
          <w:i/>
        </w:rPr>
        <w:t xml:space="preserve"> </w:t>
      </w:r>
      <w:r>
        <w:rPr>
          <w:b/>
          <w:bCs/>
          <w:i/>
          <w:iCs/>
        </w:rPr>
        <w:t>Tieto správy o kvalite obsahujú informácie</w:t>
      </w:r>
      <w:r>
        <w:t xml:space="preserve"> o použitých zdrojoch údajov a metódach, uplatňovaní pojmov a definícií a súvisiacich možných vplyvoch na kvalitu vybraných zdrojov údajov, revízie údajov a ich dôvody a vplyvy a metódy kontroly štatistického zverejňovania.</w:t>
      </w:r>
      <w:r>
        <w:rPr>
          <w:b/>
          <w:i/>
        </w:rPr>
        <w:t xml:space="preserve"> </w:t>
      </w:r>
      <w:r>
        <w:rPr>
          <w:b/>
          <w:bCs/>
          <w:i/>
          <w:iCs/>
        </w:rPr>
        <w:t xml:space="preserve">V správach o kvalite sa takisto podrobne uvádza, ako členské štáty uplatňovali opatrenia uvedené v odseku </w:t>
      </w:r>
      <w:r>
        <w:rPr>
          <w:b/>
          <w:bCs/>
          <w:i/>
          <w:iCs/>
        </w:rPr>
        <w:lastRenderedPageBreak/>
        <w:t>1 a ako boli splnené</w:t>
      </w:r>
      <w:r>
        <w:t xml:space="preserve"> kritériá kvality uvedené v odseku 2.</w:t>
      </w:r>
    </w:p>
    <w:p w14:paraId="7F6D2B06" w14:textId="77777777" w:rsidR="003A74C2" w:rsidRDefault="004C6683">
      <w:pPr>
        <w:spacing w:before="120" w:after="120" w:line="360" w:lineRule="auto"/>
        <w:ind w:left="850" w:hanging="850"/>
        <w:rPr>
          <w:szCs w:val="24"/>
        </w:rPr>
      </w:pPr>
      <w:r>
        <w:t>4.</w:t>
      </w:r>
      <w:r>
        <w:tab/>
        <w:t xml:space="preserve">Komisia prijme vykonávacie akty, ktorými sa stanovia praktické podrobnosti týkajúce sa správ o kvalite a ich obsahu. </w:t>
      </w:r>
    </w:p>
    <w:p w14:paraId="1A18871C" w14:textId="77777777" w:rsidR="003A74C2" w:rsidRDefault="004C6683">
      <w:pPr>
        <w:spacing w:before="120" w:after="120" w:line="360" w:lineRule="auto"/>
        <w:ind w:left="850" w:hanging="130"/>
        <w:rPr>
          <w:szCs w:val="24"/>
        </w:rPr>
      </w:pPr>
      <w:r>
        <w:t xml:space="preserve">Tieto vykonávacie akty </w:t>
      </w:r>
      <w:r>
        <w:rPr>
          <w:b/>
          <w:bCs/>
          <w:i/>
          <w:iCs/>
        </w:rPr>
        <w:t>nesmú spôsobovať členským štátom výrazné dodatočné zaťaženie alebo náklady</w:t>
      </w:r>
      <w:r>
        <w:t xml:space="preserve">. </w:t>
      </w:r>
    </w:p>
    <w:p w14:paraId="3A03EF73" w14:textId="77777777" w:rsidR="003A74C2" w:rsidRDefault="004C6683">
      <w:pPr>
        <w:spacing w:before="120" w:after="120" w:line="360" w:lineRule="auto"/>
        <w:ind w:left="850" w:hanging="130"/>
        <w:rPr>
          <w:szCs w:val="24"/>
        </w:rPr>
      </w:pPr>
      <w:r>
        <w:t>Prijímajú sa v súlade s postupom preskúmania uvedeným v článku 18 ods. 2.</w:t>
      </w:r>
    </w:p>
    <w:p w14:paraId="4405E40C" w14:textId="77777777" w:rsidR="003A74C2" w:rsidRDefault="004C6683">
      <w:pPr>
        <w:spacing w:before="120" w:after="120" w:line="360" w:lineRule="auto"/>
        <w:ind w:left="850" w:hanging="850"/>
        <w:rPr>
          <w:szCs w:val="24"/>
        </w:rPr>
      </w:pPr>
      <w:r>
        <w:rPr>
          <w:b/>
          <w:i/>
        </w:rPr>
        <w:t>4a.</w:t>
      </w:r>
      <w:r>
        <w:tab/>
      </w:r>
      <w:r>
        <w:rPr>
          <w:b/>
          <w:i/>
        </w:rPr>
        <w:t>Každá významná úprava stanovená v takýchto vykonávacích aktoch môže byť predmetom finančnej a technickej podpory podľa článku 15 alebo výnimky podľa článku 19 ods. 1a.</w:t>
      </w:r>
    </w:p>
    <w:p w14:paraId="310A6EF6" w14:textId="77777777" w:rsidR="003A74C2" w:rsidRDefault="004C6683">
      <w:pPr>
        <w:spacing w:before="120" w:after="120" w:line="360" w:lineRule="auto"/>
        <w:ind w:left="850" w:hanging="850"/>
        <w:rPr>
          <w:szCs w:val="24"/>
        </w:rPr>
      </w:pPr>
      <w:r>
        <w:t>5.</w:t>
      </w:r>
      <w:r>
        <w:tab/>
        <w:t>Členské štáty čo najskôr oznámia Komisii (</w:t>
      </w:r>
      <w:proofErr w:type="spellStart"/>
      <w:r>
        <w:t>Eurostatu</w:t>
      </w:r>
      <w:proofErr w:type="spellEnd"/>
      <w:r>
        <w:t xml:space="preserve">) všetky relevantné informácie alebo zmeny v súvislosti s vykonávaním tohto nariadenia, ktoré by ovplyvnili kvalitu poskytovanej štatistiky </w:t>
      </w:r>
      <w:r>
        <w:rPr>
          <w:b/>
          <w:bCs/>
          <w:i/>
          <w:iCs/>
        </w:rPr>
        <w:t>a bezodkladne prijmú opatrenia na vyriešenie problému.</w:t>
      </w:r>
    </w:p>
    <w:p w14:paraId="784F9B98" w14:textId="77777777" w:rsidR="003A74C2" w:rsidRDefault="004C6683">
      <w:pPr>
        <w:spacing w:before="120" w:after="120" w:line="360" w:lineRule="auto"/>
        <w:ind w:left="850" w:hanging="850"/>
        <w:rPr>
          <w:szCs w:val="24"/>
        </w:rPr>
      </w:pPr>
      <w:r>
        <w:t>6.</w:t>
      </w:r>
      <w:r>
        <w:tab/>
        <w:t>Na základe riadne odôvodnenej žiadosti Komisie (</w:t>
      </w:r>
      <w:proofErr w:type="spellStart"/>
      <w:r>
        <w:t>Eurostatu</w:t>
      </w:r>
      <w:proofErr w:type="spellEnd"/>
      <w:r>
        <w:t xml:space="preserve">) členské štáty bez zbytočného odkladu poskytnú doplňujúce objasnenia potrebné na vyhodnotenie kvality </w:t>
      </w:r>
      <w:r>
        <w:rPr>
          <w:b/>
          <w:bCs/>
          <w:i/>
          <w:iCs/>
        </w:rPr>
        <w:t>štatistických informácií, ako sú výsledky posúdenia zdrojov údajov a dokumentácia metód</w:t>
      </w:r>
      <w:r>
        <w:t>.</w:t>
      </w:r>
    </w:p>
    <w:p w14:paraId="21111A52" w14:textId="77777777" w:rsidR="003A74C2" w:rsidRDefault="004C6683">
      <w:pPr>
        <w:spacing w:before="120" w:after="120" w:line="360" w:lineRule="auto"/>
        <w:jc w:val="center"/>
        <w:rPr>
          <w:szCs w:val="24"/>
        </w:rPr>
      </w:pPr>
      <w:r>
        <w:t>Článok 13</w:t>
      </w:r>
      <w:r>
        <w:br/>
        <w:t xml:space="preserve"> Spoločné využívanie údajov</w:t>
      </w:r>
    </w:p>
    <w:p w14:paraId="282B7842" w14:textId="77777777" w:rsidR="003A74C2" w:rsidRDefault="004C6683">
      <w:pPr>
        <w:spacing w:before="120" w:after="120" w:line="360" w:lineRule="auto"/>
        <w:ind w:left="850" w:hanging="850"/>
        <w:rPr>
          <w:szCs w:val="24"/>
        </w:rPr>
      </w:pPr>
      <w:r>
        <w:t>1.</w:t>
      </w:r>
      <w:r>
        <w:tab/>
      </w:r>
      <w:r>
        <w:rPr>
          <w:b/>
          <w:bCs/>
          <w:i/>
          <w:iCs/>
        </w:rPr>
        <w:t>Účelom výmeny údajov medzi národnými štatistickými úradmi a inými vnútroštátnymi orgánmi uvedenými v zozname uvedenom v článku 5 ods. 2 nariadenia (ES) č. 223/2009 (národné štatistické úrady) a medzi týmito národnými štatistickými úradmi</w:t>
      </w:r>
      <w:r>
        <w:t xml:space="preserve"> a Komisiou (</w:t>
      </w:r>
      <w:proofErr w:type="spellStart"/>
      <w:r>
        <w:t>Eurostatom</w:t>
      </w:r>
      <w:proofErr w:type="spellEnd"/>
      <w:r>
        <w:t xml:space="preserve">) </w:t>
      </w:r>
      <w:r>
        <w:rPr>
          <w:b/>
          <w:bCs/>
          <w:i/>
          <w:iCs/>
        </w:rPr>
        <w:t>musí byť</w:t>
      </w:r>
      <w:r>
        <w:t xml:space="preserve"> výlučne rozvíjať a tvoriť európsku štatistiku, ktorá patrí do rozsahu pôsobnosti tohto nariadenia, a zlepšiť ich kvalitu.</w:t>
      </w:r>
    </w:p>
    <w:p w14:paraId="26B145DC" w14:textId="77777777" w:rsidR="003A74C2" w:rsidRDefault="004C6683">
      <w:pPr>
        <w:spacing w:before="120" w:after="120" w:line="360" w:lineRule="auto"/>
        <w:ind w:left="850" w:hanging="850"/>
        <w:rPr>
          <w:szCs w:val="24"/>
        </w:rPr>
      </w:pPr>
      <w:r>
        <w:t>2.</w:t>
      </w:r>
      <w:r>
        <w:tab/>
        <w:t xml:space="preserve">V záujme bezpečného spoločného využívania údajov v rámci ESS </w:t>
      </w:r>
      <w:r>
        <w:rPr>
          <w:b/>
          <w:bCs/>
          <w:i/>
          <w:iCs/>
        </w:rPr>
        <w:t xml:space="preserve">vrátane bezpečnej infraštruktúry spoločného využívania údajov </w:t>
      </w:r>
      <w:r>
        <w:t xml:space="preserve">sa prijmú všetky potrebné záruky, pokiaľ ide o fyzickú, </w:t>
      </w:r>
      <w:r>
        <w:rPr>
          <w:b/>
          <w:bCs/>
          <w:i/>
          <w:iCs/>
        </w:rPr>
        <w:t>technickú</w:t>
      </w:r>
      <w:r>
        <w:t xml:space="preserve"> a logickú ochranu údajov. Komisia (</w:t>
      </w:r>
      <w:proofErr w:type="spellStart"/>
      <w:r>
        <w:t>Eurostat</w:t>
      </w:r>
      <w:proofErr w:type="spellEnd"/>
      <w:r>
        <w:t xml:space="preserve">) vytvorí bezpečnú infraštruktúru na uľahčenie spoločného využívania údajov uvedeného v odseku 1. Vnútroštátne štatistické orgány </w:t>
      </w:r>
      <w:r>
        <w:rPr>
          <w:b/>
          <w:bCs/>
          <w:i/>
          <w:iCs/>
        </w:rPr>
        <w:t>môžu túto bezpečnú infraštruktúru spoločného využívania údajov využívať na účely uvedené v odseku 1</w:t>
      </w:r>
      <w:r>
        <w:t>.</w:t>
      </w:r>
      <w:r>
        <w:rPr>
          <w:b/>
          <w:i/>
        </w:rPr>
        <w:t xml:space="preserve"> </w:t>
      </w:r>
      <w:r>
        <w:t>Komisia (</w:t>
      </w:r>
      <w:proofErr w:type="spellStart"/>
      <w:r>
        <w:t>Eurostat</w:t>
      </w:r>
      <w:proofErr w:type="spellEnd"/>
      <w:r>
        <w:t xml:space="preserve">) a vnútroštátne štatistické orgány, ktoré používajú túto </w:t>
      </w:r>
      <w:r>
        <w:lastRenderedPageBreak/>
        <w:t xml:space="preserve">bezpečnú infraštruktúru spoločného využívania údajov na spracúvanie osobných údajov v súlade s odsekom 3, </w:t>
      </w:r>
      <w:r>
        <w:rPr>
          <w:b/>
          <w:bCs/>
          <w:i/>
          <w:iCs/>
        </w:rPr>
        <w:t>sa považujú za spoločných prevádzkovateľov na spracúvanie osobných údajov v bezpečnej infraštruktúre spoločného využívania údajov</w:t>
      </w:r>
      <w:r>
        <w:t>.</w:t>
      </w:r>
      <w:r>
        <w:rPr>
          <w:b/>
          <w:i/>
        </w:rPr>
        <w:t xml:space="preserve"> </w:t>
      </w:r>
      <w:r>
        <w:rPr>
          <w:b/>
          <w:bCs/>
          <w:i/>
          <w:iCs/>
        </w:rPr>
        <w:t>V prípade, že vnútroštátne štatistické orgány používajú inú infraštruktúru spoločného využívania údajov, zabezpečia, aby takáto infraštruktúra poskytovala aspoň takú bezpečnosť ako infraštruktúra zriadená Komisiou (</w:t>
      </w:r>
      <w:proofErr w:type="spellStart"/>
      <w:r>
        <w:rPr>
          <w:b/>
          <w:bCs/>
          <w:i/>
          <w:iCs/>
        </w:rPr>
        <w:t>Eurostatom</w:t>
      </w:r>
      <w:proofErr w:type="spellEnd"/>
      <w:r>
        <w:rPr>
          <w:b/>
          <w:bCs/>
          <w:i/>
          <w:iCs/>
        </w:rPr>
        <w:t>).</w:t>
      </w:r>
    </w:p>
    <w:p w14:paraId="79D1C024" w14:textId="774886FF" w:rsidR="003A74C2" w:rsidRDefault="004C6683">
      <w:pPr>
        <w:spacing w:before="120" w:after="120" w:line="360" w:lineRule="auto"/>
        <w:ind w:left="850" w:hanging="850"/>
        <w:rPr>
          <w:szCs w:val="24"/>
        </w:rPr>
      </w:pPr>
      <w:r>
        <w:t>3.</w:t>
      </w:r>
      <w:r>
        <w:tab/>
        <w:t>Ak ide o dôverné údaje v zmysle článku 3 bodu 7 nariadenia (ES) č. 223/2009 alebo osobné údaje podľa nariadení (EÚ) 2016/679 a (EÚ) 2018/1725, spoločné využívanie takýchto údajov ▌ sa môže uskutočňovať na dobrovoľnom základe za predpokladu, že:</w:t>
      </w:r>
    </w:p>
    <w:p w14:paraId="7EC52042" w14:textId="77777777" w:rsidR="003A74C2" w:rsidRDefault="004C6683">
      <w:pPr>
        <w:spacing w:before="120" w:after="120" w:line="360" w:lineRule="auto"/>
        <w:ind w:left="1416" w:hanging="566"/>
        <w:rPr>
          <w:szCs w:val="24"/>
        </w:rPr>
      </w:pPr>
      <w:r>
        <w:t>a)</w:t>
      </w:r>
      <w:r>
        <w:tab/>
        <w:t>je založené na žiadosti odôvodňujúcej potrebu spoločného využívania údajov v každom jednotlivom prípade, najmä pokiaľ ide o otázky kvality, ktoré sa majú konkrétne riešiť;</w:t>
      </w:r>
    </w:p>
    <w:p w14:paraId="6B73757E" w14:textId="346FCE49" w:rsidR="003A74C2" w:rsidRDefault="004C6683">
      <w:pPr>
        <w:spacing w:before="120" w:after="120" w:line="360" w:lineRule="auto"/>
        <w:ind w:left="1416" w:hanging="566"/>
        <w:rPr>
          <w:szCs w:val="24"/>
        </w:rPr>
      </w:pPr>
      <w:r>
        <w:t>b)</w:t>
      </w:r>
      <w:r>
        <w:tab/>
        <w:t>je založené ▌ na technológiách na zvyšovanie súkromia, ktoré sú špeciálne navrhnuté tak, aby sa nimi vykonávali zásady nariadení (EÚ) 2016/679 a (EÚ) 2018/1725, najmä pokiaľ ide o obmedzenie účelu, minimalizáciu údajov, minimalizáciu uchovávania, integritu a dôvernosť;</w:t>
      </w:r>
    </w:p>
    <w:p w14:paraId="476F43CE" w14:textId="77777777" w:rsidR="003A74C2" w:rsidRDefault="004C6683">
      <w:pPr>
        <w:spacing w:before="120" w:after="120" w:line="360" w:lineRule="auto"/>
        <w:ind w:left="1416" w:hanging="566"/>
        <w:rPr>
          <w:szCs w:val="24"/>
        </w:rPr>
      </w:pPr>
      <w:r>
        <w:t>c)</w:t>
      </w:r>
      <w:r>
        <w:tab/>
        <w:t>nemá vplyv na kapitolu V nariadenia (ES) č. 223/2009.</w:t>
      </w:r>
    </w:p>
    <w:p w14:paraId="1289185F" w14:textId="77777777" w:rsidR="003A74C2" w:rsidRDefault="004C6683">
      <w:pPr>
        <w:spacing w:before="120" w:after="120" w:line="360" w:lineRule="auto"/>
        <w:ind w:left="850" w:hanging="850"/>
        <w:rPr>
          <w:szCs w:val="24"/>
        </w:rPr>
      </w:pPr>
      <w:r>
        <w:rPr>
          <w:b/>
          <w:i/>
        </w:rPr>
        <w:t>3a.</w:t>
      </w:r>
      <w:r>
        <w:tab/>
      </w:r>
      <w:r>
        <w:rPr>
          <w:b/>
          <w:i/>
        </w:rPr>
        <w:t>Na účely spoločného využívania údajov uvedeného v odseku 1 údaje, ktoré nemajú dôverný charakter, sa spoločne využívajú medzi národnými štatistickými úradmi a inými vnútroštátnymi orgánmi rôznych členských štátov a medzi týmito národnými štatistickými úradmi a Komisiou (</w:t>
      </w:r>
      <w:proofErr w:type="spellStart"/>
      <w:r>
        <w:rPr>
          <w:b/>
          <w:i/>
        </w:rPr>
        <w:t>Eurostatom</w:t>
      </w:r>
      <w:proofErr w:type="spellEnd"/>
      <w:r>
        <w:rPr>
          <w:b/>
          <w:i/>
        </w:rPr>
        <w:t>).</w:t>
      </w:r>
    </w:p>
    <w:p w14:paraId="3078A285" w14:textId="77777777" w:rsidR="003A74C2" w:rsidRDefault="004C6683">
      <w:pPr>
        <w:spacing w:before="120" w:after="120" w:line="360" w:lineRule="auto"/>
        <w:ind w:left="850" w:hanging="850"/>
        <w:rPr>
          <w:szCs w:val="24"/>
        </w:rPr>
      </w:pPr>
      <w:r>
        <w:t>4.</w:t>
      </w:r>
      <w:r>
        <w:tab/>
        <w:t>Komisia (</w:t>
      </w:r>
      <w:proofErr w:type="spellStart"/>
      <w:r>
        <w:t>Eurostat</w:t>
      </w:r>
      <w:proofErr w:type="spellEnd"/>
      <w:r>
        <w:t xml:space="preserve">) a členské štáty prostredníctvom pilotných štúdií otestujú a posúdia </w:t>
      </w:r>
      <w:r>
        <w:rPr>
          <w:b/>
          <w:bCs/>
          <w:i/>
          <w:iCs/>
        </w:rPr>
        <w:t xml:space="preserve">infraštruktúru pre príslušné technológie na zvyšovanie súkromia na spoločné využívanie údajov a ich </w:t>
      </w:r>
      <w:r>
        <w:t>vhodnosť.</w:t>
      </w:r>
    </w:p>
    <w:p w14:paraId="1EFF9006" w14:textId="77777777" w:rsidR="003A74C2" w:rsidRDefault="004C6683">
      <w:pPr>
        <w:spacing w:before="120" w:after="120" w:line="360" w:lineRule="auto"/>
        <w:ind w:left="850" w:hanging="850"/>
        <w:rPr>
          <w:szCs w:val="24"/>
        </w:rPr>
      </w:pPr>
      <w:r>
        <w:t>5.</w:t>
      </w:r>
      <w:r>
        <w:tab/>
        <w:t xml:space="preserve">Ak sa v pilotných štúdiách </w:t>
      </w:r>
      <w:r>
        <w:rPr>
          <w:b/>
          <w:bCs/>
          <w:i/>
          <w:iCs/>
        </w:rPr>
        <w:t xml:space="preserve">uskutočnených </w:t>
      </w:r>
      <w:r>
        <w:t>podľa odseku 4 tohto článku identifikujú účinné a bezpečné riešenia týkajúce sa spoločného využívania údajov na účely uvedené v odseku 1 tohto článku, Komisia môže prijať vykonávacie akty, v ktorých stanoví technické špecifikácie spoločného využívania údajov a opatrenia pre dôvernosť a bezpečnosť informácií. Takéto vykonávacie akty sa prijímajú v súlade s postupom preskúmania uvedeným v článku 18 ods. 2.</w:t>
      </w:r>
    </w:p>
    <w:p w14:paraId="4D450980" w14:textId="77777777" w:rsidR="003A74C2" w:rsidRDefault="004C6683">
      <w:pPr>
        <w:spacing w:before="120" w:after="120" w:line="360" w:lineRule="auto"/>
        <w:jc w:val="center"/>
        <w:rPr>
          <w:szCs w:val="24"/>
        </w:rPr>
      </w:pPr>
      <w:r>
        <w:lastRenderedPageBreak/>
        <w:t>Článok 14</w:t>
      </w:r>
      <w:r>
        <w:br/>
        <w:t xml:space="preserve"> Pilotné štúdie a štúdie uskutočniteľnosti</w:t>
      </w:r>
    </w:p>
    <w:p w14:paraId="6C8A4CBD" w14:textId="77777777" w:rsidR="003A74C2" w:rsidRDefault="004C6683">
      <w:pPr>
        <w:spacing w:before="120" w:after="120" w:line="360" w:lineRule="auto"/>
        <w:ind w:left="850" w:hanging="850"/>
        <w:rPr>
          <w:szCs w:val="24"/>
        </w:rPr>
      </w:pPr>
      <w:r>
        <w:t>1.</w:t>
      </w:r>
      <w:r>
        <w:tab/>
        <w:t>Komisia (</w:t>
      </w:r>
      <w:proofErr w:type="spellStart"/>
      <w:r>
        <w:t>Eurostat</w:t>
      </w:r>
      <w:proofErr w:type="spellEnd"/>
      <w:r>
        <w:t>), ak je to potrebné a vhodné na účely tohto nariadenia, realizuje pilotné štúdie a štúdie uskutočniteľnosti, ktorých cieľom je:</w:t>
      </w:r>
    </w:p>
    <w:p w14:paraId="10AED551" w14:textId="77777777" w:rsidR="003A74C2" w:rsidRDefault="004C6683">
      <w:pPr>
        <w:spacing w:before="120" w:after="120" w:line="360" w:lineRule="auto"/>
        <w:ind w:left="1416" w:hanging="566"/>
        <w:rPr>
          <w:szCs w:val="24"/>
        </w:rPr>
      </w:pPr>
      <w:r>
        <w:t>a)</w:t>
      </w:r>
      <w:r>
        <w:tab/>
        <w:t>posúdenie dostupnosti zdrojov údajov a ich kvality vrátane údajov vo verejnej a súkromnej držbe v členských štátoch a na úrovni Únie;</w:t>
      </w:r>
    </w:p>
    <w:p w14:paraId="1E3A3236" w14:textId="77777777" w:rsidR="003A74C2" w:rsidRDefault="004C6683">
      <w:pPr>
        <w:spacing w:before="120" w:after="120" w:line="360" w:lineRule="auto"/>
        <w:ind w:left="1416" w:hanging="566"/>
        <w:rPr>
          <w:szCs w:val="24"/>
        </w:rPr>
      </w:pPr>
      <w:r>
        <w:t>b)</w:t>
      </w:r>
      <w:r>
        <w:tab/>
        <w:t>vývoj a posúdenie uskutočniteľnosti vykonávania nových čiastkových tém, štatistických jednotiek, premenných a ich členení;</w:t>
      </w:r>
    </w:p>
    <w:p w14:paraId="39A4F46B" w14:textId="77777777" w:rsidR="003A74C2" w:rsidRDefault="004C6683">
      <w:pPr>
        <w:spacing w:before="120" w:after="120" w:line="360" w:lineRule="auto"/>
        <w:ind w:left="1416" w:hanging="566"/>
        <w:rPr>
          <w:szCs w:val="24"/>
        </w:rPr>
      </w:pPr>
      <w:r>
        <w:rPr>
          <w:b/>
          <w:i/>
        </w:rPr>
        <w:t>ba)</w:t>
      </w:r>
      <w:r>
        <w:tab/>
      </w:r>
      <w:r>
        <w:rPr>
          <w:b/>
          <w:i/>
        </w:rPr>
        <w:t>posúdenie dostupnosti zdrojov údajov a zlepšenie metódy poskytovania štatistiky o zdravotnom postihnutí osôb a testovanie rozčlenenia štatistiky vrátane jej porovnateľnosti v súlade s vnútroštátnym právom a praxou v oblasti ochrany údajov a kontroly zverejňovania;</w:t>
      </w:r>
    </w:p>
    <w:p w14:paraId="08418C8F" w14:textId="77777777" w:rsidR="003A74C2" w:rsidRDefault="004C6683">
      <w:pPr>
        <w:spacing w:before="120" w:after="120" w:line="360" w:lineRule="auto"/>
        <w:ind w:left="1416" w:hanging="566"/>
        <w:rPr>
          <w:szCs w:val="24"/>
        </w:rPr>
      </w:pPr>
      <w:r>
        <w:t>c)</w:t>
      </w:r>
      <w:r>
        <w:tab/>
        <w:t>vývoj nových metodík a štatistických techník na posilnenie kvality</w:t>
      </w:r>
      <w:r>
        <w:rPr>
          <w:b/>
          <w:bCs/>
          <w:i/>
          <w:iCs/>
        </w:rPr>
        <w:t xml:space="preserve"> a zlepšenie informácií o ťažko dostupných populáciách</w:t>
      </w:r>
      <w:r>
        <w:t>;</w:t>
      </w:r>
    </w:p>
    <w:p w14:paraId="55B9FBB3" w14:textId="77777777" w:rsidR="003A74C2" w:rsidRDefault="004C6683">
      <w:pPr>
        <w:spacing w:before="120" w:after="120" w:line="360" w:lineRule="auto"/>
        <w:ind w:left="1416" w:hanging="566"/>
        <w:rPr>
          <w:szCs w:val="24"/>
        </w:rPr>
      </w:pPr>
      <w:r>
        <w:t>d)</w:t>
      </w:r>
      <w:r>
        <w:tab/>
        <w:t xml:space="preserve">zníženie rozdielov v údajoch o migračných tokoch </w:t>
      </w:r>
      <w:r>
        <w:rPr>
          <w:b/>
          <w:bCs/>
          <w:i/>
          <w:iCs/>
        </w:rPr>
        <w:t>a zabezpečenie ich lepšej porovnateľnosti;</w:t>
      </w:r>
    </w:p>
    <w:p w14:paraId="5AF9F33E" w14:textId="77777777" w:rsidR="003A74C2" w:rsidRDefault="004C6683">
      <w:pPr>
        <w:spacing w:before="120" w:after="120" w:line="360" w:lineRule="auto"/>
        <w:ind w:left="1416" w:hanging="566"/>
        <w:rPr>
          <w:szCs w:val="24"/>
        </w:rPr>
      </w:pPr>
      <w:r>
        <w:rPr>
          <w:b/>
          <w:i/>
        </w:rPr>
        <w:t>da)</w:t>
      </w:r>
      <w:r>
        <w:tab/>
      </w:r>
      <w:r>
        <w:rPr>
          <w:b/>
          <w:i/>
        </w:rPr>
        <w:t>potlačenie možného nedostatočného započítania alebo dvojitého započítania ľudí;</w:t>
      </w:r>
    </w:p>
    <w:p w14:paraId="41F57CF9" w14:textId="4049A4DB" w:rsidR="003A74C2" w:rsidRDefault="004C6683">
      <w:pPr>
        <w:spacing w:before="120" w:after="120" w:line="360" w:lineRule="auto"/>
        <w:ind w:left="1416" w:hanging="566"/>
        <w:rPr>
          <w:szCs w:val="24"/>
        </w:rPr>
      </w:pPr>
      <w:r>
        <w:t>e)</w:t>
      </w:r>
      <w:r>
        <w:tab/>
        <w:t xml:space="preserve">testovanie a posudzovanie </w:t>
      </w:r>
      <w:r>
        <w:rPr>
          <w:b/>
          <w:bCs/>
          <w:i/>
          <w:iCs/>
        </w:rPr>
        <w:t xml:space="preserve">infraštruktúry pre </w:t>
      </w:r>
      <w:r>
        <w:t>príslušné technológie na zvyšovanie súkromia na bezpečné spoločné využívanie údajov v rámci ESS a ich</w:t>
      </w:r>
      <w:r>
        <w:rPr>
          <w:b/>
          <w:bCs/>
          <w:i/>
          <w:iCs/>
        </w:rPr>
        <w:t xml:space="preserve"> </w:t>
      </w:r>
      <w:r>
        <w:t>vhodnosti v súlade s článkom 13 ods. 4</w:t>
      </w:r>
      <w:r w:rsidR="00E57448">
        <w:t>.</w:t>
      </w:r>
    </w:p>
    <w:p w14:paraId="01C82212" w14:textId="77777777" w:rsidR="003A74C2" w:rsidRDefault="004C6683">
      <w:pPr>
        <w:spacing w:before="120" w:after="120" w:line="360" w:lineRule="auto"/>
        <w:ind w:left="850" w:hanging="850"/>
        <w:rPr>
          <w:szCs w:val="24"/>
        </w:rPr>
      </w:pPr>
      <w:r>
        <w:t>2.</w:t>
      </w:r>
      <w:r>
        <w:tab/>
        <w:t>Členské štáty sa môžu zúčastniť na uvedených štúdiách, ale spolu s Komisiou (</w:t>
      </w:r>
      <w:proofErr w:type="spellStart"/>
      <w:r>
        <w:t>Eurostatom</w:t>
      </w:r>
      <w:proofErr w:type="spellEnd"/>
      <w:r>
        <w:t>) zabezpečia reprezentatívnosť týchto štúdií na úrovni Únie.</w:t>
      </w:r>
    </w:p>
    <w:p w14:paraId="75CFB632" w14:textId="77777777" w:rsidR="003A74C2" w:rsidRDefault="004C6683">
      <w:pPr>
        <w:spacing w:before="120" w:after="120" w:line="360" w:lineRule="auto"/>
        <w:ind w:left="850" w:hanging="850"/>
        <w:rPr>
          <w:szCs w:val="24"/>
        </w:rPr>
      </w:pPr>
      <w:r>
        <w:t>3.</w:t>
      </w:r>
      <w:r>
        <w:tab/>
        <w:t>Výsledky uvedených štúdií vyhodnotí Komisia (</w:t>
      </w:r>
      <w:proofErr w:type="spellStart"/>
      <w:r>
        <w:t>Eurostat</w:t>
      </w:r>
      <w:proofErr w:type="spellEnd"/>
      <w:r>
        <w:t>) v spolupráci s členskými štátmi. Komisia (</w:t>
      </w:r>
      <w:proofErr w:type="spellStart"/>
      <w:r>
        <w:t>Eurostat</w:t>
      </w:r>
      <w:proofErr w:type="spellEnd"/>
      <w:r>
        <w:t>) pripraví v spolupráci s členskými štátmi správy o zisteniach uvedených štúdií.</w:t>
      </w:r>
    </w:p>
    <w:p w14:paraId="3C8D9C12" w14:textId="77777777" w:rsidR="003A74C2" w:rsidRDefault="004C6683">
      <w:pPr>
        <w:spacing w:before="120" w:after="120" w:line="360" w:lineRule="auto"/>
        <w:jc w:val="center"/>
        <w:rPr>
          <w:szCs w:val="24"/>
        </w:rPr>
      </w:pPr>
      <w:r>
        <w:t>Článok 15</w:t>
      </w:r>
      <w:r>
        <w:br/>
        <w:t xml:space="preserve"> Financovanie</w:t>
      </w:r>
    </w:p>
    <w:p w14:paraId="1FA92B58" w14:textId="77777777" w:rsidR="003A74C2" w:rsidRDefault="004C6683">
      <w:pPr>
        <w:spacing w:before="120" w:after="120" w:line="360" w:lineRule="auto"/>
        <w:ind w:left="850" w:hanging="850"/>
        <w:rPr>
          <w:szCs w:val="24"/>
        </w:rPr>
      </w:pPr>
      <w:r>
        <w:t>1.</w:t>
      </w:r>
      <w:r>
        <w:tab/>
      </w:r>
      <w:r>
        <w:rPr>
          <w:b/>
          <w:bCs/>
          <w:i/>
          <w:iCs/>
        </w:rPr>
        <w:t xml:space="preserve">Pokiaľ ide o vykonávanie tohto nariadenia, z Programu pre jednotný trh zriadeného nariadením (EÚ) 2021/690 sa v súlade s nariadením (EÚ, </w:t>
      </w:r>
      <w:proofErr w:type="spellStart"/>
      <w:r>
        <w:rPr>
          <w:b/>
          <w:bCs/>
          <w:i/>
          <w:iCs/>
        </w:rPr>
        <w:t>Euratom</w:t>
      </w:r>
      <w:proofErr w:type="spellEnd"/>
      <w:r>
        <w:rPr>
          <w:b/>
          <w:bCs/>
          <w:i/>
          <w:iCs/>
        </w:rPr>
        <w:t xml:space="preserve">) </w:t>
      </w:r>
      <w:r>
        <w:rPr>
          <w:b/>
          <w:bCs/>
          <w:i/>
          <w:iCs/>
        </w:rPr>
        <w:lastRenderedPageBreak/>
        <w:t>2018/1046 sprístupní</w:t>
      </w:r>
      <w:r>
        <w:t xml:space="preserve"> finančný príspevok národným štatistickým úradom uvedeným v článku 5 ods. 2 nariadenia (ES) č. 223/2009 na:</w:t>
      </w:r>
    </w:p>
    <w:p w14:paraId="37F0896A" w14:textId="77777777" w:rsidR="003A74C2" w:rsidRDefault="004C6683">
      <w:pPr>
        <w:spacing w:before="120" w:after="120" w:line="360" w:lineRule="auto"/>
        <w:ind w:left="1416" w:hanging="566"/>
        <w:rPr>
          <w:szCs w:val="24"/>
        </w:rPr>
      </w:pPr>
      <w:r>
        <w:t>a)</w:t>
      </w:r>
      <w:r>
        <w:tab/>
      </w:r>
      <w:r>
        <w:rPr>
          <w:b/>
          <w:bCs/>
          <w:i/>
          <w:iCs/>
        </w:rPr>
        <w:t>úpravu infraštruktúry a odbornú prípravu v národnom štatistickom systéme potrebnú na</w:t>
      </w:r>
      <w:r>
        <w:t xml:space="preserve"> vývoj a zavedenie nových alebo vylepšených zdrojov údajov, metodík, spoločného využívania údajov, štatistických jednotiek, tém, čiastkových tém, premenných a ich členení;</w:t>
      </w:r>
    </w:p>
    <w:p w14:paraId="21D47510" w14:textId="77777777" w:rsidR="003A74C2" w:rsidRDefault="004C6683">
      <w:pPr>
        <w:spacing w:before="120" w:after="120" w:line="360" w:lineRule="auto"/>
        <w:ind w:left="1416" w:hanging="566"/>
        <w:rPr>
          <w:szCs w:val="24"/>
        </w:rPr>
      </w:pPr>
      <w:proofErr w:type="spellStart"/>
      <w:r>
        <w:rPr>
          <w:b/>
          <w:i/>
        </w:rPr>
        <w:t>aa</w:t>
      </w:r>
      <w:proofErr w:type="spellEnd"/>
      <w:r>
        <w:rPr>
          <w:b/>
          <w:i/>
        </w:rPr>
        <w:t>)</w:t>
      </w:r>
      <w:r>
        <w:tab/>
      </w:r>
      <w:r>
        <w:rPr>
          <w:b/>
          <w:bCs/>
          <w:i/>
          <w:iCs/>
        </w:rPr>
        <w:t>prípravu a vykonávanie zberu ad hoc údajov, ako sa uvádza v článku 7</w:t>
      </w:r>
      <w:r>
        <w:t>;</w:t>
      </w:r>
    </w:p>
    <w:p w14:paraId="6E9B9A36" w14:textId="77777777" w:rsidR="003A74C2" w:rsidRDefault="004C6683">
      <w:pPr>
        <w:spacing w:before="120" w:after="120" w:line="360" w:lineRule="auto"/>
        <w:ind w:left="1416" w:hanging="566"/>
        <w:rPr>
          <w:szCs w:val="24"/>
        </w:rPr>
      </w:pPr>
      <w:r>
        <w:t>b)</w:t>
      </w:r>
      <w:r>
        <w:tab/>
        <w:t>účasť členských štátov na reprezentatívnych pilotných štúdiách a štúdiách uskutočniteľnosti uvedených v článku 14.</w:t>
      </w:r>
    </w:p>
    <w:p w14:paraId="6277FAAF" w14:textId="77777777" w:rsidR="003A74C2" w:rsidRDefault="004C6683">
      <w:pPr>
        <w:spacing w:before="120" w:after="120" w:line="360" w:lineRule="auto"/>
        <w:ind w:left="851" w:hanging="851"/>
        <w:rPr>
          <w:szCs w:val="24"/>
        </w:rPr>
      </w:pPr>
      <w:r>
        <w:rPr>
          <w:b/>
          <w:i/>
        </w:rPr>
        <w:t>1a.</w:t>
      </w:r>
      <w:r>
        <w:tab/>
      </w:r>
      <w:r>
        <w:rPr>
          <w:b/>
          <w:i/>
        </w:rPr>
        <w:t>Výška finančného príspevku Únie poskytnutá podľa tohto článku sa stanoví v súlade s pravidlami Programu pre jednotný trh ako súčasť ročného rozpočtového postupu v závislosti od dostupnosti finančných prostriedkov.</w:t>
      </w:r>
    </w:p>
    <w:p w14:paraId="2FD8E929" w14:textId="77777777" w:rsidR="003A74C2" w:rsidRDefault="004C6683">
      <w:pPr>
        <w:spacing w:before="120" w:after="120" w:line="360" w:lineRule="auto"/>
        <w:ind w:left="850"/>
        <w:rPr>
          <w:szCs w:val="24"/>
        </w:rPr>
      </w:pPr>
      <w:r>
        <w:rPr>
          <w:b/>
          <w:i/>
        </w:rPr>
        <w:t>Národné štatistické úrady uvedené v zozname zostavenom podľa článku 5 ods. 2 nariadenia (ES) No 223/2009 môžu okrem toho požiadať o podporu z iných uplatniteľných finančných programov Európskej únie v súlade s pravidlami takýchto programov. Členské štáty môžu požiadať aj o podporu z Nástroja technickej podpory s cieľom zlepšiť kvalitu štatistiky a vypracovať metodiky v súlade s požiadavkami tohto nariadenia v súlade s pravidlami Nástroja technickej podpory a jeho cieľom posilniť tvorbu, poskytovanie a monitorovanie kvality údajov a štatistík.</w:t>
      </w:r>
    </w:p>
    <w:p w14:paraId="2F759EB7" w14:textId="77777777" w:rsidR="003A74C2" w:rsidRDefault="004C6683">
      <w:pPr>
        <w:spacing w:before="120" w:after="120" w:line="360" w:lineRule="auto"/>
        <w:ind w:left="850" w:hanging="850"/>
        <w:rPr>
          <w:szCs w:val="24"/>
        </w:rPr>
      </w:pPr>
      <w:r>
        <w:t>2.</w:t>
      </w:r>
      <w:r>
        <w:tab/>
        <w:t>Finančný príspevok Únie nesmie presiahnuť 90 % oprávnených nákladov.</w:t>
      </w:r>
    </w:p>
    <w:p w14:paraId="4E569DA2" w14:textId="77777777" w:rsidR="003A74C2" w:rsidRDefault="004C6683">
      <w:pPr>
        <w:spacing w:before="120" w:after="120" w:line="360" w:lineRule="auto"/>
        <w:jc w:val="center"/>
        <w:rPr>
          <w:szCs w:val="24"/>
        </w:rPr>
      </w:pPr>
      <w:r>
        <w:t>Článok 16</w:t>
      </w:r>
      <w:r>
        <w:br/>
        <w:t>Ochrana finančných záujmov Únie</w:t>
      </w:r>
    </w:p>
    <w:p w14:paraId="6BEA30CE" w14:textId="77777777" w:rsidR="003A74C2" w:rsidRDefault="004C6683">
      <w:pPr>
        <w:spacing w:before="120" w:after="120" w:line="360" w:lineRule="auto"/>
        <w:rPr>
          <w:szCs w:val="24"/>
        </w:rPr>
      </w:pPr>
      <w:r>
        <w:t xml:space="preserve">Ak sa prostredníctvom rozhodnutia prijatého podľa medzinárodnej dohody alebo na základe akéhokoľvek iného právneho nástroja zúčastňuje na činnostiach financovaných v rámci tohto nariadenia tretia krajina, táto tretia krajina udelí potrebné práva a prístup zodpovednému povoľujúcemu úradníkovi, Európskemu úradu pre boj proti podvodom (OLAF), Dvoru audítorov a EPPO na riadne vykonávanie ich príslušných právomocí. V prípade OLAF-u tieto práva zahŕňajú právo viesť vyšetrovania vrátane kontrol a inšpekcií na mieste, ako sa stanovuje v nariadení (EÚ, </w:t>
      </w:r>
      <w:proofErr w:type="spellStart"/>
      <w:r>
        <w:t>Euratom</w:t>
      </w:r>
      <w:proofErr w:type="spellEnd"/>
      <w:r>
        <w:t>) č. 883/2013.</w:t>
      </w:r>
    </w:p>
    <w:p w14:paraId="125F50B1" w14:textId="77777777" w:rsidR="003A74C2" w:rsidRDefault="004C6683">
      <w:pPr>
        <w:spacing w:before="120" w:after="120" w:line="360" w:lineRule="auto"/>
        <w:jc w:val="center"/>
        <w:rPr>
          <w:szCs w:val="24"/>
        </w:rPr>
      </w:pPr>
      <w:r>
        <w:t>Článok 17</w:t>
      </w:r>
      <w:r>
        <w:br/>
      </w:r>
      <w:r>
        <w:lastRenderedPageBreak/>
        <w:t>Vykonávanie delegovania právomoci</w:t>
      </w:r>
    </w:p>
    <w:p w14:paraId="6DA74188" w14:textId="77777777" w:rsidR="003A74C2" w:rsidRDefault="004C6683">
      <w:pPr>
        <w:spacing w:before="120" w:after="120" w:line="360" w:lineRule="auto"/>
        <w:ind w:left="850" w:hanging="850"/>
        <w:rPr>
          <w:szCs w:val="24"/>
        </w:rPr>
      </w:pPr>
      <w:r>
        <w:t>1.</w:t>
      </w:r>
      <w:r>
        <w:tab/>
        <w:t>Komisii sa udeľuje právomoc prijímať delegované akty za podmienok stanovených v tomto článku.</w:t>
      </w:r>
    </w:p>
    <w:p w14:paraId="4489F731" w14:textId="77777777" w:rsidR="003A74C2" w:rsidRDefault="004C6683">
      <w:pPr>
        <w:spacing w:before="120" w:after="120" w:line="360" w:lineRule="auto"/>
        <w:ind w:left="850" w:hanging="850"/>
        <w:rPr>
          <w:szCs w:val="24"/>
        </w:rPr>
      </w:pPr>
      <w:r>
        <w:t>2.</w:t>
      </w:r>
      <w:r>
        <w:tab/>
        <w:t>Právomoc prijímať delegované akty uvedené v článku 5 ods. 3, článku 6 ods. 6 a článku 7 ods. 2 sa Komisii udeľuje na dobu neurčitú od ...[Úrad pre publikácie: vložte dátum nadobudnutia účinnosti tohto nariadenia].</w:t>
      </w:r>
    </w:p>
    <w:p w14:paraId="7BDCE525" w14:textId="77777777" w:rsidR="003A74C2" w:rsidRDefault="004C6683">
      <w:pPr>
        <w:spacing w:before="120" w:after="120" w:line="360" w:lineRule="auto"/>
        <w:ind w:left="850" w:hanging="850"/>
        <w:rPr>
          <w:szCs w:val="24"/>
        </w:rPr>
      </w:pPr>
      <w:r>
        <w:t>3.</w:t>
      </w:r>
      <w:r>
        <w:tab/>
        <w:t>Delegovanie právomoci uvedené v článku 5 ods. 3, článku 6 ods. 6 a článku 7 ods. 2 môže Európsky parlament alebo Rada kedykoľvek odvolať. Rozhodnutím o odvolaní sa ukončuje delegovanie právomoci, ktoré sa v ňom uvádza. Rozhodnutie nadobúda účinnosť dňom nasledujúcim po jeho uverejnení v </w:t>
      </w:r>
      <w:r w:rsidRPr="00981594">
        <w:rPr>
          <w:i/>
        </w:rPr>
        <w:t>Úradnom vestníku Európskej únie</w:t>
      </w:r>
      <w:r>
        <w:t xml:space="preserve"> alebo k neskoršiemu dátumu, ktorý je v ňom určený. Nie je ním dotknutá platnosť delegovaných aktov, ktoré už nadobudli účinnosť.</w:t>
      </w:r>
    </w:p>
    <w:p w14:paraId="644FAE2E" w14:textId="77777777" w:rsidR="003A74C2" w:rsidRDefault="004C6683">
      <w:pPr>
        <w:spacing w:before="120" w:after="120" w:line="360" w:lineRule="auto"/>
        <w:ind w:left="850" w:hanging="850"/>
        <w:rPr>
          <w:szCs w:val="24"/>
        </w:rPr>
      </w:pPr>
      <w:r>
        <w:t>4.</w:t>
      </w:r>
      <w:r>
        <w:tab/>
        <w:t>Komisia pred prijatím delegovaného aktu vedie konzultácie s expertmi určenými jednotlivými členskými štátmi v súlade so zásadami stanovenými v </w:t>
      </w:r>
      <w:proofErr w:type="spellStart"/>
      <w:r>
        <w:t>Medziinštitucionálnej</w:t>
      </w:r>
      <w:proofErr w:type="spellEnd"/>
      <w:r>
        <w:t xml:space="preserve"> dohode z 13. apríla 2016 o </w:t>
      </w:r>
      <w:bookmarkStart w:id="8" w:name="_GoBack"/>
      <w:bookmarkEnd w:id="8"/>
      <w:r>
        <w:t xml:space="preserve">lepšej tvorbe práva </w:t>
      </w:r>
      <w:r>
        <w:rPr>
          <w:b/>
          <w:bCs/>
          <w:i/>
          <w:iCs/>
        </w:rPr>
        <w:t>a informuje Európsky parlament o prípravných prácach.</w:t>
      </w:r>
    </w:p>
    <w:p w14:paraId="5FDA10B9" w14:textId="77777777" w:rsidR="003A74C2" w:rsidRDefault="004C6683">
      <w:pPr>
        <w:spacing w:before="120" w:after="120" w:line="360" w:lineRule="auto"/>
        <w:ind w:left="850" w:hanging="850"/>
        <w:rPr>
          <w:szCs w:val="24"/>
        </w:rPr>
      </w:pPr>
      <w:r>
        <w:t>5.</w:t>
      </w:r>
      <w:r>
        <w:tab/>
        <w:t>Komisia oznamuje delegovaný akt hneď po prijatí súčasne Európskemu parlamentu a Rade.</w:t>
      </w:r>
    </w:p>
    <w:p w14:paraId="4BC06644" w14:textId="77777777" w:rsidR="003A74C2" w:rsidRDefault="004C6683">
      <w:pPr>
        <w:spacing w:before="120" w:after="120" w:line="360" w:lineRule="auto"/>
        <w:ind w:left="850" w:hanging="850"/>
        <w:rPr>
          <w:szCs w:val="24"/>
        </w:rPr>
      </w:pPr>
      <w:r>
        <w:t>6.</w:t>
      </w:r>
      <w:r>
        <w:tab/>
        <w:t>Delegovaný akt prijatý podľa článku 5 ods. 3, článku 6 ods. 6 a článku 7 ods. 2 nadobudne účinnosť, len ak Európsky parlament alebo Rada voči nemu nevzniesli námietku v lehote dvoch mesiacov od oznámenia uvedeného aktu Európskemu parlamentu a Rade alebo ak pred uplynutím uvedenej lehoty Európsky parlament aj Rada informovali Komisiu o svojom rozhodnutí nevzniesť námietku. Na podnet Európskeho parlamentu alebo Rady sa táto lehota predĺži o dva mesiace.</w:t>
      </w:r>
    </w:p>
    <w:p w14:paraId="2F202F79" w14:textId="77777777" w:rsidR="003A74C2" w:rsidRDefault="004C6683">
      <w:pPr>
        <w:spacing w:before="120" w:after="120" w:line="360" w:lineRule="auto"/>
        <w:jc w:val="center"/>
        <w:rPr>
          <w:szCs w:val="24"/>
        </w:rPr>
      </w:pPr>
      <w:r>
        <w:t>Článok 18</w:t>
      </w:r>
      <w:r>
        <w:br/>
        <w:t>Postup výboru</w:t>
      </w:r>
    </w:p>
    <w:p w14:paraId="00C9F699" w14:textId="77777777" w:rsidR="003A74C2" w:rsidRDefault="004C6683">
      <w:pPr>
        <w:spacing w:before="120" w:after="120" w:line="360" w:lineRule="auto"/>
        <w:ind w:left="850" w:hanging="850"/>
        <w:rPr>
          <w:szCs w:val="24"/>
        </w:rPr>
      </w:pPr>
      <w:r>
        <w:t>1.</w:t>
      </w:r>
      <w:r>
        <w:tab/>
        <w:t>Komisii pomáha Výbor pre Európsky štatistický systém zriadený článkom 7 nariadenia (ES) č. 223/2009. Uvedený výbor je výborom v zmysle nariadenia (EÚ) č. 182/2011.</w:t>
      </w:r>
    </w:p>
    <w:p w14:paraId="5F06038D" w14:textId="77777777" w:rsidR="003A74C2" w:rsidRDefault="004C6683">
      <w:pPr>
        <w:spacing w:before="120" w:after="120" w:line="360" w:lineRule="auto"/>
        <w:ind w:left="850" w:hanging="850"/>
        <w:rPr>
          <w:szCs w:val="24"/>
        </w:rPr>
      </w:pPr>
      <w:r>
        <w:t>2.</w:t>
      </w:r>
      <w:r>
        <w:tab/>
        <w:t>Ak sa odkazuje na tento odsek, uplatňuje sa článok 5 nariadenia (EÚ) č. 182/2011.</w:t>
      </w:r>
    </w:p>
    <w:p w14:paraId="04C32C5E" w14:textId="77777777" w:rsidR="003A74C2" w:rsidRDefault="004C6683">
      <w:pPr>
        <w:spacing w:before="120" w:after="120" w:line="360" w:lineRule="auto"/>
        <w:jc w:val="center"/>
        <w:rPr>
          <w:szCs w:val="24"/>
        </w:rPr>
      </w:pPr>
      <w:r>
        <w:t>Článok 19</w:t>
      </w:r>
      <w:r>
        <w:br/>
      </w:r>
      <w:r>
        <w:lastRenderedPageBreak/>
        <w:t>Výnimky</w:t>
      </w:r>
    </w:p>
    <w:p w14:paraId="4E89BF8E" w14:textId="64463355" w:rsidR="003A74C2" w:rsidRDefault="004C6683">
      <w:pPr>
        <w:spacing w:before="120" w:after="120" w:line="360" w:lineRule="auto"/>
        <w:ind w:left="850" w:hanging="850"/>
        <w:rPr>
          <w:szCs w:val="24"/>
        </w:rPr>
      </w:pPr>
      <w:r>
        <w:t>1.</w:t>
      </w:r>
      <w:r>
        <w:tab/>
        <w:t xml:space="preserve">Ak si uplatňovanie tohto nariadenia ▌ vyžaduje vykonanie zásadných úprav v národnom štatistickom systéme členského štátu, Komisia môže prostredníctvom vykonávacích aktov udeliť tomuto členskému štátu výnimky na obdobie najviac </w:t>
      </w:r>
      <w:r>
        <w:rPr>
          <w:b/>
          <w:bCs/>
          <w:i/>
          <w:iCs/>
        </w:rPr>
        <w:t>siedmich</w:t>
      </w:r>
      <w:r>
        <w:t xml:space="preserve"> rokov.</w:t>
      </w:r>
    </w:p>
    <w:p w14:paraId="15868746" w14:textId="77777777" w:rsidR="003A74C2" w:rsidRDefault="004C6683">
      <w:pPr>
        <w:spacing w:before="120" w:after="120" w:line="360" w:lineRule="auto"/>
        <w:ind w:left="850" w:hanging="850"/>
        <w:rPr>
          <w:szCs w:val="24"/>
        </w:rPr>
      </w:pPr>
      <w:r>
        <w:rPr>
          <w:b/>
          <w:i/>
        </w:rPr>
        <w:t>1a.</w:t>
      </w:r>
      <w:r>
        <w:tab/>
      </w:r>
      <w:r>
        <w:rPr>
          <w:b/>
          <w:i/>
        </w:rPr>
        <w:t xml:space="preserve">Ak si delegované alebo vykonávacie akty prijaté podľa tohto nariadenia vyžadujú vykonanie zásadných úprav v národnom štatistickom systéme členského štátu, Komisia môže prostredníctvom vykonávacích aktov udeliť tomuto členskému štátu výnimky na obdobie najviac troch rokov. </w:t>
      </w:r>
    </w:p>
    <w:p w14:paraId="6500565A" w14:textId="77777777" w:rsidR="003A74C2" w:rsidRDefault="004C6683">
      <w:pPr>
        <w:spacing w:before="120" w:after="120" w:line="360" w:lineRule="auto"/>
        <w:ind w:left="850" w:hanging="850"/>
        <w:rPr>
          <w:szCs w:val="24"/>
        </w:rPr>
      </w:pPr>
      <w:r>
        <w:t>2.</w:t>
      </w:r>
      <w:r>
        <w:tab/>
        <w:t xml:space="preserve">Pri udeľovaní výnimiek podľa odseku 1 tohto článku Komisia zohľadní porovnateľnosť štatistiky členských štátov a včasný výpočet požadovaných reprezentatívnych a spoľahlivých európskych agregátov. Pri udeľovaní výnimiek Komisia takisto zabezpečí, aby požiadavky súvisiace so štatistikou, </w:t>
      </w:r>
      <w:proofErr w:type="spellStart"/>
      <w:r>
        <w:t>metaúdajmi</w:t>
      </w:r>
      <w:proofErr w:type="spellEnd"/>
      <w:r>
        <w:t xml:space="preserve"> a kvalitou, na ktoré sa vzťahuje toto nariadenie a na ktoré sa predtým vzťahovalo nariadenie (EÚ) č. 1260/2013 alebo článok 3 nariadenia (ES) č. 862/2007, zostali zachované bez prerušenia.</w:t>
      </w:r>
    </w:p>
    <w:p w14:paraId="58FDB74D" w14:textId="77777777" w:rsidR="003A74C2" w:rsidRDefault="004C6683">
      <w:pPr>
        <w:spacing w:before="120" w:after="120" w:line="360" w:lineRule="auto"/>
        <w:ind w:left="850" w:hanging="850"/>
        <w:rPr>
          <w:szCs w:val="24"/>
        </w:rPr>
      </w:pPr>
      <w:r>
        <w:t>3.</w:t>
      </w:r>
      <w:r>
        <w:tab/>
        <w:t>Členský štát predloží Komisii riadne odôvodnenú žiadosť o výnimku do dvoch mesiacov od dátumu nadobudnutia účinnosti dotknutého aktu.</w:t>
      </w:r>
    </w:p>
    <w:p w14:paraId="186DE170" w14:textId="77777777" w:rsidR="003A74C2" w:rsidRDefault="004C6683">
      <w:pPr>
        <w:spacing w:before="120" w:after="120" w:line="360" w:lineRule="auto"/>
        <w:ind w:left="850" w:hanging="850"/>
        <w:rPr>
          <w:szCs w:val="24"/>
        </w:rPr>
      </w:pPr>
      <w:r>
        <w:t>4.</w:t>
      </w:r>
      <w:r>
        <w:tab/>
        <w:t>Komisia prijme vykonávacie akty uvedené v odsekoch 1</w:t>
      </w:r>
      <w:r>
        <w:rPr>
          <w:b/>
          <w:bCs/>
          <w:i/>
          <w:iCs/>
        </w:rPr>
        <w:t>, 1a a 3</w:t>
      </w:r>
      <w:r>
        <w:t xml:space="preserve"> tohto článku v súlade s postupom preskúmania uvedeným v článku 18 ods. 2.</w:t>
      </w:r>
    </w:p>
    <w:p w14:paraId="4A6E3EB5" w14:textId="77777777" w:rsidR="003A74C2" w:rsidRDefault="004C6683">
      <w:pPr>
        <w:spacing w:before="120" w:after="120" w:line="360" w:lineRule="auto"/>
        <w:jc w:val="center"/>
        <w:rPr>
          <w:szCs w:val="24"/>
        </w:rPr>
      </w:pPr>
      <w:r>
        <w:t>Článok 20</w:t>
      </w:r>
      <w:r>
        <w:br/>
        <w:t>Zmeny nariadenia (ES) č. 862/2007</w:t>
      </w:r>
    </w:p>
    <w:p w14:paraId="0268885D" w14:textId="77777777" w:rsidR="003A74C2" w:rsidRDefault="004C6683">
      <w:pPr>
        <w:spacing w:before="120" w:after="120" w:line="360" w:lineRule="auto"/>
        <w:rPr>
          <w:szCs w:val="24"/>
        </w:rPr>
      </w:pPr>
      <w:r>
        <w:t>Nariadenie (ES) č. 862/2007 sa mení takto:</w:t>
      </w:r>
    </w:p>
    <w:p w14:paraId="7F440CC2" w14:textId="5E9C0990" w:rsidR="003A74C2" w:rsidRDefault="004C6683">
      <w:pPr>
        <w:spacing w:before="120" w:after="120" w:line="360" w:lineRule="auto"/>
        <w:ind w:left="850" w:hanging="850"/>
        <w:rPr>
          <w:szCs w:val="24"/>
        </w:rPr>
      </w:pPr>
      <w:r>
        <w:t>1.</w:t>
      </w:r>
      <w:r>
        <w:tab/>
        <w:t>Názov sa nahrádza takto: „Nariadenie (ES) č. 862/2007 z 11. júla 2007 o európskej štatistike o azyle a správnych a súdnych konaniach súvisiacich s právnymi predpismi v oblasti prisťahovalectva, ktorým sa zrušuje nariadenie Rady (EHS) č. 311/76 o zostavovaní štatistík zahraničných pracovníkov“.</w:t>
      </w:r>
    </w:p>
    <w:p w14:paraId="70AA586D" w14:textId="45C8A890" w:rsidR="003A74C2" w:rsidRDefault="004C6683">
      <w:pPr>
        <w:spacing w:before="120" w:after="120" w:line="360" w:lineRule="auto"/>
        <w:ind w:left="850" w:hanging="850"/>
        <w:rPr>
          <w:szCs w:val="24"/>
        </w:rPr>
      </w:pPr>
      <w:r>
        <w:t>2.</w:t>
      </w:r>
      <w:r>
        <w:tab/>
        <w:t>V článku 1 sa vypúšťajú písmená a) a b).</w:t>
      </w:r>
    </w:p>
    <w:p w14:paraId="520F385F" w14:textId="5A234056" w:rsidR="003A74C2" w:rsidRDefault="004C6683">
      <w:pPr>
        <w:spacing w:before="120" w:after="120" w:line="360" w:lineRule="auto"/>
        <w:ind w:left="850" w:hanging="850"/>
        <w:rPr>
          <w:szCs w:val="24"/>
        </w:rPr>
      </w:pPr>
      <w:r>
        <w:t>3.</w:t>
      </w:r>
      <w:r>
        <w:tab/>
        <w:t>V článku 2 ods. 1 sa vypúšťajú písmená a), b), c), f) a g).</w:t>
      </w:r>
    </w:p>
    <w:p w14:paraId="2CF26835" w14:textId="55C02E1F" w:rsidR="003A74C2" w:rsidRDefault="004C6683">
      <w:pPr>
        <w:spacing w:before="120" w:after="120" w:line="360" w:lineRule="auto"/>
        <w:ind w:left="850" w:hanging="850"/>
        <w:rPr>
          <w:b/>
          <w:i/>
          <w:szCs w:val="24"/>
        </w:rPr>
      </w:pPr>
      <w:r>
        <w:rPr>
          <w:b/>
          <w:i/>
        </w:rPr>
        <w:t>3a.</w:t>
      </w:r>
      <w:r>
        <w:tab/>
      </w:r>
      <w:r>
        <w:rPr>
          <w:b/>
          <w:i/>
        </w:rPr>
        <w:t xml:space="preserve">V článku 2 ods. 1 sa písmeno d) nahrádza takto: </w:t>
      </w:r>
    </w:p>
    <w:p w14:paraId="6A948EF8" w14:textId="48B640F0" w:rsidR="003A74C2" w:rsidRDefault="004C6683" w:rsidP="002419A3">
      <w:pPr>
        <w:spacing w:before="120" w:after="120" w:line="360" w:lineRule="auto"/>
        <w:ind w:left="1416" w:hanging="566"/>
        <w:rPr>
          <w:szCs w:val="24"/>
        </w:rPr>
      </w:pPr>
      <w:r>
        <w:rPr>
          <w:b/>
          <w:i/>
        </w:rPr>
        <w:lastRenderedPageBreak/>
        <w:t>„d)</w:t>
      </w:r>
      <w:r>
        <w:rPr>
          <w:b/>
          <w:i/>
        </w:rPr>
        <w:tab/>
        <w:t xml:space="preserve">„občianstvo“ je občianstvo vymedzené v článku 2 ods. 1 nariadenia </w:t>
      </w:r>
      <w:r>
        <w:t>Európskeho parlamentu a Rady (EÚ) .../...</w:t>
      </w:r>
      <w:r>
        <w:rPr>
          <w:vertAlign w:val="superscript"/>
        </w:rPr>
        <w:t>*</w:t>
      </w:r>
      <w:r>
        <w:rPr>
          <w:noProof/>
          <w:w w:val="0"/>
          <w:szCs w:val="24"/>
          <w:vertAlign w:val="superscript"/>
          <w:lang w:eastAsia="en-US"/>
        </w:rPr>
        <w:footnoteReference w:customMarkFollows="1" w:id="33"/>
        <w:t>+</w:t>
      </w:r>
      <w:r>
        <w:t>.</w:t>
      </w:r>
    </w:p>
    <w:p w14:paraId="603DB880" w14:textId="21F3CB04" w:rsidR="003A74C2" w:rsidRDefault="004C6683">
      <w:pPr>
        <w:spacing w:before="120" w:after="120" w:line="360" w:lineRule="auto"/>
        <w:ind w:left="850" w:hanging="850"/>
        <w:rPr>
          <w:szCs w:val="24"/>
        </w:rPr>
      </w:pPr>
      <w:r>
        <w:t>4.</w:t>
      </w:r>
      <w:r>
        <w:tab/>
        <w:t>Článok 3 sa vypúšťa.</w:t>
      </w:r>
    </w:p>
    <w:p w14:paraId="3ADC02BB" w14:textId="03F80B3B" w:rsidR="003A74C2" w:rsidRDefault="004C6683">
      <w:pPr>
        <w:spacing w:before="120" w:after="120" w:line="360" w:lineRule="auto"/>
        <w:ind w:left="850" w:hanging="850"/>
        <w:rPr>
          <w:szCs w:val="24"/>
        </w:rPr>
      </w:pPr>
      <w:r>
        <w:t>5.</w:t>
      </w:r>
      <w:r>
        <w:tab/>
        <w:t>Vkladá sa tento článok:</w:t>
      </w:r>
    </w:p>
    <w:p w14:paraId="25619FEB" w14:textId="77777777" w:rsidR="003A74C2" w:rsidRDefault="004C6683">
      <w:pPr>
        <w:spacing w:before="120" w:after="120" w:line="360" w:lineRule="auto"/>
        <w:ind w:left="850"/>
        <w:rPr>
          <w:szCs w:val="24"/>
        </w:rPr>
      </w:pPr>
      <w:r>
        <w:t>„Článok 9c</w:t>
      </w:r>
    </w:p>
    <w:p w14:paraId="2D40C800" w14:textId="77777777" w:rsidR="003A74C2" w:rsidRDefault="004C6683">
      <w:pPr>
        <w:spacing w:before="120" w:after="120" w:line="360" w:lineRule="auto"/>
        <w:ind w:left="850"/>
        <w:rPr>
          <w:szCs w:val="24"/>
        </w:rPr>
      </w:pPr>
      <w:r>
        <w:t>Včasný prístup a opätovné použitie administratívnych údajov</w:t>
      </w:r>
    </w:p>
    <w:p w14:paraId="2945625F" w14:textId="77777777" w:rsidR="003A74C2" w:rsidRDefault="004C6683">
      <w:pPr>
        <w:spacing w:before="120" w:after="120" w:line="360" w:lineRule="auto"/>
        <w:ind w:left="1416" w:hanging="566"/>
        <w:rPr>
          <w:szCs w:val="24"/>
        </w:rPr>
      </w:pPr>
      <w:r>
        <w:t>1.</w:t>
      </w:r>
      <w:r>
        <w:tab/>
      </w:r>
      <w:r>
        <w:rPr>
          <w:b/>
          <w:bCs/>
          <w:i/>
          <w:iCs/>
        </w:rPr>
        <w:t>V súlade s článkom 17a nariadenia (ES) č. 223/2009</w:t>
      </w:r>
      <w:r>
        <w:t xml:space="preserve"> vnútroštátne orgány zodpovedné za administratívne zdroje údajov relevantné na účely tohto nariadenia umožnia opätovné použitie týchto údajov včas a s frekvenciou, ktorá je dostatočná na tvorbu a predkladanie štatistiky v lehotách a v súlade s osobitnými požiadavkami na kvalitu podľa tohto nariadenia. </w:t>
      </w:r>
      <w:r>
        <w:rPr>
          <w:b/>
          <w:bCs/>
          <w:i/>
          <w:iCs/>
        </w:rPr>
        <w:t>Vnútroštátne štatistické orgány a vnútroštátne orgány zodpovedné za administratívne záznamy zriadia potrebné mechanizmy spolupráce na včasný a bezplatný prístup k týmto záznamom</w:t>
      </w:r>
      <w:r>
        <w:t>.</w:t>
      </w:r>
    </w:p>
    <w:p w14:paraId="65DB9D18" w14:textId="77777777" w:rsidR="003A74C2" w:rsidRDefault="004C6683">
      <w:pPr>
        <w:spacing w:before="120" w:after="120" w:line="360" w:lineRule="auto"/>
        <w:ind w:left="1416" w:hanging="566"/>
        <w:rPr>
          <w:szCs w:val="24"/>
        </w:rPr>
      </w:pPr>
      <w:r>
        <w:t>2.</w:t>
      </w:r>
      <w:r>
        <w:tab/>
        <w:t>Na účely tohto nariadenia sa Komisii (</w:t>
      </w:r>
      <w:proofErr w:type="spellStart"/>
      <w:r>
        <w:t>Eurostatu</w:t>
      </w:r>
      <w:proofErr w:type="spellEnd"/>
      <w:r>
        <w:t>) na požiadanie umožní včasný prístup k relevantným údajom a </w:t>
      </w:r>
      <w:proofErr w:type="spellStart"/>
      <w:r>
        <w:t>metaúdajom</w:t>
      </w:r>
      <w:proofErr w:type="spellEnd"/>
      <w:r>
        <w:t xml:space="preserve"> z databáz a systémov </w:t>
      </w:r>
      <w:proofErr w:type="spellStart"/>
      <w:r>
        <w:t>interoperability</w:t>
      </w:r>
      <w:proofErr w:type="spellEnd"/>
      <w:r>
        <w:t>, ktoré spravujú orgány a agentúry Únie, a to aj podľa nariadení (EÚ) č. 910/2014, (EÚ) 2018/1724, a k štatistickým údajom uloženým v centrálnom úložisku na účely podávania správ a štatistiky (CRRS).</w:t>
      </w:r>
      <w:r>
        <w:rPr>
          <w:b/>
          <w:i/>
        </w:rPr>
        <w:t xml:space="preserve"> </w:t>
      </w:r>
      <w:r>
        <w:rPr>
          <w:b/>
          <w:bCs/>
          <w:i/>
          <w:iCs/>
        </w:rPr>
        <w:t>Komisia (</w:t>
      </w:r>
      <w:proofErr w:type="spellStart"/>
      <w:r>
        <w:rPr>
          <w:b/>
          <w:bCs/>
          <w:i/>
          <w:iCs/>
        </w:rPr>
        <w:t>Eurostat</w:t>
      </w:r>
      <w:proofErr w:type="spellEnd"/>
      <w:r>
        <w:rPr>
          <w:b/>
          <w:bCs/>
          <w:i/>
          <w:iCs/>
        </w:rPr>
        <w:t xml:space="preserve">) získava prístup najmä k údajom z </w:t>
      </w:r>
      <w:proofErr w:type="spellStart"/>
      <w:r>
        <w:rPr>
          <w:b/>
          <w:bCs/>
          <w:i/>
          <w:iCs/>
        </w:rPr>
        <w:t>interoperabilných</w:t>
      </w:r>
      <w:proofErr w:type="spellEnd"/>
      <w:r>
        <w:rPr>
          <w:b/>
          <w:bCs/>
          <w:i/>
          <w:iCs/>
        </w:rPr>
        <w:t xml:space="preserve"> rozsiahlych informačných systémov (LSIT) v priestore slobody, bezpečnosti a spravodlivosti z CRRS</w:t>
      </w:r>
      <w:r>
        <w:t xml:space="preserve"> v súlade s nariadeniami (EÚ) 2019/817 a (EÚ) 2019/818 a nariadeniami, ktorými sa zriaďujú systémy, ktorých štatistické údaje sa uchovávajú v CRRS. Na tento účel Komisia (</w:t>
      </w:r>
      <w:proofErr w:type="spellStart"/>
      <w:r>
        <w:t>Eurostat</w:t>
      </w:r>
      <w:proofErr w:type="spellEnd"/>
      <w:r>
        <w:t>) ďalej spolupracuje s príslušnými orgánmi a agentúrami Únie s cieľom špecifikovať prispôsobené štatistické údaje a </w:t>
      </w:r>
      <w:proofErr w:type="spellStart"/>
      <w:r>
        <w:t>metaúdaje</w:t>
      </w:r>
      <w:proofErr w:type="spellEnd"/>
      <w:r>
        <w:t xml:space="preserve"> požadované, ak je to možné podľa práva Únie, pre európsku štatistiku obyvateľov, domov a bytov, operatívne spôsoby ich poskytovania a nevyhnutné sprievodné fyzické a logické záruky.“</w:t>
      </w:r>
    </w:p>
    <w:p w14:paraId="35267F9B" w14:textId="1613F031" w:rsidR="003A74C2" w:rsidRDefault="004C6683">
      <w:pPr>
        <w:spacing w:before="120" w:after="120" w:line="360" w:lineRule="auto"/>
        <w:ind w:left="850" w:hanging="850"/>
        <w:rPr>
          <w:szCs w:val="24"/>
        </w:rPr>
      </w:pPr>
      <w:r>
        <w:lastRenderedPageBreak/>
        <w:t>6.</w:t>
      </w:r>
      <w:r>
        <w:tab/>
        <w:t>Vkladá sa tento článok:</w:t>
      </w:r>
    </w:p>
    <w:p w14:paraId="20FA27A4" w14:textId="77777777" w:rsidR="003A74C2" w:rsidRDefault="004C6683">
      <w:pPr>
        <w:spacing w:before="120" w:after="120" w:line="360" w:lineRule="auto"/>
        <w:ind w:left="850"/>
        <w:rPr>
          <w:szCs w:val="24"/>
        </w:rPr>
      </w:pPr>
      <w:r>
        <w:t>„Článok 10a</w:t>
      </w:r>
    </w:p>
    <w:p w14:paraId="37CF793F" w14:textId="77777777" w:rsidR="003A74C2" w:rsidRDefault="004C6683">
      <w:pPr>
        <w:spacing w:before="120" w:after="120" w:line="360" w:lineRule="auto"/>
        <w:ind w:left="850"/>
        <w:rPr>
          <w:szCs w:val="24"/>
        </w:rPr>
      </w:pPr>
      <w:r>
        <w:t>Zoznamy krajín a území</w:t>
      </w:r>
    </w:p>
    <w:p w14:paraId="2D6B4858" w14:textId="0ACFEDD6" w:rsidR="003A74C2" w:rsidRDefault="004C6683">
      <w:pPr>
        <w:spacing w:before="120" w:after="120" w:line="360" w:lineRule="auto"/>
        <w:ind w:left="850"/>
        <w:rPr>
          <w:szCs w:val="24"/>
        </w:rPr>
      </w:pPr>
      <w:r>
        <w:t>Na zostavovanie štatistiky podľa tohto nariadenia sa použijú zoznamy krajín a území uvedené v článku 11 nariadenia (EÚ) .../...</w:t>
      </w:r>
      <w:r>
        <w:rPr>
          <w:vertAlign w:val="superscript"/>
        </w:rPr>
        <w:t>*</w:t>
      </w:r>
      <w:r>
        <w:rPr>
          <w:noProof/>
          <w:w w:val="0"/>
          <w:szCs w:val="24"/>
          <w:vertAlign w:val="superscript"/>
          <w:lang w:eastAsia="en-US"/>
        </w:rPr>
        <w:footnoteReference w:customMarkFollows="1" w:id="34"/>
        <w:t>+</w:t>
      </w:r>
      <w:r>
        <w:t>, aby sa zabezpečila porovnateľnosť údajov o jednotlivých krajinách a územiach v rámci európskej štatistiky. Členské štáty použijú tieto zoznamy po prvýkrát na zostavenie štatistiky podľa tohto nariadenia počnúc prenosom údajov za referenčný rok 2026.</w:t>
      </w:r>
    </w:p>
    <w:p w14:paraId="07C32560" w14:textId="77777777" w:rsidR="003A74C2" w:rsidRDefault="004C6683" w:rsidP="002419A3">
      <w:pPr>
        <w:spacing w:before="120" w:after="120" w:line="360" w:lineRule="auto"/>
        <w:ind w:left="851"/>
        <w:rPr>
          <w:szCs w:val="24"/>
        </w:rPr>
      </w:pPr>
      <w:r>
        <w:t>________</w:t>
      </w:r>
    </w:p>
    <w:p w14:paraId="647D7956" w14:textId="65E3E57C" w:rsidR="003A74C2" w:rsidRDefault="004C6683" w:rsidP="002419A3">
      <w:pPr>
        <w:spacing w:before="120" w:after="120" w:line="360" w:lineRule="auto"/>
        <w:ind w:left="1418" w:hanging="568"/>
        <w:rPr>
          <w:szCs w:val="24"/>
        </w:rPr>
      </w:pPr>
      <w:r>
        <w:rPr>
          <w:vertAlign w:val="superscript"/>
        </w:rPr>
        <w:t>*</w:t>
      </w:r>
      <w:r>
        <w:tab/>
        <w:t>Nariadenie Európskeho parlamentu a Rady (EÚ) .../... o európskej štatistike obyvateľov, domov a bytov, ktorým sa mení nariadenie (ES) č. 862/2007 a ktorým sa zrušujú nariadenia (ES) č. 763/2008 a (EÚ) č. 1260/2013 (Ú. v. ....)“.</w:t>
      </w:r>
    </w:p>
    <w:p w14:paraId="1A07EAFD" w14:textId="77777777" w:rsidR="003A74C2" w:rsidRDefault="004C6683">
      <w:pPr>
        <w:spacing w:before="120" w:after="120" w:line="360" w:lineRule="auto"/>
        <w:jc w:val="center"/>
        <w:rPr>
          <w:szCs w:val="24"/>
        </w:rPr>
      </w:pPr>
      <w:r>
        <w:t>Článok 21</w:t>
      </w:r>
      <w:r>
        <w:br/>
        <w:t>Zrušenie</w:t>
      </w:r>
    </w:p>
    <w:p w14:paraId="3CCE9A71" w14:textId="77777777" w:rsidR="003A74C2" w:rsidRDefault="004C6683">
      <w:pPr>
        <w:spacing w:before="120" w:after="120" w:line="360" w:lineRule="auto"/>
        <w:rPr>
          <w:szCs w:val="24"/>
        </w:rPr>
      </w:pPr>
      <w:r>
        <w:t>Nariadenia (ES) č. 763/2008 a (EÚ) č. 1260/2013 sa zrušujú s účinnosťou od 1. januára 2026 bez toho, aby boli dotknuté povinnosti stanovené v uvedených právnych aktoch, pokiaľ ide o referenčné obdobia, ktoré spadajú celé alebo čiastočne do obdobia pred uvedeným dátumom.</w:t>
      </w:r>
    </w:p>
    <w:p w14:paraId="5D07B32C" w14:textId="77777777" w:rsidR="003A74C2" w:rsidRDefault="004C6683">
      <w:pPr>
        <w:spacing w:before="120" w:after="120" w:line="360" w:lineRule="auto"/>
        <w:rPr>
          <w:szCs w:val="24"/>
        </w:rPr>
      </w:pPr>
      <w:r>
        <w:t>Odkazy na zrušené nariadenia sa považujú za odkazy na toto nariadenie.</w:t>
      </w:r>
    </w:p>
    <w:p w14:paraId="0B717BD3" w14:textId="77777777" w:rsidR="003A74C2" w:rsidRDefault="004C6683">
      <w:pPr>
        <w:spacing w:before="120" w:after="120" w:line="360" w:lineRule="auto"/>
        <w:jc w:val="center"/>
        <w:rPr>
          <w:szCs w:val="24"/>
        </w:rPr>
      </w:pPr>
      <w:r>
        <w:t>Článok 22</w:t>
      </w:r>
      <w:r>
        <w:br/>
        <w:t>Nadobudnutie účinnosti a uplatňovanie</w:t>
      </w:r>
    </w:p>
    <w:p w14:paraId="1BA80327" w14:textId="77777777" w:rsidR="003A74C2" w:rsidRDefault="004C6683">
      <w:pPr>
        <w:spacing w:before="120" w:after="120" w:line="360" w:lineRule="auto"/>
        <w:rPr>
          <w:szCs w:val="24"/>
        </w:rPr>
      </w:pPr>
      <w:r>
        <w:t>Toto nariadenie nadobúda účinnosť dvadsiatym dňom</w:t>
      </w:r>
      <w:r w:rsidR="00E57448">
        <w:t xml:space="preserve"> nasledujúcim</w:t>
      </w:r>
      <w:r>
        <w:t xml:space="preserve"> po jeho uverejnení v </w:t>
      </w:r>
      <w:r w:rsidRPr="002419A3">
        <w:rPr>
          <w:i/>
        </w:rPr>
        <w:t>Úradnom vestníku Európskej únie</w:t>
      </w:r>
      <w:r>
        <w:t>.</w:t>
      </w:r>
    </w:p>
    <w:p w14:paraId="178DBD2C" w14:textId="77777777" w:rsidR="003A74C2" w:rsidRDefault="004C6683">
      <w:pPr>
        <w:spacing w:before="120" w:after="120" w:line="360" w:lineRule="auto"/>
        <w:rPr>
          <w:szCs w:val="24"/>
        </w:rPr>
      </w:pPr>
      <w:r>
        <w:t>Uplatňuje sa od 1. januára 2026.</w:t>
      </w:r>
    </w:p>
    <w:p w14:paraId="339EF7D5" w14:textId="77777777" w:rsidR="003A74C2" w:rsidRDefault="004C6683">
      <w:pPr>
        <w:spacing w:before="120" w:after="120" w:line="360" w:lineRule="auto"/>
        <w:rPr>
          <w:szCs w:val="24"/>
        </w:rPr>
      </w:pPr>
      <w:r>
        <w:t>Toto nariadenie je záväzné v celom rozsahu a priamo uplatniteľné vo všetkých členských štátoch.</w:t>
      </w:r>
    </w:p>
    <w:p w14:paraId="74967EB7" w14:textId="77777777" w:rsidR="003A74C2" w:rsidRDefault="004C6683">
      <w:pPr>
        <w:keepNext/>
        <w:widowControl/>
        <w:spacing w:before="120" w:line="360" w:lineRule="auto"/>
        <w:rPr>
          <w:szCs w:val="24"/>
        </w:rPr>
      </w:pPr>
      <w:r>
        <w:lastRenderedPageBreak/>
        <w:t>V ...</w:t>
      </w:r>
    </w:p>
    <w:p w14:paraId="4C88389A" w14:textId="77777777" w:rsidR="003A74C2" w:rsidRDefault="004C6683" w:rsidP="002419A3">
      <w:pPr>
        <w:keepNext/>
        <w:widowControl/>
        <w:tabs>
          <w:tab w:val="left" w:pos="4252"/>
        </w:tabs>
        <w:spacing w:before="720" w:line="360" w:lineRule="auto"/>
        <w:jc w:val="both"/>
        <w:rPr>
          <w:i/>
          <w:szCs w:val="24"/>
        </w:rPr>
      </w:pPr>
      <w:r>
        <w:rPr>
          <w:i/>
        </w:rPr>
        <w:t>Za Európsky parlament</w:t>
      </w:r>
      <w:r>
        <w:rPr>
          <w:i/>
        </w:rPr>
        <w:tab/>
        <w:t>Za Radu</w:t>
      </w:r>
    </w:p>
    <w:p w14:paraId="20F04B2E" w14:textId="77777777" w:rsidR="003A74C2" w:rsidRDefault="004C6683">
      <w:pPr>
        <w:widowControl/>
        <w:tabs>
          <w:tab w:val="left" w:pos="4252"/>
        </w:tabs>
        <w:spacing w:line="360" w:lineRule="auto"/>
        <w:rPr>
          <w:i/>
          <w:szCs w:val="24"/>
        </w:rPr>
      </w:pPr>
      <w:r>
        <w:rPr>
          <w:i/>
        </w:rPr>
        <w:t>predsedníčka</w:t>
      </w:r>
      <w:r>
        <w:rPr>
          <w:i/>
        </w:rPr>
        <w:tab/>
        <w:t>predseda/predsedníčka</w:t>
      </w:r>
    </w:p>
    <w:p w14:paraId="3D80F861" w14:textId="77777777" w:rsidR="003A74C2" w:rsidRDefault="004C6683">
      <w:pPr>
        <w:widowControl/>
        <w:spacing w:before="120" w:after="120"/>
        <w:jc w:val="center"/>
        <w:rPr>
          <w:rFonts w:eastAsia="Calibri"/>
          <w:b/>
          <w:noProof/>
          <w:szCs w:val="22"/>
          <w:u w:val="single"/>
        </w:rPr>
      </w:pPr>
      <w:r>
        <w:br w:type="page"/>
      </w:r>
      <w:r>
        <w:rPr>
          <w:b/>
          <w:u w:val="single"/>
        </w:rPr>
        <w:lastRenderedPageBreak/>
        <w:t>PRÍLOHA</w:t>
      </w:r>
    </w:p>
    <w:p w14:paraId="17C584D2" w14:textId="77777777" w:rsidR="003A74C2" w:rsidRDefault="004C6683">
      <w:pPr>
        <w:keepNext/>
        <w:widowControl/>
        <w:tabs>
          <w:tab w:val="left" w:pos="850"/>
        </w:tabs>
        <w:spacing w:before="120" w:after="120"/>
        <w:ind w:left="850" w:hanging="850"/>
        <w:jc w:val="center"/>
        <w:outlineLvl w:val="1"/>
        <w:rPr>
          <w:rFonts w:eastAsia="Calibri"/>
          <w:b/>
          <w:noProof/>
          <w:szCs w:val="22"/>
        </w:rPr>
      </w:pPr>
      <w:r>
        <w:rPr>
          <w:b/>
        </w:rPr>
        <w:t>Domény, témy a čiastkové témy s periodicitou a referenčným časom podľa čiastkových tém</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3A74C2" w14:paraId="5409E147" w14:textId="77777777">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14:paraId="0F852F21" w14:textId="77777777" w:rsidR="003A74C2" w:rsidRDefault="004C6683">
            <w:pPr>
              <w:spacing w:before="120" w:after="120" w:line="360" w:lineRule="auto"/>
              <w:jc w:val="center"/>
              <w:rPr>
                <w:b/>
                <w:noProof/>
                <w:sz w:val="20"/>
                <w:szCs w:val="24"/>
              </w:rPr>
            </w:pPr>
            <w:r>
              <w:rPr>
                <w:b/>
                <w:sz w:val="20"/>
              </w:rPr>
              <w:t>Doména</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036DB95E" w14:textId="77777777" w:rsidR="003A74C2" w:rsidRDefault="004C6683">
            <w:pPr>
              <w:spacing w:before="120" w:after="120" w:line="360" w:lineRule="auto"/>
              <w:jc w:val="center"/>
              <w:rPr>
                <w:b/>
                <w:noProof/>
                <w:sz w:val="20"/>
                <w:szCs w:val="24"/>
              </w:rPr>
            </w:pPr>
            <w:r>
              <w:rPr>
                <w:b/>
                <w:sz w:val="20"/>
              </w:rPr>
              <w:t>Téma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236CFD5A" w14:textId="77777777" w:rsidR="003A74C2" w:rsidRDefault="004C6683">
            <w:pPr>
              <w:spacing w:before="120" w:after="120" w:line="360" w:lineRule="auto"/>
              <w:jc w:val="center"/>
              <w:rPr>
                <w:b/>
                <w:noProof/>
                <w:sz w:val="20"/>
                <w:szCs w:val="24"/>
              </w:rPr>
            </w:pPr>
            <w:r>
              <w:rPr>
                <w:b/>
                <w:sz w:val="20"/>
              </w:rPr>
              <w:t>Čiastková téma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274033FF" w14:textId="77777777" w:rsidR="003A74C2" w:rsidRDefault="004C6683">
            <w:pPr>
              <w:spacing w:before="120" w:after="120" w:line="360" w:lineRule="auto"/>
              <w:jc w:val="center"/>
              <w:rPr>
                <w:b/>
                <w:noProof/>
                <w:sz w:val="20"/>
                <w:szCs w:val="24"/>
              </w:rPr>
            </w:pPr>
            <w:r>
              <w:rPr>
                <w:b/>
                <w:sz w:val="20"/>
              </w:rPr>
              <w:t xml:space="preserve">Periodicita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14:paraId="6517905B" w14:textId="77777777" w:rsidR="003A74C2" w:rsidRDefault="004C6683">
            <w:pPr>
              <w:spacing w:before="120" w:after="120" w:line="360" w:lineRule="auto"/>
              <w:jc w:val="center"/>
              <w:rPr>
                <w:b/>
                <w:noProof/>
                <w:sz w:val="20"/>
                <w:szCs w:val="24"/>
              </w:rPr>
            </w:pPr>
            <w:r>
              <w:rPr>
                <w:b/>
                <w:sz w:val="20"/>
              </w:rPr>
              <w:t>Referenčný čas (dátum alebo obdobie)</w:t>
            </w:r>
          </w:p>
        </w:tc>
      </w:tr>
      <w:tr w:rsidR="003A74C2" w14:paraId="58CD14B8" w14:textId="77777777">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14:paraId="1A14420D" w14:textId="77777777" w:rsidR="003A74C2" w:rsidRDefault="003A74C2">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14:paraId="1636BDB9" w14:textId="77777777" w:rsidR="003A74C2" w:rsidRDefault="003A74C2">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14:paraId="4D19233F" w14:textId="77777777" w:rsidR="003A74C2" w:rsidRDefault="003A74C2">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14:paraId="5869F4D6" w14:textId="77777777" w:rsidR="003A74C2" w:rsidRDefault="003A74C2">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14:paraId="73E2A47C" w14:textId="77777777" w:rsidR="003A74C2" w:rsidRDefault="003A74C2">
            <w:pPr>
              <w:spacing w:before="120" w:after="120" w:line="276" w:lineRule="auto"/>
              <w:rPr>
                <w:b/>
                <w:noProof/>
                <w:sz w:val="20"/>
                <w:szCs w:val="22"/>
              </w:rPr>
            </w:pPr>
          </w:p>
        </w:tc>
      </w:tr>
      <w:tr w:rsidR="003A74C2" w14:paraId="76CCFAE1" w14:textId="77777777">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EA0B16E" w14:textId="77777777" w:rsidR="003A74C2" w:rsidRDefault="004C6683">
            <w:pPr>
              <w:spacing w:after="120" w:line="276" w:lineRule="auto"/>
              <w:rPr>
                <w:sz w:val="20"/>
              </w:rPr>
            </w:pPr>
            <w:r>
              <w:rPr>
                <w:sz w:val="20"/>
              </w:rPr>
              <w:t>Demografia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5C3B9F5" w14:textId="77777777" w:rsidR="003A74C2" w:rsidRDefault="004C6683">
            <w:pPr>
              <w:spacing w:after="120" w:line="276" w:lineRule="auto"/>
              <w:rPr>
                <w:sz w:val="20"/>
              </w:rPr>
            </w:pPr>
            <w:r>
              <w:rPr>
                <w:sz w:val="20"/>
              </w:rPr>
              <w:t>Stav obyvateľov</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0C19C2F" w14:textId="77777777" w:rsidR="003A74C2" w:rsidRDefault="004C6683">
            <w:pPr>
              <w:spacing w:after="120" w:line="276" w:lineRule="auto"/>
              <w:rPr>
                <w:sz w:val="20"/>
              </w:rPr>
            </w:pPr>
            <w:r>
              <w:rPr>
                <w:sz w:val="20"/>
              </w:rPr>
              <w:t>Základné charakteristiky osoby</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E91890B" w14:textId="77777777" w:rsidR="003A74C2" w:rsidRDefault="004C6683">
            <w:pPr>
              <w:spacing w:after="120" w:line="276" w:lineRule="auto"/>
              <w:rPr>
                <w:sz w:val="20"/>
              </w:rPr>
            </w:pPr>
            <w:r>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436043" w14:textId="77777777" w:rsidR="003A74C2" w:rsidRDefault="004C6683">
            <w:pPr>
              <w:spacing w:after="120" w:line="276" w:lineRule="auto"/>
              <w:rPr>
                <w:sz w:val="20"/>
              </w:rPr>
            </w:pPr>
            <w:r>
              <w:rPr>
                <w:sz w:val="20"/>
              </w:rPr>
              <w:t>30.6.RR a</w:t>
            </w:r>
          </w:p>
          <w:p w14:paraId="03D0A816" w14:textId="77777777" w:rsidR="003A74C2" w:rsidRDefault="004C6683">
            <w:pPr>
              <w:spacing w:after="120" w:line="276" w:lineRule="auto"/>
              <w:rPr>
                <w:sz w:val="20"/>
              </w:rPr>
            </w:pPr>
            <w:r>
              <w:rPr>
                <w:sz w:val="20"/>
              </w:rPr>
              <w:t>31.12.RR</w:t>
            </w:r>
          </w:p>
        </w:tc>
      </w:tr>
      <w:tr w:rsidR="003A74C2" w14:paraId="24E8B7A0"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30C16DFE"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7A5849D"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3DD3E9E"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9B82D76"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9B4B74B" w14:textId="77777777" w:rsidR="003A74C2" w:rsidRDefault="004C6683">
            <w:pPr>
              <w:spacing w:after="120" w:line="276" w:lineRule="auto"/>
              <w:rPr>
                <w:sz w:val="20"/>
              </w:rPr>
            </w:pPr>
            <w:r>
              <w:rPr>
                <w:sz w:val="20"/>
              </w:rPr>
              <w:t>31.12.RR</w:t>
            </w:r>
          </w:p>
        </w:tc>
      </w:tr>
      <w:tr w:rsidR="003A74C2" w14:paraId="0A4539C8"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0ED946E0"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80B95F"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5543B9E"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B7FE887" w14:textId="77777777" w:rsidR="003A74C2" w:rsidRDefault="004C6683">
            <w:pPr>
              <w:spacing w:after="120" w:line="276" w:lineRule="auto"/>
              <w:rPr>
                <w:sz w:val="20"/>
              </w:rPr>
            </w:pPr>
            <w:r>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5084B7F" w14:textId="77777777" w:rsidR="003A74C2" w:rsidRDefault="004C6683">
            <w:pPr>
              <w:spacing w:after="120" w:line="276" w:lineRule="auto"/>
              <w:rPr>
                <w:sz w:val="20"/>
              </w:rPr>
            </w:pPr>
            <w:r>
              <w:rPr>
                <w:sz w:val="20"/>
              </w:rPr>
              <w:t>31.12.RR</w:t>
            </w:r>
          </w:p>
        </w:tc>
      </w:tr>
      <w:tr w:rsidR="003A74C2" w14:paraId="56CE100B"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1CC65DB0"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104ECFA"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503E39A"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13F47EF" w14:textId="77777777" w:rsidR="003A74C2" w:rsidRDefault="004C6683">
            <w:pPr>
              <w:spacing w:after="120" w:line="276" w:lineRule="auto"/>
              <w:rPr>
                <w:sz w:val="20"/>
              </w:rPr>
            </w:pPr>
            <w:r>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3B7A1FC" w14:textId="77777777" w:rsidR="003A74C2" w:rsidRDefault="004C6683">
            <w:pPr>
              <w:spacing w:after="120" w:line="276" w:lineRule="auto"/>
              <w:rPr>
                <w:sz w:val="20"/>
              </w:rPr>
            </w:pPr>
            <w:r>
              <w:rPr>
                <w:sz w:val="20"/>
              </w:rPr>
              <w:t>31.12.RR</w:t>
            </w:r>
          </w:p>
        </w:tc>
      </w:tr>
      <w:tr w:rsidR="003A74C2" w14:paraId="5BA37699"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3A4A6B7C"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40A46B1" w14:textId="77777777" w:rsidR="003A74C2" w:rsidRDefault="003A74C2">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946DB8E" w14:textId="77777777" w:rsidR="003A74C2" w:rsidRDefault="004C6683">
            <w:pPr>
              <w:spacing w:after="120" w:line="276" w:lineRule="auto"/>
              <w:rPr>
                <w:sz w:val="20"/>
              </w:rPr>
            </w:pPr>
            <w:r>
              <w:rPr>
                <w:sz w:val="20"/>
              </w:rPr>
              <w:t>Sociálno-ekonomické charakteristiky osoby</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E61959A" w14:textId="77777777" w:rsidR="003A74C2" w:rsidRDefault="004C6683">
            <w:pPr>
              <w:spacing w:before="120" w:after="120" w:line="360"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0B50592" w14:textId="77777777" w:rsidR="003A74C2" w:rsidRDefault="004C6683">
            <w:pPr>
              <w:spacing w:after="120" w:line="276" w:lineRule="auto"/>
              <w:rPr>
                <w:sz w:val="20"/>
              </w:rPr>
            </w:pPr>
            <w:r>
              <w:rPr>
                <w:sz w:val="20"/>
              </w:rPr>
              <w:t>31.12.RR</w:t>
            </w:r>
          </w:p>
        </w:tc>
      </w:tr>
      <w:tr w:rsidR="003A74C2" w14:paraId="6D52555A"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2909AD24"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3440495"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370C569"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8521B98" w14:textId="77777777" w:rsidR="003A74C2" w:rsidRDefault="004C6683">
            <w:pPr>
              <w:spacing w:after="120" w:line="276" w:lineRule="auto"/>
              <w:rPr>
                <w:sz w:val="20"/>
              </w:rPr>
            </w:pPr>
            <w:r>
              <w:rPr>
                <w:sz w:val="20"/>
              </w:rPr>
              <w:t>MA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0F976E1" w14:textId="77777777" w:rsidR="003A74C2" w:rsidRDefault="004C6683">
            <w:pPr>
              <w:spacing w:after="120" w:line="276" w:lineRule="auto"/>
              <w:rPr>
                <w:sz w:val="20"/>
              </w:rPr>
            </w:pPr>
            <w:r>
              <w:rPr>
                <w:sz w:val="20"/>
              </w:rPr>
              <w:t>31.12.RR</w:t>
            </w:r>
          </w:p>
        </w:tc>
      </w:tr>
      <w:tr w:rsidR="003A74C2" w14:paraId="750D77A3"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0AA13FB5"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715A658"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49B6286"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81F7F61" w14:textId="77777777" w:rsidR="003A74C2" w:rsidRDefault="004C6683">
            <w:pPr>
              <w:spacing w:after="120" w:line="276" w:lineRule="auto"/>
              <w:rPr>
                <w:sz w:val="20"/>
              </w:rPr>
            </w:pPr>
            <w:r>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B6677C5" w14:textId="77777777" w:rsidR="003A74C2" w:rsidRDefault="004C6683">
            <w:pPr>
              <w:spacing w:after="120" w:line="276" w:lineRule="auto"/>
              <w:rPr>
                <w:sz w:val="20"/>
              </w:rPr>
            </w:pPr>
            <w:r>
              <w:rPr>
                <w:sz w:val="20"/>
              </w:rPr>
              <w:t>31.12.RR</w:t>
            </w:r>
          </w:p>
        </w:tc>
      </w:tr>
      <w:tr w:rsidR="003A74C2" w14:paraId="37490379"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20B39576" w14:textId="77777777" w:rsidR="003A74C2" w:rsidRDefault="003A74C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479A36A" w14:textId="77777777" w:rsidR="003A74C2" w:rsidRDefault="004C6683">
            <w:pPr>
              <w:spacing w:after="120" w:line="276" w:lineRule="auto"/>
              <w:rPr>
                <w:sz w:val="20"/>
              </w:rPr>
            </w:pPr>
            <w:r>
              <w:rPr>
                <w:sz w:val="20"/>
              </w:rPr>
              <w:t>Plodnosť</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97EE149" w14:textId="77777777" w:rsidR="003A74C2" w:rsidRDefault="004C6683">
            <w:pPr>
              <w:spacing w:after="120" w:line="276" w:lineRule="auto"/>
              <w:rPr>
                <w:sz w:val="20"/>
              </w:rPr>
            </w:pPr>
            <w:r>
              <w:rPr>
                <w:sz w:val="20"/>
              </w:rPr>
              <w:t>Narodenia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395AE2C" w14:textId="77777777" w:rsidR="003A74C2" w:rsidRDefault="004C6683">
            <w:pPr>
              <w:spacing w:after="120" w:line="276" w:lineRule="auto"/>
              <w:rPr>
                <w:sz w:val="20"/>
              </w:rPr>
            </w:pPr>
            <w:r>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047A31A" w14:textId="77777777" w:rsidR="003A74C2" w:rsidRDefault="004C6683">
            <w:pPr>
              <w:spacing w:after="120" w:line="276" w:lineRule="auto"/>
              <w:rPr>
                <w:sz w:val="20"/>
              </w:rPr>
            </w:pPr>
            <w:r>
              <w:rPr>
                <w:sz w:val="20"/>
              </w:rPr>
              <w:t>mesiac</w:t>
            </w:r>
          </w:p>
        </w:tc>
      </w:tr>
      <w:tr w:rsidR="003A74C2" w14:paraId="183F80B6"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0717096F"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9D19DF3"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9A536B7"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230D03C"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5B1921F" w14:textId="77777777" w:rsidR="003A74C2" w:rsidRDefault="004C6683">
            <w:pPr>
              <w:spacing w:after="120" w:line="276" w:lineRule="auto"/>
              <w:rPr>
                <w:sz w:val="20"/>
              </w:rPr>
            </w:pPr>
            <w:r>
              <w:rPr>
                <w:sz w:val="20"/>
              </w:rPr>
              <w:t>Rok</w:t>
            </w:r>
          </w:p>
        </w:tc>
      </w:tr>
      <w:tr w:rsidR="003A74C2" w14:paraId="42DA7A7C"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57398A9A"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5871088" w14:textId="77777777" w:rsidR="003A74C2" w:rsidRDefault="003A74C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9922266" w14:textId="77777777" w:rsidR="003A74C2" w:rsidRDefault="004C6683">
            <w:pPr>
              <w:spacing w:after="120" w:line="276" w:lineRule="auto"/>
              <w:rPr>
                <w:sz w:val="20"/>
              </w:rPr>
            </w:pPr>
            <w:r>
              <w:rPr>
                <w:sz w:val="20"/>
              </w:rPr>
              <w:t>Legálne úmyselné prerušenie tehotenstva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63E7999"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5CBB48E" w14:textId="77777777" w:rsidR="003A74C2" w:rsidRDefault="004C6683">
            <w:pPr>
              <w:spacing w:after="120" w:line="276" w:lineRule="auto"/>
              <w:rPr>
                <w:sz w:val="20"/>
              </w:rPr>
            </w:pPr>
            <w:r>
              <w:rPr>
                <w:sz w:val="20"/>
              </w:rPr>
              <w:t>Rok</w:t>
            </w:r>
          </w:p>
        </w:tc>
      </w:tr>
      <w:tr w:rsidR="003A74C2" w14:paraId="17EADD46"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5299CB26" w14:textId="77777777" w:rsidR="003A74C2" w:rsidRDefault="003A74C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113646B" w14:textId="77777777" w:rsidR="003A74C2" w:rsidRDefault="004C6683">
            <w:pPr>
              <w:spacing w:after="120" w:line="276" w:lineRule="auto"/>
              <w:rPr>
                <w:sz w:val="20"/>
              </w:rPr>
            </w:pPr>
            <w:r>
              <w:rPr>
                <w:sz w:val="20"/>
              </w:rPr>
              <w:t>Úmrtnosť</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004121" w14:textId="77777777" w:rsidR="003A74C2" w:rsidRDefault="004C6683">
            <w:pPr>
              <w:spacing w:after="120" w:line="276" w:lineRule="auto"/>
              <w:rPr>
                <w:sz w:val="20"/>
              </w:rPr>
            </w:pPr>
            <w:r>
              <w:rPr>
                <w:sz w:val="20"/>
              </w:rPr>
              <w:t>Úmrtia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4CF43F6" w14:textId="77777777" w:rsidR="003A74C2" w:rsidRDefault="004C6683">
            <w:pPr>
              <w:spacing w:after="120" w:line="276" w:lineRule="auto"/>
              <w:rPr>
                <w:sz w:val="20"/>
              </w:rPr>
            </w:pPr>
            <w:r>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E6F1E51" w14:textId="77777777" w:rsidR="003A74C2" w:rsidRDefault="004C6683">
            <w:pPr>
              <w:spacing w:after="120" w:line="276" w:lineRule="auto"/>
              <w:rPr>
                <w:sz w:val="20"/>
              </w:rPr>
            </w:pPr>
            <w:r>
              <w:rPr>
                <w:sz w:val="20"/>
              </w:rPr>
              <w:t>mesiac, týždeň</w:t>
            </w:r>
          </w:p>
        </w:tc>
      </w:tr>
      <w:tr w:rsidR="003A74C2" w14:paraId="26426D88"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283783B9"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4C51A02"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883BBB5"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0C4E7B3"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CF96272" w14:textId="77777777" w:rsidR="003A74C2" w:rsidRDefault="004C6683">
            <w:pPr>
              <w:spacing w:after="120" w:line="276" w:lineRule="auto"/>
              <w:rPr>
                <w:sz w:val="20"/>
              </w:rPr>
            </w:pPr>
            <w:r>
              <w:rPr>
                <w:sz w:val="20"/>
              </w:rPr>
              <w:t>Rok</w:t>
            </w:r>
          </w:p>
        </w:tc>
      </w:tr>
      <w:tr w:rsidR="003A74C2" w14:paraId="5995CCAF"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5D70CFA3"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BDA7E83" w14:textId="77777777" w:rsidR="003A74C2" w:rsidRDefault="003A74C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834451A" w14:textId="77777777" w:rsidR="003A74C2" w:rsidRDefault="004C6683">
            <w:pPr>
              <w:spacing w:after="120" w:line="276" w:lineRule="auto"/>
              <w:rPr>
                <w:sz w:val="20"/>
              </w:rPr>
            </w:pPr>
            <w:r>
              <w:rPr>
                <w:sz w:val="20"/>
              </w:rPr>
              <w:t>Úmrtia dojčiat</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84BC44C"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DB666E1" w14:textId="77777777" w:rsidR="003A74C2" w:rsidRDefault="004C6683">
            <w:pPr>
              <w:spacing w:after="120" w:line="276" w:lineRule="auto"/>
              <w:rPr>
                <w:sz w:val="20"/>
              </w:rPr>
            </w:pPr>
            <w:r>
              <w:rPr>
                <w:sz w:val="20"/>
              </w:rPr>
              <w:t>Rok</w:t>
            </w:r>
          </w:p>
        </w:tc>
      </w:tr>
      <w:tr w:rsidR="003A74C2" w14:paraId="0C2DFD97"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62DA34A8"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822FE20" w14:textId="77777777" w:rsidR="003A74C2" w:rsidRDefault="003A74C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17BFD73" w14:textId="77777777" w:rsidR="003A74C2" w:rsidRDefault="004C6683">
            <w:pPr>
              <w:spacing w:after="120" w:line="276" w:lineRule="auto"/>
              <w:rPr>
                <w:sz w:val="20"/>
              </w:rPr>
            </w:pPr>
            <w:r>
              <w:rPr>
                <w:sz w:val="20"/>
              </w:rPr>
              <w:t>Neskoré úmrtia plodu</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CB6E6DE"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FC38E10" w14:textId="77777777" w:rsidR="003A74C2" w:rsidRDefault="004C6683">
            <w:pPr>
              <w:spacing w:after="120" w:line="276" w:lineRule="auto"/>
              <w:rPr>
                <w:sz w:val="20"/>
              </w:rPr>
            </w:pPr>
            <w:r>
              <w:rPr>
                <w:sz w:val="20"/>
              </w:rPr>
              <w:t>Rok</w:t>
            </w:r>
          </w:p>
        </w:tc>
      </w:tr>
      <w:tr w:rsidR="003A74C2" w14:paraId="5E2211C5"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5B665468" w14:textId="77777777" w:rsidR="003A74C2" w:rsidRDefault="003A74C2">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FC10FB7" w14:textId="77777777" w:rsidR="003A74C2" w:rsidRDefault="004C6683">
            <w:pPr>
              <w:spacing w:after="120" w:line="276" w:lineRule="auto"/>
              <w:rPr>
                <w:sz w:val="20"/>
              </w:rPr>
            </w:pPr>
            <w:r>
              <w:rPr>
                <w:sz w:val="20"/>
              </w:rPr>
              <w:t>Partnerstvá</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C84DBF0" w14:textId="77777777" w:rsidR="003A74C2" w:rsidRDefault="004C6683">
            <w:pPr>
              <w:spacing w:after="120" w:line="276" w:lineRule="auto"/>
              <w:rPr>
                <w:sz w:val="20"/>
              </w:rPr>
            </w:pPr>
            <w:r>
              <w:rPr>
                <w:sz w:val="20"/>
              </w:rPr>
              <w:t>Manželstvá a registrované partnerstvá</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FF654C9"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81F919E" w14:textId="77777777" w:rsidR="003A74C2" w:rsidRDefault="004C6683">
            <w:pPr>
              <w:spacing w:after="120" w:line="276" w:lineRule="auto"/>
              <w:rPr>
                <w:sz w:val="20"/>
              </w:rPr>
            </w:pPr>
            <w:r>
              <w:rPr>
                <w:sz w:val="20"/>
              </w:rPr>
              <w:t>Rok</w:t>
            </w:r>
          </w:p>
        </w:tc>
      </w:tr>
      <w:tr w:rsidR="003A74C2" w14:paraId="4175E373"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5C109552" w14:textId="77777777" w:rsidR="003A74C2" w:rsidRDefault="003A74C2">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033D5411" w14:textId="77777777" w:rsidR="003A74C2" w:rsidRDefault="003A74C2">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2CECB84" w14:textId="77777777" w:rsidR="003A74C2" w:rsidRDefault="004C6683">
            <w:pPr>
              <w:spacing w:after="120" w:line="276" w:lineRule="auto"/>
              <w:rPr>
                <w:sz w:val="20"/>
              </w:rPr>
            </w:pPr>
            <w:r>
              <w:rPr>
                <w:sz w:val="20"/>
              </w:rPr>
              <w:t>Charakteristiky osôb uzatvárajúcich manželstvo alebo registrované partnerstvo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26281C4"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818FB85" w14:textId="77777777" w:rsidR="003A74C2" w:rsidRDefault="004C6683">
            <w:pPr>
              <w:spacing w:after="120" w:line="276" w:lineRule="auto"/>
              <w:rPr>
                <w:sz w:val="20"/>
              </w:rPr>
            </w:pPr>
            <w:r>
              <w:rPr>
                <w:sz w:val="20"/>
              </w:rPr>
              <w:t>Rok</w:t>
            </w:r>
          </w:p>
        </w:tc>
      </w:tr>
      <w:tr w:rsidR="003A74C2" w14:paraId="3E9F429B"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62A38D37" w14:textId="77777777" w:rsidR="003A74C2" w:rsidRDefault="003A74C2">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376D5A09" w14:textId="77777777" w:rsidR="003A74C2" w:rsidRDefault="003A74C2">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923EA0D" w14:textId="77777777" w:rsidR="003A74C2" w:rsidRDefault="004C6683">
            <w:pPr>
              <w:spacing w:after="120" w:line="276" w:lineRule="auto"/>
              <w:rPr>
                <w:sz w:val="20"/>
              </w:rPr>
            </w:pPr>
            <w:r>
              <w:rPr>
                <w:sz w:val="20"/>
              </w:rPr>
              <w:t>Rozvody a ukončené registrované partnerstvá</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1D6EC4E"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D3468A4" w14:textId="77777777" w:rsidR="003A74C2" w:rsidRDefault="004C6683">
            <w:pPr>
              <w:spacing w:after="120" w:line="276" w:lineRule="auto"/>
              <w:rPr>
                <w:sz w:val="20"/>
              </w:rPr>
            </w:pPr>
            <w:r>
              <w:rPr>
                <w:sz w:val="20"/>
              </w:rPr>
              <w:t>Rok</w:t>
            </w:r>
          </w:p>
        </w:tc>
      </w:tr>
      <w:tr w:rsidR="003A74C2" w14:paraId="4AED9B15"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7ECB04C7" w14:textId="77777777" w:rsidR="003A74C2" w:rsidRDefault="003A74C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D8349A4" w14:textId="77777777" w:rsidR="003A74C2" w:rsidRDefault="004C6683">
            <w:pPr>
              <w:spacing w:after="120" w:line="276" w:lineRule="auto"/>
              <w:rPr>
                <w:sz w:val="20"/>
              </w:rPr>
            </w:pPr>
            <w:r>
              <w:rPr>
                <w:sz w:val="20"/>
              </w:rPr>
              <w:t>Migrácia</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0AD0274" w14:textId="77777777" w:rsidR="003A74C2" w:rsidRDefault="004C6683">
            <w:pPr>
              <w:spacing w:after="120" w:line="276" w:lineRule="auto"/>
              <w:rPr>
                <w:sz w:val="20"/>
              </w:rPr>
            </w:pPr>
            <w:r>
              <w:rPr>
                <w:sz w:val="20"/>
              </w:rPr>
              <w:t>Prisťahovalci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843E8DE" w14:textId="77777777" w:rsidR="003A74C2" w:rsidRDefault="004C6683">
            <w:pPr>
              <w:spacing w:after="120" w:line="276" w:lineRule="auto"/>
              <w:rPr>
                <w:sz w:val="20"/>
              </w:rPr>
            </w:pPr>
            <w:r>
              <w:rPr>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049667C" w14:textId="77777777" w:rsidR="003A74C2" w:rsidRDefault="004C6683">
            <w:pPr>
              <w:spacing w:after="120" w:line="276" w:lineRule="auto"/>
              <w:rPr>
                <w:sz w:val="20"/>
              </w:rPr>
            </w:pPr>
            <w:r>
              <w:rPr>
                <w:sz w:val="20"/>
              </w:rPr>
              <w:t>mesiac</w:t>
            </w:r>
          </w:p>
        </w:tc>
      </w:tr>
      <w:tr w:rsidR="003A74C2" w14:paraId="0AE2AE7A"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18634E2C"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4BAA3C9"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2A1987"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5224323"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E764931" w14:textId="77777777" w:rsidR="003A74C2" w:rsidRDefault="004C6683">
            <w:pPr>
              <w:spacing w:after="120" w:line="276" w:lineRule="auto"/>
              <w:rPr>
                <w:sz w:val="20"/>
              </w:rPr>
            </w:pPr>
            <w:r>
              <w:rPr>
                <w:sz w:val="20"/>
              </w:rPr>
              <w:t>Rok</w:t>
            </w:r>
          </w:p>
        </w:tc>
      </w:tr>
      <w:tr w:rsidR="003A74C2" w14:paraId="1BC00D3F"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354C3159"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70DF18F" w14:textId="77777777" w:rsidR="003A74C2" w:rsidRDefault="003A74C2">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CF8C6B3" w14:textId="77777777" w:rsidR="003A74C2" w:rsidRDefault="004C6683">
            <w:pPr>
              <w:spacing w:after="120" w:line="276" w:lineRule="auto"/>
              <w:rPr>
                <w:sz w:val="20"/>
              </w:rPr>
            </w:pPr>
            <w:r>
              <w:rPr>
                <w:sz w:val="20"/>
              </w:rPr>
              <w:t>Vysťahovalci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EEBB35E" w14:textId="77777777" w:rsidR="003A74C2" w:rsidRDefault="004C6683">
            <w:pPr>
              <w:spacing w:after="120" w:line="276" w:lineRule="auto"/>
              <w:rPr>
                <w:b/>
                <w:i/>
                <w:sz w:val="20"/>
              </w:rPr>
            </w:pPr>
            <w:r>
              <w:rPr>
                <w:b/>
                <w:i/>
                <w:sz w:val="20"/>
              </w:rPr>
              <w:t>Q</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634CFE2E" w14:textId="77777777" w:rsidR="003A74C2" w:rsidRDefault="004C6683">
            <w:pPr>
              <w:spacing w:after="120" w:line="276" w:lineRule="auto"/>
              <w:rPr>
                <w:b/>
                <w:i/>
                <w:sz w:val="20"/>
              </w:rPr>
            </w:pPr>
            <w:r>
              <w:rPr>
                <w:b/>
                <w:i/>
                <w:sz w:val="20"/>
              </w:rPr>
              <w:t>mesiac</w:t>
            </w:r>
          </w:p>
        </w:tc>
      </w:tr>
      <w:tr w:rsidR="003A74C2" w14:paraId="65A5E825"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31C8D7E5"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10F33E7" w14:textId="77777777" w:rsidR="003A74C2" w:rsidRDefault="003A74C2">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F46D1E0" w14:textId="77777777" w:rsidR="003A74C2" w:rsidRDefault="003A74C2">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AEE579E"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4A41427" w14:textId="77777777" w:rsidR="003A74C2" w:rsidRDefault="004C6683">
            <w:pPr>
              <w:spacing w:after="120" w:line="276" w:lineRule="auto"/>
              <w:rPr>
                <w:sz w:val="20"/>
              </w:rPr>
            </w:pPr>
            <w:r>
              <w:rPr>
                <w:sz w:val="20"/>
              </w:rPr>
              <w:t>Rok</w:t>
            </w:r>
          </w:p>
        </w:tc>
      </w:tr>
      <w:tr w:rsidR="003A74C2" w14:paraId="65FA919B"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28C7B453"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05DA8AD" w14:textId="77777777" w:rsidR="003A74C2" w:rsidRDefault="003A74C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41CA420" w14:textId="77777777" w:rsidR="003A74C2" w:rsidRDefault="004C6683">
            <w:pPr>
              <w:spacing w:after="120" w:line="276" w:lineRule="auto"/>
              <w:rPr>
                <w:sz w:val="20"/>
              </w:rPr>
            </w:pPr>
            <w:r>
              <w:rPr>
                <w:sz w:val="20"/>
              </w:rPr>
              <w:t>Vnútorná migrácia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9D15112"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E1FD351" w14:textId="77777777" w:rsidR="003A74C2" w:rsidRDefault="004C6683">
            <w:pPr>
              <w:spacing w:after="120" w:line="276" w:lineRule="auto"/>
              <w:rPr>
                <w:sz w:val="20"/>
              </w:rPr>
            </w:pPr>
            <w:r>
              <w:rPr>
                <w:sz w:val="20"/>
              </w:rPr>
              <w:t>Rok</w:t>
            </w:r>
          </w:p>
        </w:tc>
      </w:tr>
      <w:tr w:rsidR="003A74C2" w14:paraId="16E9836F"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58B0D693" w14:textId="77777777" w:rsidR="003A74C2" w:rsidRDefault="003A74C2">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324BB7E" w14:textId="77777777" w:rsidR="003A74C2" w:rsidRDefault="004C6683">
            <w:pPr>
              <w:spacing w:after="120" w:line="276" w:lineRule="auto"/>
              <w:rPr>
                <w:sz w:val="20"/>
              </w:rPr>
            </w:pPr>
            <w:r>
              <w:rPr>
                <w:sz w:val="20"/>
              </w:rPr>
              <w:t xml:space="preserve">Nadobudnutie a strata </w:t>
            </w:r>
            <w:r>
              <w:rPr>
                <w:sz w:val="20"/>
              </w:rPr>
              <w:lastRenderedPageBreak/>
              <w:t>občianstva členského štátu EÚ a Únie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03398E72" w14:textId="77777777" w:rsidR="003A74C2" w:rsidRDefault="004C6683">
            <w:pPr>
              <w:spacing w:after="120" w:line="276" w:lineRule="auto"/>
              <w:rPr>
                <w:sz w:val="20"/>
              </w:rPr>
            </w:pPr>
            <w:r>
              <w:rPr>
                <w:sz w:val="20"/>
              </w:rPr>
              <w:lastRenderedPageBreak/>
              <w:t>Osoba, ktorá nadobudla občianstvo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21A4B55"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55C8E441" w14:textId="77777777" w:rsidR="003A74C2" w:rsidRDefault="004C6683">
            <w:pPr>
              <w:spacing w:after="120" w:line="276" w:lineRule="auto"/>
              <w:rPr>
                <w:sz w:val="20"/>
              </w:rPr>
            </w:pPr>
            <w:r>
              <w:rPr>
                <w:sz w:val="20"/>
              </w:rPr>
              <w:t>Rok</w:t>
            </w:r>
          </w:p>
        </w:tc>
      </w:tr>
      <w:tr w:rsidR="003A74C2" w14:paraId="2D20F800" w14:textId="77777777">
        <w:tc>
          <w:tcPr>
            <w:tcW w:w="9776" w:type="dxa"/>
            <w:vMerge/>
            <w:tcBorders>
              <w:top w:val="single" w:sz="4" w:space="0" w:color="auto"/>
              <w:left w:val="single" w:sz="4" w:space="0" w:color="auto"/>
              <w:bottom w:val="single" w:sz="4" w:space="0" w:color="auto"/>
              <w:right w:val="single" w:sz="4" w:space="0" w:color="auto"/>
            </w:tcBorders>
            <w:vAlign w:val="center"/>
            <w:hideMark/>
          </w:tcPr>
          <w:p w14:paraId="1763E96E" w14:textId="77777777" w:rsidR="003A74C2" w:rsidRDefault="003A74C2">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EFEEBF6" w14:textId="77777777" w:rsidR="003A74C2" w:rsidRDefault="003A74C2">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44AF35C0" w14:textId="77777777" w:rsidR="003A74C2" w:rsidRDefault="004C6683">
            <w:pPr>
              <w:spacing w:after="120" w:line="276" w:lineRule="auto"/>
              <w:rPr>
                <w:sz w:val="20"/>
              </w:rPr>
            </w:pPr>
            <w:r>
              <w:rPr>
                <w:sz w:val="20"/>
              </w:rPr>
              <w:t>Osoba, ktorá stratila občianstvo/zriekla sa občianstva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10ADEA7C" w14:textId="77777777" w:rsidR="003A74C2" w:rsidRDefault="004C6683">
            <w:pPr>
              <w:spacing w:after="120" w:line="276" w:lineRule="auto"/>
              <w:rPr>
                <w:sz w:val="20"/>
              </w:rPr>
            </w:pPr>
            <w:r>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7B094174" w14:textId="77777777" w:rsidR="003A74C2" w:rsidRDefault="004C6683">
            <w:pPr>
              <w:spacing w:after="120" w:line="276" w:lineRule="auto"/>
              <w:rPr>
                <w:sz w:val="20"/>
              </w:rPr>
            </w:pPr>
            <w:r>
              <w:rPr>
                <w:sz w:val="20"/>
              </w:rPr>
              <w:t>Rok</w:t>
            </w:r>
          </w:p>
        </w:tc>
      </w:tr>
      <w:tr w:rsidR="003A74C2" w14:paraId="56B02B9C" w14:textId="77777777">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4D6F163" w14:textId="77777777" w:rsidR="003A74C2" w:rsidRDefault="004C6683">
            <w:pPr>
              <w:spacing w:before="120" w:after="120" w:line="360" w:lineRule="auto"/>
              <w:jc w:val="center"/>
              <w:rPr>
                <w:noProof/>
                <w:sz w:val="20"/>
                <w:szCs w:val="24"/>
              </w:rPr>
            </w:pPr>
            <w:r>
              <w:rPr>
                <w:sz w:val="20"/>
              </w:rPr>
              <w:t>Domy a byty</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14:paraId="24F7578E" w14:textId="77777777" w:rsidR="003A74C2" w:rsidRDefault="004C6683">
            <w:pPr>
              <w:spacing w:before="120" w:after="120" w:line="360" w:lineRule="auto"/>
              <w:jc w:val="center"/>
              <w:rPr>
                <w:noProof/>
                <w:sz w:val="20"/>
                <w:szCs w:val="24"/>
              </w:rPr>
            </w:pPr>
            <w:r>
              <w:rPr>
                <w:sz w:val="20"/>
              </w:rPr>
              <w:t>Obydlia</w:t>
            </w:r>
          </w:p>
        </w:tc>
        <w:tc>
          <w:tcPr>
            <w:tcW w:w="3402" w:type="dxa"/>
            <w:tcBorders>
              <w:top w:val="nil"/>
              <w:left w:val="nil"/>
              <w:bottom w:val="single" w:sz="4" w:space="0" w:color="auto"/>
              <w:right w:val="single" w:sz="4" w:space="0" w:color="auto"/>
            </w:tcBorders>
            <w:shd w:val="clear" w:color="auto" w:fill="FFFFFF"/>
            <w:vAlign w:val="center"/>
            <w:hideMark/>
          </w:tcPr>
          <w:p w14:paraId="3FE6AE57" w14:textId="77777777" w:rsidR="003A74C2" w:rsidRDefault="004C6683">
            <w:pPr>
              <w:spacing w:before="120" w:after="120" w:line="360" w:lineRule="auto"/>
              <w:jc w:val="center"/>
              <w:rPr>
                <w:noProof/>
                <w:sz w:val="20"/>
                <w:szCs w:val="24"/>
              </w:rPr>
            </w:pPr>
            <w:r>
              <w:rPr>
                <w:sz w:val="20"/>
              </w:rPr>
              <w:t>Charakteristiky obydlí</w:t>
            </w:r>
          </w:p>
        </w:tc>
        <w:tc>
          <w:tcPr>
            <w:tcW w:w="1276" w:type="dxa"/>
            <w:tcBorders>
              <w:top w:val="nil"/>
              <w:left w:val="nil"/>
              <w:bottom w:val="single" w:sz="4" w:space="0" w:color="auto"/>
              <w:right w:val="single" w:sz="4" w:space="0" w:color="auto"/>
            </w:tcBorders>
            <w:shd w:val="clear" w:color="auto" w:fill="FFFFFF"/>
            <w:vAlign w:val="center"/>
            <w:hideMark/>
          </w:tcPr>
          <w:p w14:paraId="0FBB0B96" w14:textId="77777777" w:rsidR="003A74C2" w:rsidRDefault="004C6683">
            <w:pPr>
              <w:spacing w:before="120" w:after="120" w:line="360" w:lineRule="auto"/>
              <w:jc w:val="center"/>
              <w:rPr>
                <w:noProof/>
                <w:sz w:val="20"/>
                <w:szCs w:val="24"/>
              </w:rPr>
            </w:pPr>
            <w:r>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15B83404" w14:textId="77777777" w:rsidR="003A74C2" w:rsidRDefault="004C6683">
            <w:pPr>
              <w:spacing w:before="120" w:after="120" w:line="360" w:lineRule="auto"/>
              <w:jc w:val="center"/>
              <w:rPr>
                <w:noProof/>
                <w:sz w:val="20"/>
                <w:szCs w:val="24"/>
              </w:rPr>
            </w:pPr>
            <w:r>
              <w:rPr>
                <w:sz w:val="20"/>
              </w:rPr>
              <w:t>31.12.RR</w:t>
            </w:r>
          </w:p>
        </w:tc>
      </w:tr>
      <w:tr w:rsidR="003A74C2" w14:paraId="3BADE486" w14:textId="7777777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3F85D551" w14:textId="77777777" w:rsidR="003A74C2" w:rsidRDefault="003A74C2">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C554F82" w14:textId="77777777" w:rsidR="003A74C2" w:rsidRDefault="004C6683">
            <w:pPr>
              <w:spacing w:before="120" w:after="120" w:line="360" w:lineRule="auto"/>
              <w:jc w:val="center"/>
              <w:rPr>
                <w:noProof/>
                <w:sz w:val="20"/>
                <w:szCs w:val="24"/>
              </w:rPr>
            </w:pPr>
            <w:r>
              <w:rPr>
                <w:sz w:val="20"/>
              </w:rPr>
              <w:t>Byty</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FD7E1DA" w14:textId="77777777" w:rsidR="003A74C2" w:rsidRDefault="004C6683">
            <w:pPr>
              <w:spacing w:before="120" w:after="120" w:line="360" w:lineRule="auto"/>
              <w:jc w:val="center"/>
              <w:rPr>
                <w:noProof/>
                <w:sz w:val="20"/>
                <w:szCs w:val="24"/>
              </w:rPr>
            </w:pPr>
            <w:r>
              <w:rPr>
                <w:sz w:val="20"/>
              </w:rPr>
              <w:t>Základné charakteristiky budov</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80047CD" w14:textId="77777777" w:rsidR="003A74C2" w:rsidRDefault="004C6683">
            <w:pPr>
              <w:spacing w:before="120" w:after="120" w:line="360" w:lineRule="auto"/>
              <w:jc w:val="center"/>
              <w:rPr>
                <w:noProof/>
                <w:sz w:val="20"/>
                <w:szCs w:val="24"/>
              </w:rPr>
            </w:pPr>
            <w:r>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1DCF7AFC" w14:textId="77777777" w:rsidR="003A74C2" w:rsidRDefault="004C6683">
            <w:pPr>
              <w:spacing w:before="120" w:after="120" w:line="360" w:lineRule="auto"/>
              <w:jc w:val="center"/>
              <w:rPr>
                <w:noProof/>
                <w:sz w:val="20"/>
                <w:szCs w:val="24"/>
              </w:rPr>
            </w:pPr>
            <w:r>
              <w:rPr>
                <w:sz w:val="20"/>
              </w:rPr>
              <w:t>31.12.RR</w:t>
            </w:r>
          </w:p>
        </w:tc>
      </w:tr>
      <w:tr w:rsidR="003A74C2" w14:paraId="5E03C255" w14:textId="7777777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1924AD64" w14:textId="77777777" w:rsidR="003A74C2" w:rsidRDefault="003A74C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F1C9E76" w14:textId="77777777" w:rsidR="003A74C2" w:rsidRDefault="003A74C2">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77F7D321" w14:textId="77777777" w:rsidR="003A74C2" w:rsidRDefault="003A74C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796B9704" w14:textId="77777777" w:rsidR="003A74C2" w:rsidRDefault="004C6683">
            <w:pPr>
              <w:spacing w:before="120" w:after="120" w:line="360" w:lineRule="auto"/>
              <w:jc w:val="center"/>
              <w:rPr>
                <w:noProof/>
                <w:sz w:val="20"/>
                <w:szCs w:val="24"/>
              </w:rPr>
            </w:pPr>
            <w:r>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2F8D6260" w14:textId="77777777" w:rsidR="003A74C2" w:rsidRDefault="004C6683">
            <w:pPr>
              <w:spacing w:before="120" w:after="120" w:line="360" w:lineRule="auto"/>
              <w:jc w:val="center"/>
              <w:rPr>
                <w:noProof/>
                <w:sz w:val="20"/>
                <w:szCs w:val="24"/>
              </w:rPr>
            </w:pPr>
            <w:r>
              <w:rPr>
                <w:sz w:val="20"/>
              </w:rPr>
              <w:t>31.12.RR</w:t>
            </w:r>
          </w:p>
        </w:tc>
      </w:tr>
      <w:tr w:rsidR="003A74C2" w14:paraId="13AE861B" w14:textId="7777777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51431F54" w14:textId="77777777" w:rsidR="003A74C2" w:rsidRDefault="003A74C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715BB4D" w14:textId="77777777" w:rsidR="003A74C2" w:rsidRDefault="003A74C2">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14:paraId="37BF2E06" w14:textId="77777777" w:rsidR="003A74C2" w:rsidRDefault="004C6683">
            <w:pPr>
              <w:spacing w:before="120" w:after="120" w:line="360" w:lineRule="auto"/>
              <w:jc w:val="center"/>
              <w:rPr>
                <w:noProof/>
                <w:sz w:val="20"/>
                <w:szCs w:val="24"/>
              </w:rPr>
            </w:pPr>
            <w:r>
              <w:rPr>
                <w:sz w:val="20"/>
              </w:rPr>
              <w:t>Energetické charakteristiky budov</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C5566BC" w14:textId="77777777" w:rsidR="003A74C2" w:rsidRDefault="004C6683">
            <w:pPr>
              <w:spacing w:before="120" w:after="120" w:line="360" w:lineRule="auto"/>
              <w:jc w:val="center"/>
              <w:rPr>
                <w:noProof/>
                <w:sz w:val="20"/>
                <w:szCs w:val="24"/>
              </w:rPr>
            </w:pPr>
            <w:r>
              <w:rPr>
                <w:sz w:val="20"/>
              </w:rPr>
              <w:t>MA (A od roku 2031)</w:t>
            </w:r>
          </w:p>
        </w:tc>
        <w:tc>
          <w:tcPr>
            <w:tcW w:w="1559" w:type="dxa"/>
            <w:tcBorders>
              <w:top w:val="nil"/>
              <w:left w:val="nil"/>
              <w:bottom w:val="single" w:sz="4" w:space="0" w:color="auto"/>
              <w:right w:val="single" w:sz="4" w:space="0" w:color="auto"/>
            </w:tcBorders>
            <w:shd w:val="clear" w:color="auto" w:fill="FFFFFF"/>
            <w:vAlign w:val="center"/>
            <w:hideMark/>
          </w:tcPr>
          <w:p w14:paraId="335309DF" w14:textId="77777777" w:rsidR="003A74C2" w:rsidRDefault="004C6683">
            <w:pPr>
              <w:spacing w:before="120" w:after="120" w:line="360" w:lineRule="auto"/>
              <w:jc w:val="center"/>
              <w:rPr>
                <w:noProof/>
                <w:sz w:val="20"/>
                <w:szCs w:val="24"/>
              </w:rPr>
            </w:pPr>
            <w:r>
              <w:rPr>
                <w:sz w:val="20"/>
              </w:rPr>
              <w:t>31.12.RR</w:t>
            </w:r>
          </w:p>
        </w:tc>
      </w:tr>
      <w:tr w:rsidR="003A74C2" w14:paraId="341416D0" w14:textId="7777777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295B8856" w14:textId="77777777" w:rsidR="003A74C2" w:rsidRDefault="003A74C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78A0C81" w14:textId="77777777" w:rsidR="003A74C2" w:rsidRDefault="003A74C2">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14:paraId="460E92B8" w14:textId="77777777" w:rsidR="003A74C2" w:rsidRDefault="003A74C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381F7F3A" w14:textId="77777777" w:rsidR="003A74C2" w:rsidRDefault="004C6683">
            <w:pPr>
              <w:spacing w:before="120" w:after="120" w:line="360" w:lineRule="auto"/>
              <w:jc w:val="center"/>
              <w:rPr>
                <w:noProof/>
                <w:sz w:val="20"/>
                <w:szCs w:val="24"/>
              </w:rPr>
            </w:pPr>
            <w:r>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2B609A81" w14:textId="77777777" w:rsidR="003A74C2" w:rsidRDefault="004C6683">
            <w:pPr>
              <w:spacing w:before="120" w:after="120" w:line="360" w:lineRule="auto"/>
              <w:jc w:val="center"/>
              <w:rPr>
                <w:noProof/>
                <w:sz w:val="20"/>
                <w:szCs w:val="24"/>
              </w:rPr>
            </w:pPr>
            <w:r>
              <w:rPr>
                <w:sz w:val="20"/>
              </w:rPr>
              <w:t>31.12.RR</w:t>
            </w:r>
          </w:p>
        </w:tc>
      </w:tr>
      <w:tr w:rsidR="003A74C2" w14:paraId="519E61DE" w14:textId="7777777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01BBFC23" w14:textId="77777777" w:rsidR="003A74C2" w:rsidRDefault="003A74C2">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23C484A3" w14:textId="77777777" w:rsidR="003A74C2" w:rsidRDefault="004C6683">
            <w:pPr>
              <w:spacing w:before="120" w:after="120" w:line="360" w:lineRule="auto"/>
              <w:jc w:val="center"/>
              <w:rPr>
                <w:noProof/>
                <w:sz w:val="20"/>
                <w:szCs w:val="24"/>
              </w:rPr>
            </w:pPr>
            <w:r>
              <w:rPr>
                <w:sz w:val="20"/>
              </w:rPr>
              <w:t>Obývané byty</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21245A" w14:textId="77777777" w:rsidR="003A74C2" w:rsidRDefault="004C6683">
            <w:pPr>
              <w:spacing w:before="120" w:after="120" w:line="360" w:lineRule="auto"/>
              <w:jc w:val="center"/>
              <w:rPr>
                <w:noProof/>
                <w:sz w:val="20"/>
                <w:szCs w:val="24"/>
              </w:rPr>
            </w:pPr>
            <w:r>
              <w:rPr>
                <w:sz w:val="20"/>
              </w:rPr>
              <w:t>Charakteristiky obývaných bytov</w:t>
            </w:r>
          </w:p>
        </w:tc>
        <w:tc>
          <w:tcPr>
            <w:tcW w:w="1276" w:type="dxa"/>
            <w:tcBorders>
              <w:top w:val="nil"/>
              <w:left w:val="nil"/>
              <w:bottom w:val="single" w:sz="4" w:space="0" w:color="auto"/>
              <w:right w:val="single" w:sz="4" w:space="0" w:color="auto"/>
            </w:tcBorders>
            <w:shd w:val="clear" w:color="auto" w:fill="FFFFFF"/>
            <w:vAlign w:val="center"/>
            <w:hideMark/>
          </w:tcPr>
          <w:p w14:paraId="237C77F3" w14:textId="77777777" w:rsidR="003A74C2" w:rsidRDefault="004C6683">
            <w:pPr>
              <w:spacing w:before="120" w:after="120" w:line="360" w:lineRule="auto"/>
              <w:jc w:val="center"/>
              <w:rPr>
                <w:noProof/>
                <w:sz w:val="20"/>
                <w:szCs w:val="24"/>
              </w:rPr>
            </w:pPr>
            <w:r>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7912644A" w14:textId="77777777" w:rsidR="003A74C2" w:rsidRDefault="004C6683">
            <w:pPr>
              <w:spacing w:before="120" w:after="120" w:line="360" w:lineRule="auto"/>
              <w:jc w:val="center"/>
              <w:rPr>
                <w:noProof/>
                <w:sz w:val="20"/>
                <w:szCs w:val="24"/>
              </w:rPr>
            </w:pPr>
            <w:r>
              <w:rPr>
                <w:sz w:val="20"/>
              </w:rPr>
              <w:t>31.12.RR</w:t>
            </w:r>
          </w:p>
        </w:tc>
      </w:tr>
      <w:tr w:rsidR="003A74C2" w14:paraId="62C30A65" w14:textId="77777777">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14:paraId="441D6C92" w14:textId="77777777" w:rsidR="003A74C2" w:rsidRDefault="003A74C2">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37DAFE99" w14:textId="77777777" w:rsidR="003A74C2" w:rsidRDefault="003A74C2">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14:paraId="6765FA16" w14:textId="77777777" w:rsidR="003A74C2" w:rsidRDefault="004C6683">
            <w:pPr>
              <w:spacing w:before="120" w:after="120" w:line="360" w:lineRule="auto"/>
              <w:jc w:val="center"/>
              <w:rPr>
                <w:noProof/>
                <w:sz w:val="20"/>
                <w:szCs w:val="24"/>
              </w:rPr>
            </w:pPr>
            <w:r>
              <w:rPr>
                <w:sz w:val="20"/>
              </w:rPr>
              <w:t>Využívanie obývaných bytov</w:t>
            </w:r>
          </w:p>
        </w:tc>
        <w:tc>
          <w:tcPr>
            <w:tcW w:w="1276" w:type="dxa"/>
            <w:tcBorders>
              <w:top w:val="nil"/>
              <w:left w:val="nil"/>
              <w:bottom w:val="single" w:sz="4" w:space="0" w:color="auto"/>
              <w:right w:val="single" w:sz="4" w:space="0" w:color="auto"/>
            </w:tcBorders>
            <w:shd w:val="clear" w:color="auto" w:fill="FFFFFF"/>
            <w:vAlign w:val="center"/>
            <w:hideMark/>
          </w:tcPr>
          <w:p w14:paraId="4E381B46" w14:textId="77777777" w:rsidR="003A74C2" w:rsidRDefault="004C6683">
            <w:pPr>
              <w:spacing w:before="120" w:after="120" w:line="360" w:lineRule="auto"/>
              <w:jc w:val="center"/>
              <w:rPr>
                <w:noProof/>
                <w:sz w:val="20"/>
                <w:szCs w:val="24"/>
              </w:rPr>
            </w:pPr>
            <w:r>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597B1AE1" w14:textId="77777777" w:rsidR="003A74C2" w:rsidRDefault="004C6683">
            <w:pPr>
              <w:spacing w:before="120" w:after="120" w:line="360" w:lineRule="auto"/>
              <w:jc w:val="center"/>
              <w:rPr>
                <w:noProof/>
                <w:sz w:val="20"/>
                <w:szCs w:val="24"/>
              </w:rPr>
            </w:pPr>
            <w:r>
              <w:rPr>
                <w:sz w:val="20"/>
              </w:rPr>
              <w:t>31.12.RR</w:t>
            </w:r>
          </w:p>
        </w:tc>
      </w:tr>
      <w:tr w:rsidR="003A74C2" w14:paraId="500AEFC1" w14:textId="77777777">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14:paraId="6F72AAAB" w14:textId="77777777" w:rsidR="003A74C2" w:rsidRDefault="004C6683">
            <w:pPr>
              <w:spacing w:before="120" w:after="120" w:line="360" w:lineRule="auto"/>
              <w:jc w:val="center"/>
              <w:rPr>
                <w:noProof/>
                <w:sz w:val="20"/>
                <w:szCs w:val="24"/>
              </w:rPr>
            </w:pPr>
            <w:r>
              <w:rPr>
                <w:sz w:val="20"/>
              </w:rPr>
              <w:t>Rodiny a domácnosti</w:t>
            </w:r>
          </w:p>
        </w:tc>
        <w:tc>
          <w:tcPr>
            <w:tcW w:w="1701" w:type="dxa"/>
            <w:tcBorders>
              <w:top w:val="nil"/>
              <w:left w:val="nil"/>
              <w:bottom w:val="single" w:sz="4" w:space="0" w:color="auto"/>
              <w:right w:val="single" w:sz="4" w:space="0" w:color="auto"/>
            </w:tcBorders>
            <w:shd w:val="clear" w:color="auto" w:fill="FFFFFF"/>
            <w:vAlign w:val="center"/>
            <w:hideMark/>
          </w:tcPr>
          <w:p w14:paraId="1D0A4421" w14:textId="77777777" w:rsidR="003A74C2" w:rsidRDefault="004C6683">
            <w:pPr>
              <w:spacing w:before="120" w:after="120" w:line="360" w:lineRule="auto"/>
              <w:jc w:val="center"/>
              <w:rPr>
                <w:noProof/>
                <w:sz w:val="20"/>
                <w:szCs w:val="24"/>
              </w:rPr>
            </w:pPr>
            <w:r>
              <w:rPr>
                <w:sz w:val="20"/>
              </w:rPr>
              <w:t>Rodiny</w:t>
            </w:r>
          </w:p>
        </w:tc>
        <w:tc>
          <w:tcPr>
            <w:tcW w:w="3402" w:type="dxa"/>
            <w:tcBorders>
              <w:top w:val="nil"/>
              <w:left w:val="nil"/>
              <w:bottom w:val="single" w:sz="4" w:space="0" w:color="auto"/>
              <w:right w:val="single" w:sz="4" w:space="0" w:color="auto"/>
            </w:tcBorders>
            <w:shd w:val="clear" w:color="auto" w:fill="FFFFFF"/>
            <w:vAlign w:val="center"/>
            <w:hideMark/>
          </w:tcPr>
          <w:p w14:paraId="2DE46FF2" w14:textId="77777777" w:rsidR="003A74C2" w:rsidRDefault="004C6683">
            <w:pPr>
              <w:spacing w:before="120" w:after="120" w:line="360" w:lineRule="auto"/>
              <w:jc w:val="center"/>
              <w:rPr>
                <w:noProof/>
                <w:sz w:val="20"/>
                <w:szCs w:val="24"/>
              </w:rPr>
            </w:pPr>
            <w:r>
              <w:rPr>
                <w:sz w:val="20"/>
              </w:rPr>
              <w:t>Charakteristiky rodiny</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2FA7551B" w14:textId="77777777" w:rsidR="003A74C2" w:rsidRDefault="004C6683">
            <w:pPr>
              <w:spacing w:before="120" w:after="120" w:line="360" w:lineRule="auto"/>
              <w:jc w:val="center"/>
              <w:rPr>
                <w:noProof/>
                <w:sz w:val="20"/>
                <w:szCs w:val="24"/>
              </w:rPr>
            </w:pPr>
            <w:r>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4178BD82" w14:textId="77777777" w:rsidR="003A74C2" w:rsidRDefault="004C6683">
            <w:pPr>
              <w:spacing w:before="120" w:after="120" w:line="360" w:lineRule="auto"/>
              <w:jc w:val="center"/>
              <w:rPr>
                <w:noProof/>
                <w:sz w:val="20"/>
                <w:szCs w:val="24"/>
              </w:rPr>
            </w:pPr>
            <w:r>
              <w:rPr>
                <w:sz w:val="20"/>
              </w:rPr>
              <w:t>31.12.RR</w:t>
            </w:r>
          </w:p>
        </w:tc>
      </w:tr>
      <w:tr w:rsidR="003A74C2" w14:paraId="21AD4A68" w14:textId="7777777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4E9C9C8C" w14:textId="77777777" w:rsidR="003A74C2" w:rsidRDefault="003A74C2">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14:paraId="692E941A" w14:textId="77777777" w:rsidR="003A74C2" w:rsidRDefault="004C6683">
            <w:pPr>
              <w:spacing w:before="120" w:after="120" w:line="360" w:lineRule="auto"/>
              <w:jc w:val="center"/>
              <w:rPr>
                <w:noProof/>
                <w:sz w:val="20"/>
                <w:szCs w:val="24"/>
              </w:rPr>
            </w:pPr>
            <w:r>
              <w:rPr>
                <w:sz w:val="20"/>
              </w:rPr>
              <w:t>Domácnosti</w:t>
            </w:r>
          </w:p>
        </w:tc>
        <w:tc>
          <w:tcPr>
            <w:tcW w:w="3402" w:type="dxa"/>
            <w:vMerge w:val="restart"/>
            <w:tcBorders>
              <w:top w:val="single" w:sz="4" w:space="0" w:color="auto"/>
              <w:left w:val="nil"/>
              <w:bottom w:val="nil"/>
              <w:right w:val="single" w:sz="4" w:space="0" w:color="auto"/>
            </w:tcBorders>
            <w:shd w:val="clear" w:color="auto" w:fill="FFFFFF"/>
            <w:vAlign w:val="center"/>
            <w:hideMark/>
          </w:tcPr>
          <w:p w14:paraId="3AF4A334" w14:textId="77777777" w:rsidR="003A74C2" w:rsidRDefault="004C6683">
            <w:pPr>
              <w:spacing w:before="120" w:after="120" w:line="360" w:lineRule="auto"/>
              <w:jc w:val="center"/>
              <w:rPr>
                <w:noProof/>
                <w:sz w:val="20"/>
                <w:szCs w:val="24"/>
              </w:rPr>
            </w:pPr>
            <w:r>
              <w:rPr>
                <w:sz w:val="20"/>
              </w:rPr>
              <w:t>Charakteristiky domácnosti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5625E219" w14:textId="77777777" w:rsidR="003A74C2" w:rsidRDefault="004C6683">
            <w:pPr>
              <w:spacing w:before="120" w:after="120" w:line="360" w:lineRule="auto"/>
              <w:jc w:val="center"/>
              <w:rPr>
                <w:noProof/>
                <w:sz w:val="20"/>
                <w:szCs w:val="24"/>
              </w:rPr>
            </w:pPr>
            <w:r>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065FBB9E" w14:textId="77777777" w:rsidR="003A74C2" w:rsidRDefault="004C6683">
            <w:pPr>
              <w:spacing w:before="120" w:after="120" w:line="360" w:lineRule="auto"/>
              <w:jc w:val="center"/>
              <w:rPr>
                <w:noProof/>
                <w:sz w:val="20"/>
                <w:szCs w:val="24"/>
              </w:rPr>
            </w:pPr>
            <w:r>
              <w:rPr>
                <w:sz w:val="20"/>
              </w:rPr>
              <w:t>31.12.RR</w:t>
            </w:r>
          </w:p>
        </w:tc>
      </w:tr>
      <w:tr w:rsidR="003A74C2" w14:paraId="2D1B09D9" w14:textId="7777777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100C3F7E" w14:textId="77777777" w:rsidR="003A74C2" w:rsidRDefault="003A74C2">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40EC71BB" w14:textId="77777777" w:rsidR="003A74C2" w:rsidRDefault="003A74C2">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14:paraId="49D3EC2C" w14:textId="77777777" w:rsidR="003A74C2" w:rsidRDefault="003A74C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62183AA2" w14:textId="77777777" w:rsidR="003A74C2" w:rsidRDefault="004C6683">
            <w:pPr>
              <w:spacing w:before="120" w:after="120" w:line="360" w:lineRule="auto"/>
              <w:jc w:val="center"/>
              <w:rPr>
                <w:noProof/>
                <w:sz w:val="20"/>
                <w:szCs w:val="24"/>
              </w:rPr>
            </w:pPr>
            <w:r>
              <w:rPr>
                <w:sz w:val="20"/>
              </w:rPr>
              <w:t>MA</w:t>
            </w:r>
          </w:p>
        </w:tc>
        <w:tc>
          <w:tcPr>
            <w:tcW w:w="1559" w:type="dxa"/>
            <w:tcBorders>
              <w:top w:val="nil"/>
              <w:left w:val="nil"/>
              <w:bottom w:val="single" w:sz="4" w:space="0" w:color="auto"/>
              <w:right w:val="single" w:sz="4" w:space="0" w:color="auto"/>
            </w:tcBorders>
            <w:shd w:val="clear" w:color="auto" w:fill="FFFFFF"/>
            <w:vAlign w:val="center"/>
            <w:hideMark/>
          </w:tcPr>
          <w:p w14:paraId="568E5335" w14:textId="77777777" w:rsidR="003A74C2" w:rsidRDefault="004C6683">
            <w:pPr>
              <w:spacing w:before="120" w:after="120" w:line="360" w:lineRule="auto"/>
              <w:jc w:val="center"/>
              <w:rPr>
                <w:noProof/>
                <w:sz w:val="20"/>
                <w:szCs w:val="24"/>
              </w:rPr>
            </w:pPr>
            <w:r>
              <w:rPr>
                <w:sz w:val="20"/>
              </w:rPr>
              <w:t>31.12.RR</w:t>
            </w:r>
          </w:p>
        </w:tc>
      </w:tr>
      <w:tr w:rsidR="003A74C2" w14:paraId="2F6766D3" w14:textId="7777777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01558B66" w14:textId="77777777" w:rsidR="003A74C2" w:rsidRDefault="003A74C2">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49D1790F" w14:textId="77777777" w:rsidR="003A74C2" w:rsidRDefault="003A74C2">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041E065A" w14:textId="77777777" w:rsidR="003A74C2" w:rsidRDefault="004C6683">
            <w:pPr>
              <w:spacing w:before="120" w:after="120" w:line="360" w:lineRule="auto"/>
              <w:jc w:val="center"/>
              <w:rPr>
                <w:noProof/>
                <w:sz w:val="20"/>
                <w:szCs w:val="24"/>
              </w:rPr>
            </w:pPr>
            <w:r>
              <w:rPr>
                <w:sz w:val="20"/>
              </w:rPr>
              <w:t>Situácia domácnosti osoby</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0EE657BB" w14:textId="77777777" w:rsidR="003A74C2" w:rsidRDefault="004C6683">
            <w:pPr>
              <w:spacing w:before="120" w:after="120" w:line="360" w:lineRule="auto"/>
              <w:jc w:val="center"/>
              <w:rPr>
                <w:noProof/>
                <w:sz w:val="20"/>
                <w:szCs w:val="24"/>
              </w:rPr>
            </w:pPr>
            <w:r>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14:paraId="35C05AC7" w14:textId="77777777" w:rsidR="003A74C2" w:rsidRDefault="004C6683">
            <w:pPr>
              <w:spacing w:before="120" w:after="120" w:line="360" w:lineRule="auto"/>
              <w:jc w:val="center"/>
              <w:rPr>
                <w:noProof/>
                <w:sz w:val="20"/>
                <w:szCs w:val="24"/>
              </w:rPr>
            </w:pPr>
            <w:r>
              <w:rPr>
                <w:sz w:val="20"/>
              </w:rPr>
              <w:t>31.12.RR</w:t>
            </w:r>
          </w:p>
        </w:tc>
      </w:tr>
      <w:tr w:rsidR="003A74C2" w14:paraId="0E77EBA3" w14:textId="77777777">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14:paraId="2CE08106" w14:textId="77777777" w:rsidR="003A74C2" w:rsidRDefault="003A74C2">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14:paraId="3BC28AE3" w14:textId="77777777" w:rsidR="003A74C2" w:rsidRDefault="003A74C2">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14:paraId="3156F9C9" w14:textId="77777777" w:rsidR="003A74C2" w:rsidRDefault="003A74C2">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14:paraId="70B96D42" w14:textId="77777777" w:rsidR="003A74C2" w:rsidRDefault="004C6683">
            <w:pPr>
              <w:spacing w:before="120" w:after="120" w:line="360" w:lineRule="auto"/>
              <w:jc w:val="center"/>
              <w:rPr>
                <w:noProof/>
                <w:sz w:val="20"/>
                <w:szCs w:val="24"/>
              </w:rPr>
            </w:pPr>
            <w:r>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14:paraId="14A163A2" w14:textId="77777777" w:rsidR="003A74C2" w:rsidRDefault="004C6683">
            <w:pPr>
              <w:spacing w:before="120" w:after="120" w:line="360" w:lineRule="auto"/>
              <w:jc w:val="center"/>
              <w:rPr>
                <w:noProof/>
                <w:sz w:val="20"/>
                <w:szCs w:val="24"/>
              </w:rPr>
            </w:pPr>
            <w:r>
              <w:rPr>
                <w:sz w:val="20"/>
              </w:rPr>
              <w:t>31.12.RR</w:t>
            </w:r>
          </w:p>
        </w:tc>
      </w:tr>
      <w:tr w:rsidR="003A74C2" w14:paraId="33F09C23" w14:textId="7777777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29977F05" w14:textId="77777777" w:rsidR="003A74C2" w:rsidRDefault="004C6683">
            <w:pPr>
              <w:spacing w:after="120" w:line="276" w:lineRule="auto"/>
              <w:rPr>
                <w:sz w:val="20"/>
              </w:rPr>
            </w:pPr>
            <w:r>
              <w:rPr>
                <w:sz w:val="20"/>
              </w:rPr>
              <w:t>_______________________________________</w:t>
            </w:r>
          </w:p>
        </w:tc>
      </w:tr>
      <w:tr w:rsidR="003A74C2" w14:paraId="6F19303B" w14:textId="7777777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14:paraId="30A2C2D5" w14:textId="77777777" w:rsidR="003A74C2" w:rsidRDefault="003A74C2">
            <w:pPr>
              <w:spacing w:after="120" w:line="276" w:lineRule="auto"/>
              <w:rPr>
                <w:sz w:val="20"/>
                <w:lang w:eastAsia="en-US"/>
              </w:rPr>
            </w:pPr>
          </w:p>
        </w:tc>
      </w:tr>
      <w:tr w:rsidR="003A74C2" w14:paraId="5018CDDC" w14:textId="77777777">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14:paraId="345C32E2" w14:textId="77777777" w:rsidR="003A74C2" w:rsidRDefault="004C6683">
            <w:pPr>
              <w:spacing w:after="120" w:line="276" w:lineRule="auto"/>
              <w:rPr>
                <w:sz w:val="20"/>
              </w:rPr>
            </w:pPr>
            <w:r>
              <w:rPr>
                <w:sz w:val="20"/>
              </w:rPr>
              <w:t>1 Poskytuje sa na dobrovoľnom základe.</w:t>
            </w:r>
          </w:p>
        </w:tc>
      </w:tr>
    </w:tbl>
    <w:p w14:paraId="629E4EE1" w14:textId="77777777" w:rsidR="003A74C2" w:rsidRDefault="003A74C2">
      <w:pPr>
        <w:spacing w:before="120" w:after="120" w:line="360" w:lineRule="auto"/>
        <w:outlineLvl w:val="0"/>
        <w:rPr>
          <w:b/>
          <w:i/>
          <w:iCs/>
          <w:noProof/>
          <w:szCs w:val="24"/>
          <w:lang w:eastAsia="en-US"/>
        </w:rPr>
      </w:pPr>
    </w:p>
    <w:p w14:paraId="6E450565" w14:textId="77777777" w:rsidR="003A74C2" w:rsidRDefault="004C6683">
      <w:pPr>
        <w:keepNext/>
        <w:widowControl/>
        <w:tabs>
          <w:tab w:val="left" w:pos="850"/>
        </w:tabs>
        <w:spacing w:before="120" w:after="120"/>
        <w:ind w:left="850" w:hanging="850"/>
        <w:jc w:val="both"/>
        <w:outlineLvl w:val="1"/>
        <w:rPr>
          <w:rFonts w:eastAsia="Calibri"/>
          <w:b/>
          <w:noProof/>
          <w:szCs w:val="22"/>
        </w:rPr>
      </w:pPr>
      <w:r>
        <w:rPr>
          <w:b/>
        </w:rPr>
        <w:t>Legenda</w:t>
      </w:r>
    </w:p>
    <w:tbl>
      <w:tblPr>
        <w:tblW w:w="5660" w:type="dxa"/>
        <w:tblLook w:val="04A0" w:firstRow="1" w:lastRow="0" w:firstColumn="1" w:lastColumn="0" w:noHBand="0" w:noVBand="1"/>
      </w:tblPr>
      <w:tblGrid>
        <w:gridCol w:w="4644"/>
        <w:gridCol w:w="1016"/>
      </w:tblGrid>
      <w:tr w:rsidR="003A74C2" w14:paraId="65CB448F" w14:textId="77777777">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14:paraId="68ECF6F7" w14:textId="77777777" w:rsidR="003A74C2" w:rsidRDefault="004C6683">
            <w:pPr>
              <w:keepNext/>
              <w:widowControl/>
              <w:tabs>
                <w:tab w:val="left" w:pos="850"/>
              </w:tabs>
              <w:spacing w:before="120" w:after="120"/>
              <w:ind w:left="850" w:hanging="850"/>
              <w:jc w:val="center"/>
              <w:outlineLvl w:val="1"/>
              <w:rPr>
                <w:rFonts w:eastAsia="Calibri"/>
                <w:b/>
                <w:noProof/>
                <w:sz w:val="20"/>
                <w:szCs w:val="22"/>
              </w:rPr>
            </w:pPr>
            <w:r>
              <w:rPr>
                <w:b/>
                <w:sz w:val="20"/>
              </w:rPr>
              <w:t>Periodicita</w:t>
            </w:r>
          </w:p>
        </w:tc>
      </w:tr>
      <w:tr w:rsidR="003A74C2" w14:paraId="16CB0DC9" w14:textId="77777777">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42121231" w14:textId="77777777" w:rsidR="003A74C2" w:rsidRDefault="004C6683">
            <w:pPr>
              <w:spacing w:before="120" w:after="120" w:line="360" w:lineRule="auto"/>
              <w:jc w:val="center"/>
              <w:rPr>
                <w:noProof/>
                <w:sz w:val="20"/>
                <w:szCs w:val="24"/>
              </w:rPr>
            </w:pPr>
            <w:r>
              <w:rPr>
                <w:sz w:val="20"/>
              </w:rPr>
              <w:t>štvrťročne</w:t>
            </w:r>
          </w:p>
        </w:tc>
        <w:tc>
          <w:tcPr>
            <w:tcW w:w="1016" w:type="dxa"/>
            <w:tcBorders>
              <w:top w:val="nil"/>
              <w:left w:val="nil"/>
              <w:bottom w:val="single" w:sz="4" w:space="0" w:color="auto"/>
              <w:right w:val="single" w:sz="8" w:space="0" w:color="auto"/>
            </w:tcBorders>
            <w:shd w:val="clear" w:color="000000" w:fill="FFFFFF"/>
            <w:vAlign w:val="center"/>
            <w:hideMark/>
          </w:tcPr>
          <w:p w14:paraId="4A50BF63" w14:textId="77777777" w:rsidR="003A74C2" w:rsidRDefault="004C6683">
            <w:pPr>
              <w:spacing w:before="120" w:after="120" w:line="360" w:lineRule="auto"/>
              <w:jc w:val="center"/>
              <w:rPr>
                <w:noProof/>
                <w:sz w:val="20"/>
                <w:szCs w:val="24"/>
              </w:rPr>
            </w:pPr>
            <w:r>
              <w:rPr>
                <w:sz w:val="20"/>
              </w:rPr>
              <w:t>Q</w:t>
            </w:r>
          </w:p>
        </w:tc>
      </w:tr>
      <w:tr w:rsidR="003A74C2" w14:paraId="39A68C0A" w14:textId="77777777">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06DCA32D" w14:textId="77777777" w:rsidR="003A74C2" w:rsidRDefault="004C6683">
            <w:pPr>
              <w:spacing w:before="120" w:after="120" w:line="360" w:lineRule="auto"/>
              <w:jc w:val="center"/>
              <w:rPr>
                <w:noProof/>
                <w:sz w:val="20"/>
                <w:szCs w:val="24"/>
              </w:rPr>
            </w:pPr>
            <w:r>
              <w:rPr>
                <w:sz w:val="20"/>
              </w:rPr>
              <w:t>Každých 6 mesiacov</w:t>
            </w:r>
          </w:p>
        </w:tc>
        <w:tc>
          <w:tcPr>
            <w:tcW w:w="1016" w:type="dxa"/>
            <w:tcBorders>
              <w:top w:val="nil"/>
              <w:left w:val="nil"/>
              <w:bottom w:val="single" w:sz="4" w:space="0" w:color="auto"/>
              <w:right w:val="single" w:sz="8" w:space="0" w:color="auto"/>
            </w:tcBorders>
            <w:shd w:val="clear" w:color="000000" w:fill="FFFFFF"/>
            <w:vAlign w:val="center"/>
            <w:hideMark/>
          </w:tcPr>
          <w:p w14:paraId="596CAFF1" w14:textId="77777777" w:rsidR="003A74C2" w:rsidRDefault="004C6683">
            <w:pPr>
              <w:spacing w:before="120" w:after="120" w:line="360" w:lineRule="auto"/>
              <w:jc w:val="center"/>
              <w:rPr>
                <w:noProof/>
                <w:sz w:val="20"/>
                <w:szCs w:val="24"/>
              </w:rPr>
            </w:pPr>
            <w:r>
              <w:rPr>
                <w:sz w:val="20"/>
              </w:rPr>
              <w:t>6M</w:t>
            </w:r>
          </w:p>
        </w:tc>
      </w:tr>
      <w:tr w:rsidR="003A74C2" w14:paraId="1B86F404" w14:textId="77777777">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45572D28" w14:textId="77777777" w:rsidR="003A74C2" w:rsidRDefault="004C6683">
            <w:pPr>
              <w:spacing w:before="120" w:after="120" w:line="360" w:lineRule="auto"/>
              <w:jc w:val="center"/>
              <w:rPr>
                <w:noProof/>
                <w:sz w:val="20"/>
                <w:szCs w:val="24"/>
              </w:rPr>
            </w:pPr>
            <w:r>
              <w:rPr>
                <w:sz w:val="20"/>
              </w:rPr>
              <w:lastRenderedPageBreak/>
              <w:t>Ročne</w:t>
            </w:r>
          </w:p>
        </w:tc>
        <w:tc>
          <w:tcPr>
            <w:tcW w:w="1016" w:type="dxa"/>
            <w:tcBorders>
              <w:top w:val="nil"/>
              <w:left w:val="nil"/>
              <w:bottom w:val="single" w:sz="4" w:space="0" w:color="auto"/>
              <w:right w:val="single" w:sz="8" w:space="0" w:color="auto"/>
            </w:tcBorders>
            <w:shd w:val="clear" w:color="000000" w:fill="FFFFFF"/>
            <w:vAlign w:val="center"/>
            <w:hideMark/>
          </w:tcPr>
          <w:p w14:paraId="3C6C22FC" w14:textId="77777777" w:rsidR="003A74C2" w:rsidRDefault="004C6683">
            <w:pPr>
              <w:spacing w:before="120" w:after="120" w:line="360" w:lineRule="auto"/>
              <w:jc w:val="center"/>
              <w:rPr>
                <w:noProof/>
                <w:sz w:val="20"/>
                <w:szCs w:val="24"/>
              </w:rPr>
            </w:pPr>
            <w:r>
              <w:rPr>
                <w:sz w:val="20"/>
              </w:rPr>
              <w:t>A</w:t>
            </w:r>
          </w:p>
        </w:tc>
      </w:tr>
      <w:tr w:rsidR="003A74C2" w14:paraId="47444F69" w14:textId="77777777">
        <w:tc>
          <w:tcPr>
            <w:tcW w:w="4644" w:type="dxa"/>
            <w:tcBorders>
              <w:top w:val="nil"/>
              <w:left w:val="single" w:sz="8" w:space="0" w:color="auto"/>
              <w:bottom w:val="single" w:sz="4" w:space="0" w:color="auto"/>
              <w:right w:val="single" w:sz="4" w:space="0" w:color="auto"/>
            </w:tcBorders>
            <w:shd w:val="clear" w:color="000000" w:fill="FFFFFF"/>
            <w:vAlign w:val="center"/>
            <w:hideMark/>
          </w:tcPr>
          <w:p w14:paraId="234C0875" w14:textId="77777777" w:rsidR="003A74C2" w:rsidRDefault="004C6683">
            <w:pPr>
              <w:spacing w:before="120" w:after="120" w:line="360" w:lineRule="auto"/>
              <w:jc w:val="center"/>
              <w:rPr>
                <w:noProof/>
                <w:sz w:val="20"/>
                <w:szCs w:val="24"/>
              </w:rPr>
            </w:pPr>
            <w:r>
              <w:rPr>
                <w:sz w:val="20"/>
              </w:rPr>
              <w:t>Viacročne (roky končiace sa číslicou „1“, „5“, „8“)</w:t>
            </w:r>
          </w:p>
        </w:tc>
        <w:tc>
          <w:tcPr>
            <w:tcW w:w="1016" w:type="dxa"/>
            <w:tcBorders>
              <w:top w:val="nil"/>
              <w:left w:val="nil"/>
              <w:bottom w:val="single" w:sz="4" w:space="0" w:color="auto"/>
              <w:right w:val="single" w:sz="8" w:space="0" w:color="auto"/>
            </w:tcBorders>
            <w:shd w:val="clear" w:color="000000" w:fill="FFFFFF"/>
            <w:vAlign w:val="center"/>
            <w:hideMark/>
          </w:tcPr>
          <w:p w14:paraId="36ED4386" w14:textId="77777777" w:rsidR="003A74C2" w:rsidRDefault="004C6683">
            <w:pPr>
              <w:spacing w:before="120" w:after="120" w:line="360" w:lineRule="auto"/>
              <w:jc w:val="center"/>
              <w:rPr>
                <w:noProof/>
                <w:sz w:val="20"/>
                <w:szCs w:val="24"/>
              </w:rPr>
            </w:pPr>
            <w:r>
              <w:rPr>
                <w:sz w:val="20"/>
              </w:rPr>
              <w:t>MA</w:t>
            </w:r>
          </w:p>
        </w:tc>
      </w:tr>
      <w:tr w:rsidR="003A74C2" w14:paraId="4CCAD9F6" w14:textId="77777777">
        <w:tc>
          <w:tcPr>
            <w:tcW w:w="4644" w:type="dxa"/>
            <w:tcBorders>
              <w:top w:val="nil"/>
              <w:left w:val="single" w:sz="8" w:space="0" w:color="auto"/>
              <w:bottom w:val="single" w:sz="8" w:space="0" w:color="auto"/>
              <w:right w:val="single" w:sz="4" w:space="0" w:color="auto"/>
            </w:tcBorders>
            <w:shd w:val="clear" w:color="000000" w:fill="FFFFFF"/>
            <w:vAlign w:val="center"/>
            <w:hideMark/>
          </w:tcPr>
          <w:p w14:paraId="22A73FEB" w14:textId="77777777" w:rsidR="003A74C2" w:rsidRDefault="004C6683">
            <w:pPr>
              <w:spacing w:before="120" w:after="120" w:line="360" w:lineRule="auto"/>
              <w:jc w:val="center"/>
              <w:rPr>
                <w:noProof/>
                <w:sz w:val="20"/>
                <w:szCs w:val="24"/>
              </w:rPr>
            </w:pPr>
            <w:r>
              <w:rPr>
                <w:sz w:val="20"/>
              </w:rPr>
              <w:t>Každých desať rokov (roky končiace sa číslicou „1“)</w:t>
            </w:r>
          </w:p>
        </w:tc>
        <w:tc>
          <w:tcPr>
            <w:tcW w:w="1016" w:type="dxa"/>
            <w:tcBorders>
              <w:top w:val="nil"/>
              <w:left w:val="nil"/>
              <w:bottom w:val="single" w:sz="8" w:space="0" w:color="auto"/>
              <w:right w:val="single" w:sz="8" w:space="0" w:color="auto"/>
            </w:tcBorders>
            <w:shd w:val="clear" w:color="000000" w:fill="FFFFFF"/>
            <w:vAlign w:val="center"/>
            <w:hideMark/>
          </w:tcPr>
          <w:p w14:paraId="054BECDF" w14:textId="77777777" w:rsidR="003A74C2" w:rsidRDefault="004C6683">
            <w:pPr>
              <w:spacing w:before="120" w:after="120" w:line="360" w:lineRule="auto"/>
              <w:jc w:val="center"/>
              <w:rPr>
                <w:noProof/>
                <w:sz w:val="20"/>
                <w:szCs w:val="24"/>
              </w:rPr>
            </w:pPr>
            <w:r>
              <w:rPr>
                <w:sz w:val="20"/>
              </w:rPr>
              <w:t>D</w:t>
            </w:r>
          </w:p>
        </w:tc>
      </w:tr>
    </w:tbl>
    <w:p w14:paraId="1D189FFD" w14:textId="77777777" w:rsidR="003A74C2" w:rsidRDefault="003A74C2">
      <w:pPr>
        <w:spacing w:before="120" w:after="120" w:line="360" w:lineRule="auto"/>
        <w:outlineLvl w:val="0"/>
        <w:rPr>
          <w:b/>
          <w:noProof/>
          <w:szCs w:val="24"/>
          <w:lang w:eastAsia="en-US"/>
        </w:rPr>
      </w:pPr>
    </w:p>
    <w:sectPr w:rsidR="003A74C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6E533" w14:textId="77777777" w:rsidR="003A74C2" w:rsidRDefault="004C6683">
      <w:r>
        <w:separator/>
      </w:r>
    </w:p>
  </w:endnote>
  <w:endnote w:type="continuationSeparator" w:id="0">
    <w:p w14:paraId="6CFEEDC6" w14:textId="77777777" w:rsidR="003A74C2" w:rsidRDefault="004C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7A89E" w14:textId="77777777" w:rsidR="003A74C2" w:rsidRDefault="004C6683">
    <w:pPr>
      <w:pStyle w:val="EPFooter"/>
    </w:pPr>
    <w:r>
      <w:t>PE</w:t>
    </w:r>
    <w:r>
      <w:rPr>
        <w:rStyle w:val="HideTWBExt"/>
      </w:rPr>
      <w:t>&lt;</w:t>
    </w:r>
    <w:proofErr w:type="spellStart"/>
    <w:r>
      <w:rPr>
        <w:rStyle w:val="HideTWBExt"/>
      </w:rPr>
      <w:t>NoPE</w:t>
    </w:r>
    <w:proofErr w:type="spellEnd"/>
    <w:r>
      <w:rPr>
        <w:rStyle w:val="HideTWBExt"/>
      </w:rPr>
      <w:t>&gt;</w:t>
    </w:r>
    <w:r>
      <w:t>746.665</w:t>
    </w:r>
    <w:r>
      <w:rPr>
        <w:rStyle w:val="HideTWBExt"/>
      </w:rPr>
      <w:t>&lt;/</w:t>
    </w:r>
    <w:proofErr w:type="spellStart"/>
    <w:r>
      <w:rPr>
        <w:rStyle w:val="HideTWBExt"/>
      </w:rPr>
      <w:t>NoPE</w:t>
    </w:r>
    <w:proofErr w:type="spellEnd"/>
    <w:r>
      <w:rPr>
        <w:rStyle w:val="HideTWBExt"/>
      </w:rPr>
      <w:t>&gt;&lt;Version&gt;</w:t>
    </w:r>
    <w:proofErr w:type="spellStart"/>
    <w:r>
      <w:t>v02</w:t>
    </w:r>
    <w:proofErr w:type="spellEnd"/>
    <w:r>
      <w:t>-00</w:t>
    </w:r>
    <w:r>
      <w:rPr>
        <w:rStyle w:val="HideTWBExt"/>
      </w:rPr>
      <w:t>&lt;/</w:t>
    </w:r>
    <w:proofErr w:type="spellStart"/>
    <w:r>
      <w:rPr>
        <w:rStyle w:val="HideTWBExt"/>
      </w:rPr>
      <w:t>Version</w:t>
    </w:r>
    <w:proofErr w:type="spellEnd"/>
    <w:r>
      <w:rPr>
        <w:rStyle w:val="HideTWBExt"/>
      </w:rPr>
      <w:t>&gt;</w:t>
    </w:r>
    <w:r>
      <w:tab/>
    </w:r>
    <w:r>
      <w:fldChar w:fldCharType="begin"/>
    </w:r>
    <w:r>
      <w:instrText xml:space="preserve"> PAGE  \* MERGEFORMAT </w:instrText>
    </w:r>
    <w:r>
      <w:fldChar w:fldCharType="separate"/>
    </w:r>
    <w:r>
      <w:rPr>
        <w:noProof/>
      </w:rPr>
      <w:t>42</w:t>
    </w:r>
    <w:r>
      <w:fldChar w:fldCharType="end"/>
    </w:r>
    <w:r>
      <w:t>/</w:t>
    </w:r>
    <w:fldSimple w:instr=" NUMPAGES  \* MERGEFORMAT ">
      <w:r>
        <w:rPr>
          <w:noProof/>
        </w:rPr>
        <w:t>42</w:t>
      </w:r>
    </w:fldSimple>
    <w:r>
      <w:tab/>
    </w:r>
    <w:r>
      <w:rPr>
        <w:rStyle w:val="HideTWBExt"/>
      </w:rPr>
      <w:t>&lt;PathFdR&gt;</w:t>
    </w:r>
    <w:proofErr w:type="spellStart"/>
    <w:r>
      <w:t>RR</w:t>
    </w:r>
    <w:proofErr w:type="spellEnd"/>
    <w:r>
      <w:t>\1287736SK.docx</w:t>
    </w:r>
    <w:r>
      <w:rPr>
        <w:rStyle w:val="HideTWBExt"/>
      </w:rPr>
      <w:t>&lt;/</w:t>
    </w:r>
    <w:proofErr w:type="spellStart"/>
    <w:r>
      <w:rPr>
        <w:rStyle w:val="HideTWBExt"/>
      </w:rPr>
      <w:t>PathFdR</w:t>
    </w:r>
    <w:proofErr w:type="spellEnd"/>
    <w:r>
      <w:rPr>
        <w:rStyle w:val="HideTWBExt"/>
      </w:rPr>
      <w:t>&gt;</w:t>
    </w:r>
  </w:p>
  <w:p w14:paraId="431CB4ED" w14:textId="77777777" w:rsidR="003A74C2" w:rsidRDefault="004C6683">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E1BC5" w14:textId="77777777" w:rsidR="003A74C2" w:rsidRDefault="004C6683">
    <w:pPr>
      <w:pStyle w:val="EPFooter"/>
    </w:pPr>
    <w:r>
      <w:rPr>
        <w:rStyle w:val="HideTWBExt"/>
      </w:rPr>
      <w:t>&lt;PathFdR&gt;</w:t>
    </w:r>
    <w:proofErr w:type="spellStart"/>
    <w:r>
      <w:t>RR</w:t>
    </w:r>
    <w:proofErr w:type="spellEnd"/>
    <w:r>
      <w:t>\1287736SK.docx</w:t>
    </w:r>
    <w:r>
      <w:rPr>
        <w:rStyle w:val="HideTWBExt"/>
      </w:rPr>
      <w:t>&lt;/</w:t>
    </w:r>
    <w:proofErr w:type="spellStart"/>
    <w:r>
      <w:rPr>
        <w:rStyle w:val="HideTWBExt"/>
      </w:rPr>
      <w:t>PathFdR</w:t>
    </w:r>
    <w:proofErr w:type="spellEnd"/>
    <w:r>
      <w:rPr>
        <w:rStyle w:val="HideTWBExt"/>
      </w:rPr>
      <w:t>&gt;</w:t>
    </w:r>
    <w:r>
      <w:tab/>
    </w:r>
    <w:r>
      <w:tab/>
      <w:t>PE</w:t>
    </w:r>
    <w:r>
      <w:rPr>
        <w:rStyle w:val="HideTWBExt"/>
      </w:rPr>
      <w:t>&lt;</w:t>
    </w:r>
    <w:proofErr w:type="spellStart"/>
    <w:r>
      <w:rPr>
        <w:rStyle w:val="HideTWBExt"/>
      </w:rPr>
      <w:t>NoPE</w:t>
    </w:r>
    <w:proofErr w:type="spellEnd"/>
    <w:r>
      <w:rPr>
        <w:rStyle w:val="HideTWBExt"/>
      </w:rPr>
      <w:t>&gt;</w:t>
    </w:r>
    <w:r>
      <w:t>746.665</w:t>
    </w:r>
    <w:r>
      <w:rPr>
        <w:rStyle w:val="HideTWBExt"/>
      </w:rPr>
      <w:t>&lt;/</w:t>
    </w:r>
    <w:proofErr w:type="spellStart"/>
    <w:r>
      <w:rPr>
        <w:rStyle w:val="HideTWBExt"/>
      </w:rPr>
      <w:t>NoPE</w:t>
    </w:r>
    <w:proofErr w:type="spellEnd"/>
    <w:r>
      <w:rPr>
        <w:rStyle w:val="HideTWBExt"/>
      </w:rPr>
      <w:t>&gt;&lt;Version&gt;</w:t>
    </w:r>
    <w:proofErr w:type="spellStart"/>
    <w:r>
      <w:t>v02</w:t>
    </w:r>
    <w:proofErr w:type="spellEnd"/>
    <w:r>
      <w:t>-00</w:t>
    </w:r>
    <w:r>
      <w:rPr>
        <w:rStyle w:val="HideTWBExt"/>
      </w:rPr>
      <w:t>&lt;/</w:t>
    </w:r>
    <w:proofErr w:type="spellStart"/>
    <w:r>
      <w:rPr>
        <w:rStyle w:val="HideTWBExt"/>
      </w:rPr>
      <w:t>Version</w:t>
    </w:r>
    <w:proofErr w:type="spellEnd"/>
    <w:r>
      <w:rPr>
        <w:rStyle w:val="HideTWBExt"/>
      </w:rPr>
      <w:t>&gt;</w:t>
    </w:r>
  </w:p>
  <w:p w14:paraId="5BDC45C8" w14:textId="77777777" w:rsidR="003A74C2" w:rsidRDefault="004C6683">
    <w:pPr>
      <w:pStyle w:val="EPFooter2"/>
    </w:pPr>
    <w:r>
      <w:t>SK</w:t>
    </w:r>
    <w:r>
      <w:tab/>
    </w:r>
    <w:r>
      <w:rPr>
        <w:b w:val="0"/>
        <w:i/>
        <w:color w:val="C0C0C0"/>
        <w:sz w:val="22"/>
      </w:rPr>
      <w:t>Zjednotení v rozmanitosti</w:t>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A4099" w14:textId="77777777" w:rsidR="003A74C2" w:rsidRDefault="003A74C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BC4C0" w14:textId="77777777" w:rsidR="003A74C2" w:rsidRDefault="003A74C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C7723" w14:textId="77777777" w:rsidR="003A74C2" w:rsidRDefault="003A74C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12F232" w14:textId="77777777" w:rsidR="003A74C2" w:rsidRDefault="004C6683">
      <w:r>
        <w:separator/>
      </w:r>
    </w:p>
  </w:footnote>
  <w:footnote w:type="continuationSeparator" w:id="0">
    <w:p w14:paraId="3A01A462" w14:textId="77777777" w:rsidR="003A74C2" w:rsidRDefault="004C6683">
      <w:r>
        <w:continuationSeparator/>
      </w:r>
    </w:p>
  </w:footnote>
  <w:footnote w:id="1">
    <w:p w14:paraId="2ABFB79C" w14:textId="77777777" w:rsidR="003A74C2" w:rsidRDefault="004C6683">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228, 29.6.2023, s. 148.</w:t>
      </w:r>
    </w:p>
  </w:footnote>
  <w:footnote w:id="2">
    <w:p w14:paraId="17F39CB6" w14:textId="72E7AF78" w:rsidR="003A74C2" w:rsidRDefault="004C6683">
      <w:pPr>
        <w:pStyle w:val="FootnoteText"/>
        <w:ind w:left="851" w:hanging="851"/>
        <w:rPr>
          <w:sz w:val="24"/>
          <w:szCs w:val="24"/>
          <w:lang w:val="sk-SK"/>
        </w:rPr>
      </w:pPr>
      <w:r>
        <w:rPr>
          <w:rStyle w:val="FootnoteReference"/>
          <w:lang w:val="sk-SK"/>
        </w:rPr>
        <w:t>*</w:t>
      </w:r>
      <w:r>
        <w:rPr>
          <w:lang w:val="sk-SK"/>
        </w:rPr>
        <w:t xml:space="preserve"> </w:t>
      </w:r>
      <w:r>
        <w:rPr>
          <w:lang w:val="sk-SK"/>
        </w:rPr>
        <w:tab/>
      </w:r>
      <w:r>
        <w:rPr>
          <w:sz w:val="24"/>
          <w:szCs w:val="24"/>
          <w:lang w:val="sk-SK"/>
        </w:rPr>
        <w:t>Zmeny v celom texte vyplývajú z prijatia pozmeňujúceho návrhu 56. Nový alebo zmenený text je vyznačený hrubou kurzívou; vypustenia sa označujú symbolom ▌.</w:t>
      </w:r>
    </w:p>
  </w:footnote>
  <w:footnote w:id="3">
    <w:p w14:paraId="77CFBF11"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Ú. v. EÚ C, , s. .</w:t>
      </w:r>
    </w:p>
  </w:footnote>
  <w:footnote w:id="4">
    <w:p w14:paraId="77E1DDEB"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Ú. v. EÚ C, , s. .</w:t>
      </w:r>
    </w:p>
  </w:footnote>
  <w:footnote w:id="5">
    <w:p w14:paraId="2F0B6C32" w14:textId="3D437E3D"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(EÚ) 2019/1700 z 10. októbra 2019, ktorým sa zavádza spoločný rámec pre európske štatistiky o osobách a domácnostiach na základe individuálnych údajov zbieraných zo vzoriek, ktorým sa menia nariadenia Európskeho parlamentu a Rady (ES) č. 808/2004, (ES) č. 452/2008 a (ES) č. 1338/2008 a ktorým sa zrušuje nariadenie Európskeho parlamentu a Rady (ES) č. 1177/2003 a nariadenie Rady (ES) č. 577/98 (Ú. v. EÚ L 261 I, 14.10.2019, s. 1).</w:t>
      </w:r>
    </w:p>
  </w:footnote>
  <w:footnote w:id="6">
    <w:p w14:paraId="64427C53"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(EÚ) č. 1260/2013 z 20. novembra 2013 o európskej demografickej štatistike (Ú. v. EÚ L 330, 10.12.2013, s. 39).</w:t>
      </w:r>
    </w:p>
  </w:footnote>
  <w:footnote w:id="7">
    <w:p w14:paraId="65A864E6"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 xml:space="preserve">Nariadenie Európskeho parlamentu a Rady (ES) č. 223/2009 z 11. marca 2009 o európskej štatistike a o zrušení nariadenia (ES, </w:t>
      </w:r>
      <w:proofErr w:type="spellStart"/>
      <w:r>
        <w:rPr>
          <w:szCs w:val="24"/>
        </w:rPr>
        <w:t>Euratom</w:t>
      </w:r>
      <w:proofErr w:type="spellEnd"/>
      <w:r>
        <w:rPr>
          <w:szCs w:val="24"/>
        </w:rPr>
        <w:t xml:space="preserve">) č. 1101/2008 o prenose dôverných štatistických údajov Štatistickému úradu Európskych spoločenstiev, nariadenia Rady (ES) č. 322/97 o štatistike Spoločenstva a rozhodnutia Rady 89/382/EHS, </w:t>
      </w:r>
      <w:proofErr w:type="spellStart"/>
      <w:r>
        <w:rPr>
          <w:szCs w:val="24"/>
        </w:rPr>
        <w:t>Euratom</w:t>
      </w:r>
      <w:proofErr w:type="spellEnd"/>
      <w:r>
        <w:rPr>
          <w:szCs w:val="24"/>
        </w:rPr>
        <w:t xml:space="preserve"> o založení Výboru pre štatistické programy Európskych spoločenstiev (Ú. v. EÚ L 87, 31.3.2009, s. 164).</w:t>
      </w:r>
    </w:p>
  </w:footnote>
  <w:footnote w:id="8">
    <w:p w14:paraId="0833C937" w14:textId="614EB683"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SWD(2023)13.</w:t>
      </w:r>
    </w:p>
  </w:footnote>
  <w:footnote w:id="9">
    <w:p w14:paraId="45BAE78C"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(ES) č. 862/2007 z 11. júla 2007 o štatistike Spoločenstva o migrácii a medzinárodnej ochrane, ktorým sa zrušuje nariadenie Rady (EHS) č. 311/76 o zostavovaní štatistík zahraničných pracovníkov (Ú. v. EÚ L 199, 31.7.2007, s. 23).</w:t>
      </w:r>
    </w:p>
  </w:footnote>
  <w:footnote w:id="10">
    <w:p w14:paraId="2E51B1EA"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(ES) č. 763/2008 z 9. júla 2008 o sčítaní obyvateľov, domov a bytov (Ú. v. EÚ L 218, 13.8.2008, s. 14).</w:t>
      </w:r>
    </w:p>
  </w:footnote>
  <w:footnote w:id="11">
    <w:p w14:paraId="0F231F80"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(ES) č. 1059/2003 z 26. mája 2003 o zostavení spoločnej nomenklatúry územných jednotiek pre štatistické účely (NUTS) (Ú. v. EÚ L 154, 21.6.2003, s. 1).</w:t>
      </w:r>
    </w:p>
  </w:footnote>
  <w:footnote w:id="12">
    <w:p w14:paraId="517C1B89"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 xml:space="preserve">Vykonávacie nariadenie Komisie (EÚ) 2018/1799 z 21. novembra 2018 o prechodnom priamom štatistickom opatrení zameranom na zverejňovanie vybraných tém sčítania obyvateľov, domov a bytov v roku 2021 </w:t>
      </w:r>
      <w:proofErr w:type="spellStart"/>
      <w:r>
        <w:rPr>
          <w:szCs w:val="24"/>
        </w:rPr>
        <w:t>geokódovaných</w:t>
      </w:r>
      <w:proofErr w:type="spellEnd"/>
      <w:r>
        <w:rPr>
          <w:szCs w:val="24"/>
        </w:rPr>
        <w:t xml:space="preserve"> na sieť s bunkami s rozlohou bunky 1 km2 (Ú. v. EÚ L 296, 22.11.2018, s. 19).</w:t>
      </w:r>
    </w:p>
  </w:footnote>
  <w:footnote w:id="13">
    <w:p w14:paraId="21392CCA"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Smernica Európskeho parlamentu a Rady 2007/2/ES zo 14. marca 2007, ktorou sa zriaďuje Infraštruktúra pre priestorové informácie v Európskom spoločenstve (</w:t>
      </w:r>
      <w:proofErr w:type="spellStart"/>
      <w:r>
        <w:rPr>
          <w:szCs w:val="24"/>
        </w:rPr>
        <w:t>Inspire</w:t>
      </w:r>
      <w:proofErr w:type="spellEnd"/>
      <w:r>
        <w:rPr>
          <w:szCs w:val="24"/>
        </w:rPr>
        <w:t>) (Ú. v. EÚ L 108, 25.4.2007, s. 1).</w:t>
      </w:r>
    </w:p>
  </w:footnote>
  <w:footnote w:id="14">
    <w:p w14:paraId="297808F1"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Smernica Európskeho parlamentu a Rady 2010/31/EÚ z 19. mája 2010 o energetickej hospodárnosti budov (Ú. v. EÚ L 153, 18.6.2010, s. 13).</w:t>
      </w:r>
    </w:p>
  </w:footnote>
  <w:footnote w:id="15">
    <w:p w14:paraId="7CFBCAEE" w14:textId="002EAB1B" w:rsidR="003A74C2" w:rsidRDefault="004C6683">
      <w:pPr>
        <w:pStyle w:val="FootnoteTextForceStyle"/>
        <w:ind w:left="851" w:hanging="851"/>
        <w:rPr>
          <w:szCs w:val="24"/>
        </w:rPr>
      </w:pPr>
      <w:r>
        <w:rPr>
          <w:rStyle w:val="FootnoteReference"/>
          <w:szCs w:val="24"/>
        </w:rPr>
        <w:footnoteRef/>
      </w:r>
      <w:r>
        <w:rPr>
          <w:szCs w:val="24"/>
        </w:rPr>
        <w:t xml:space="preserve"> </w:t>
      </w:r>
      <w:r>
        <w:rPr>
          <w:szCs w:val="24"/>
        </w:rPr>
        <w:tab/>
        <w:t xml:space="preserve">Smernica Európskeho parlamentu a Rady (EÚ) 2024/1275 z 24. apríla 2024 o energetickej hospodárnosti budov (prepracované znenie) (Ú. v. EÚ L, 2024/1275, 8.5.2024, ELI: </w:t>
      </w:r>
      <w:r w:rsidRPr="002419A3">
        <w:rPr>
          <w:szCs w:val="24"/>
        </w:rPr>
        <w:t>http://data.europa.eu/eli/dir/2024/1275/oj</w:t>
      </w:r>
      <w:r>
        <w:rPr>
          <w:szCs w:val="24"/>
        </w:rPr>
        <w:t>).</w:t>
      </w:r>
    </w:p>
  </w:footnote>
  <w:footnote w:id="16">
    <w:p w14:paraId="7208DA50"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(EÚ) č. 910/2014 z 23. júla 2014 o elektronickej identifikácii a dôveryhodných službách pre elektronické transakcie na vnútornom trhu a o zrušení smernice 1999/93/ES (Ú. v. EÚ L 257, 28.8.2014, s. 73).</w:t>
      </w:r>
    </w:p>
  </w:footnote>
  <w:footnote w:id="17">
    <w:p w14:paraId="58AC1111"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w:t>
      </w:r>
    </w:p>
  </w:footnote>
  <w:footnote w:id="18">
    <w:p w14:paraId="5C17A97E"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 xml:space="preserve">Nariadenie Európskeho parlamentu a Rady (EÚ) 2019/817 z 20. mája 2019 o stanovení rámca pre </w:t>
      </w:r>
      <w:proofErr w:type="spellStart"/>
      <w:r>
        <w:rPr>
          <w:szCs w:val="24"/>
        </w:rPr>
        <w:t>interoperabilitu</w:t>
      </w:r>
      <w:proofErr w:type="spellEnd"/>
      <w:r>
        <w:rPr>
          <w:szCs w:val="24"/>
        </w:rPr>
        <w:t xml:space="preserve"> medzi informačnými systémami EÚ v oblasti hraníc a víz a o zmene nariadení Európskeho parlamentu a Rady (ES) č. 767/2008, (EÚ) 2016/399, (EÚ) 2017/2226, (EÚ) 2018/1240, (EÚ) 2018/1726 a (EÚ) 2018/1861 a rozhodnutí Rady 2004/512/ES a 2008/633/SVV (Ú. v. EÚ L 135, 22.5.2019, s. 27).</w:t>
      </w:r>
    </w:p>
  </w:footnote>
  <w:footnote w:id="19">
    <w:p w14:paraId="12CE2B55"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 xml:space="preserve">Nariadenie Európskeho parlamentu a Rady (EÚ) 2019/818 z 20. mája 2019 o stanovení rámca pre </w:t>
      </w:r>
      <w:proofErr w:type="spellStart"/>
      <w:r>
        <w:rPr>
          <w:szCs w:val="24"/>
        </w:rPr>
        <w:t>interoperabilitu</w:t>
      </w:r>
      <w:proofErr w:type="spellEnd"/>
      <w:r>
        <w:rPr>
          <w:szCs w:val="24"/>
        </w:rPr>
        <w:t xml:space="preserve"> medzi informačnými systémami EÚ v oblasti policajnej a justičnej spolupráce, azylu a migrácie a o zmene nariadení (EÚ) 2018/1726, (EÚ) 2018/1862 a (EÚ) 2019/816 (Ú. v. EÚ L 135, 22.5.2019, s. 85).</w:t>
      </w:r>
    </w:p>
  </w:footnote>
  <w:footnote w:id="20">
    <w:p w14:paraId="0A610638"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21">
    <w:p w14:paraId="47383782" w14:textId="77777777" w:rsidR="003A74C2" w:rsidRDefault="004C6683">
      <w:pPr>
        <w:pStyle w:val="FootnoteTextForceStyle"/>
        <w:ind w:left="851" w:hanging="851"/>
        <w:rPr>
          <w:szCs w:val="24"/>
        </w:rPr>
      </w:pPr>
      <w:r>
        <w:rPr>
          <w:rStyle w:val="FootnoteReference"/>
          <w:szCs w:val="24"/>
        </w:rPr>
        <w:footnoteRef/>
      </w:r>
      <w:r>
        <w:rPr>
          <w:szCs w:val="24"/>
        </w:rPr>
        <w:t xml:space="preserve"> </w:t>
      </w:r>
      <w:r>
        <w:rPr>
          <w:szCs w:val="24"/>
        </w:rPr>
        <w:tab/>
        <w:t>Nariadenie Európskeho parlamentu a Rady (EÚ) 2016/679 z 27. apríla 2016 o ochrane fyzických osôb pri spracúvaní osobných údajov a o voľnom pohybe takýchto údajov, ktorým sa zrušuje smernica 95/46/ES (všeobecné nariadenie o ochrane údajov) (Ú. v. EÚ L 119, 4.5.2016, s. 1).</w:t>
      </w:r>
    </w:p>
  </w:footnote>
  <w:footnote w:id="22">
    <w:p w14:paraId="52B653A9"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Smernica Európskeho parlamentu a Rady 2002/58/ES z 12. júla 2002, týkajúca sa spracovávania osobných údajov a ochrany súkromia v sektore elektronických komunikácií (smernica o súkromí a elektronických komunikáciách) (Ú. v. ES L 201, 31.7.2002, s. 37).</w:t>
      </w:r>
    </w:p>
  </w:footnote>
  <w:footnote w:id="23">
    <w:p w14:paraId="37B467A4"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Ú. v. EÚ L 123, 12.5.2016, s. 1.</w:t>
      </w:r>
    </w:p>
  </w:footnote>
  <w:footnote w:id="24">
    <w:p w14:paraId="1EF8D1FA"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(EÚ) 2021/690 z 28. apríla 2021, ktorým sa zriaďuje Program pre vnútorný trh, konkurencieschopnosť podnikov vrátane malých a stredných podnikov, oblasť rastlín, zvierat, potravín a krmív a európsku štatistiku (Program pre jednotný trh) a ktorým sa zrušujú nariadenia (EÚ) č. 99/2013, (EÚ) č. 1287/2013, (EÚ) č. 254/2014 a (EÚ) č. 652/2014 (Ú. v. EÚ L 153, 3.5.2021, s. 1).</w:t>
      </w:r>
    </w:p>
  </w:footnote>
  <w:footnote w:id="25">
    <w:p w14:paraId="4A9C1DAA" w14:textId="1966E448" w:rsidR="003A74C2" w:rsidRDefault="004C6683">
      <w:pPr>
        <w:pStyle w:val="FootnoteTextForceStyle"/>
        <w:ind w:left="851" w:hanging="851"/>
        <w:rPr>
          <w:szCs w:val="24"/>
        </w:rPr>
      </w:pPr>
      <w:r>
        <w:rPr>
          <w:rStyle w:val="FootnoteReference"/>
          <w:szCs w:val="24"/>
        </w:rPr>
        <w:footnoteRef/>
      </w:r>
      <w:r>
        <w:rPr>
          <w:szCs w:val="24"/>
        </w:rPr>
        <w:t xml:space="preserve"> </w:t>
      </w:r>
      <w:r>
        <w:rPr>
          <w:szCs w:val="24"/>
        </w:rPr>
        <w:tab/>
        <w:t>Nariadenie Európskeho parlamentu a Rady (EÚ) 2021/240 z 10. februára 2021, ktorým sa zriaďuje Nástroj technickej podpory (Ú. v. EÚ L 57, 18.2.2021, s. 1).</w:t>
      </w:r>
    </w:p>
  </w:footnote>
  <w:footnote w:id="26">
    <w:p w14:paraId="622AE549" w14:textId="77777777" w:rsidR="003A74C2" w:rsidRDefault="004C6683">
      <w:pPr>
        <w:pStyle w:val="FootnoteTextForceStyle"/>
        <w:ind w:left="851" w:hanging="851"/>
        <w:rPr>
          <w:szCs w:val="24"/>
        </w:rPr>
      </w:pPr>
      <w:r>
        <w:rPr>
          <w:rStyle w:val="FootnoteReference"/>
          <w:szCs w:val="24"/>
        </w:rPr>
        <w:footnoteRef/>
      </w:r>
      <w:r>
        <w:rPr>
          <w:szCs w:val="24"/>
        </w:rPr>
        <w:t xml:space="preserve"> </w:t>
      </w:r>
      <w:r>
        <w:rPr>
          <w:szCs w:val="24"/>
        </w:rPr>
        <w:tab/>
        <w:t xml:space="preserve">Nariadenie Európskeho parlamentu a Rady (EÚ, </w:t>
      </w:r>
      <w:proofErr w:type="spellStart"/>
      <w:r>
        <w:rPr>
          <w:szCs w:val="24"/>
        </w:rPr>
        <w:t>Euratom</w:t>
      </w:r>
      <w:proofErr w:type="spellEnd"/>
      <w:r>
        <w:rPr>
          <w:szCs w:val="24"/>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Pr>
          <w:szCs w:val="24"/>
        </w:rPr>
        <w:t>Euratom</w:t>
      </w:r>
      <w:proofErr w:type="spellEnd"/>
      <w:r>
        <w:rPr>
          <w:szCs w:val="24"/>
        </w:rPr>
        <w:t>) č. 966/2012 (Ú. v. EÚ L 193, 30.7.2018, s. 1).</w:t>
      </w:r>
    </w:p>
  </w:footnote>
  <w:footnote w:id="27">
    <w:p w14:paraId="22AB1C41"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 xml:space="preserve">Nariadenie Európskeho parlamentu a Rady (EÚ, </w:t>
      </w:r>
      <w:proofErr w:type="spellStart"/>
      <w:r>
        <w:rPr>
          <w:szCs w:val="24"/>
        </w:rPr>
        <w:t>Euratom</w:t>
      </w:r>
      <w:proofErr w:type="spellEnd"/>
      <w:r>
        <w:rPr>
          <w:szCs w:val="24"/>
        </w:rPr>
        <w:t>) č. 883/2013 z 11. septembra 2013 o vyšetrovaniach vykonávaných Európskym úradom pre boj proti podvodom (OLAF), ktorým sa zrušuje nariadenie Európskeho parlamentu a Rady (ES) č. 1073/1999 a nariadenie Rady (</w:t>
      </w:r>
      <w:proofErr w:type="spellStart"/>
      <w:r>
        <w:rPr>
          <w:szCs w:val="24"/>
        </w:rPr>
        <w:t>Euratom</w:t>
      </w:r>
      <w:proofErr w:type="spellEnd"/>
      <w:r>
        <w:rPr>
          <w:szCs w:val="24"/>
        </w:rPr>
        <w:t>) č. 1074/1999 (Ú. v. EÚ L 248, 18.9.2013, s. 1).</w:t>
      </w:r>
    </w:p>
  </w:footnote>
  <w:footnote w:id="28">
    <w:p w14:paraId="1967B153"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 xml:space="preserve">Nariadenie Rady (ES, </w:t>
      </w:r>
      <w:proofErr w:type="spellStart"/>
      <w:r>
        <w:rPr>
          <w:szCs w:val="24"/>
        </w:rPr>
        <w:t>Euratom</w:t>
      </w:r>
      <w:proofErr w:type="spellEnd"/>
      <w:r>
        <w:rPr>
          <w:szCs w:val="24"/>
        </w:rPr>
        <w:t>) č. 2988/95 z 18. decembra 1995 o ochrane finančných záujmov Európskych spoločenstiev (Ú. v. ES L 312, 23.12.1995, s. 1).</w:t>
      </w:r>
    </w:p>
  </w:footnote>
  <w:footnote w:id="29">
    <w:p w14:paraId="3A0A6A1C"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Rady (</w:t>
      </w:r>
      <w:proofErr w:type="spellStart"/>
      <w:r>
        <w:rPr>
          <w:szCs w:val="24"/>
        </w:rPr>
        <w:t>Euratom</w:t>
      </w:r>
      <w:proofErr w:type="spellEnd"/>
      <w:r>
        <w:rPr>
          <w:szCs w:val="24"/>
        </w:rPr>
        <w:t>, ES) č. 2185/96 z 11. novembra 1996 o kontrolách a inšpekciách na mieste, vykonávaných Komisiou s cieľom ochrany finančných záujmov Európskych spoločenstiev pred spreneverou a inými podvodmi (Ú. v. ES L 292, 15.11.1996, s. 2).</w:t>
      </w:r>
    </w:p>
  </w:footnote>
  <w:footnote w:id="30">
    <w:p w14:paraId="3C958D69"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Rady (EÚ) 2017/1939 z 12. októbra 2017, ktorým sa vykonáva posilnená spolupráca na účely zriadenia Európskej prokuratúry (ďalej len „EPPO“) (Ú. v. EÚ L 283, 31.10.2017, s. 1).</w:t>
      </w:r>
    </w:p>
  </w:footnote>
  <w:footnote w:id="31">
    <w:p w14:paraId="505EDBCC"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Smernica Európskeho parlamentu a Rady (EÚ) 2017/1371 z 5. júla 2017 o boji proti podvodom, ktoré poškodzujú finančné záujmy Únie, prostredníctvom trestného práva (Ú. v. EÚ L 198, 28.7.2017, s. 29).</w:t>
      </w:r>
    </w:p>
  </w:footnote>
  <w:footnote w:id="32">
    <w:p w14:paraId="6222F51A" w14:textId="77777777" w:rsidR="003A74C2" w:rsidRDefault="004C6683">
      <w:pPr>
        <w:pStyle w:val="FootnoteTextForceStyle"/>
        <w:ind w:left="851" w:hanging="851"/>
        <w:rPr>
          <w:szCs w:val="24"/>
        </w:rPr>
      </w:pPr>
      <w:r>
        <w:rPr>
          <w:szCs w:val="24"/>
          <w:vertAlign w:val="superscript"/>
        </w:rPr>
        <w:footnoteRef/>
      </w:r>
      <w:r>
        <w:rPr>
          <w:szCs w:val="24"/>
        </w:rPr>
        <w:t xml:space="preserve"> </w:t>
      </w:r>
      <w:r>
        <w:rPr>
          <w:szCs w:val="24"/>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33">
    <w:p w14:paraId="1769B933" w14:textId="752D1ECF" w:rsidR="003A74C2" w:rsidRDefault="004C6683">
      <w:pPr>
        <w:pStyle w:val="FootnoteText"/>
        <w:ind w:left="851" w:hanging="851"/>
        <w:rPr>
          <w:sz w:val="24"/>
          <w:szCs w:val="24"/>
          <w:lang w:val="sk-SK"/>
        </w:rPr>
      </w:pPr>
      <w:r>
        <w:rPr>
          <w:rStyle w:val="FootnoteReference"/>
          <w:sz w:val="24"/>
          <w:szCs w:val="24"/>
          <w:lang w:val="sk-SK"/>
        </w:rPr>
        <w:t>+</w:t>
      </w:r>
      <w:r>
        <w:rPr>
          <w:sz w:val="24"/>
          <w:szCs w:val="24"/>
          <w:lang w:val="sk-SK"/>
        </w:rPr>
        <w:tab/>
      </w:r>
      <w:bookmarkStart w:id="9" w:name="_Hlk159427958"/>
      <w:r>
        <w:rPr>
          <w:sz w:val="24"/>
          <w:szCs w:val="24"/>
          <w:lang w:val="sk-SK"/>
        </w:rPr>
        <w:t>Ú. v.: vložte, prosím, do textu číslo nariadenia nachádzajúceho sa v dokumente 2023/0008(COD)</w:t>
      </w:r>
      <w:bookmarkEnd w:id="9"/>
      <w:r>
        <w:rPr>
          <w:sz w:val="24"/>
          <w:szCs w:val="24"/>
          <w:lang w:val="sk-SK"/>
        </w:rPr>
        <w:t xml:space="preserve"> a do poznámky pod čiarou vložte číslo, dátum a názov uvedeného nariadenia a odkaz na jeho uverejnenie v úradnom vestníku.</w:t>
      </w:r>
    </w:p>
  </w:footnote>
  <w:footnote w:id="34">
    <w:p w14:paraId="4DF28A9B" w14:textId="31E0FD65" w:rsidR="003A74C2" w:rsidRDefault="004C6683">
      <w:pPr>
        <w:pStyle w:val="FootnoteText"/>
        <w:ind w:left="851" w:hanging="851"/>
        <w:rPr>
          <w:sz w:val="24"/>
          <w:szCs w:val="24"/>
          <w:lang w:val="sk-SK"/>
        </w:rPr>
      </w:pPr>
      <w:r>
        <w:rPr>
          <w:rStyle w:val="FootnoteReference"/>
          <w:sz w:val="24"/>
          <w:szCs w:val="24"/>
          <w:lang w:val="sk-SK"/>
        </w:rPr>
        <w:t>+</w:t>
      </w:r>
      <w:r>
        <w:rPr>
          <w:sz w:val="24"/>
          <w:szCs w:val="24"/>
          <w:lang w:val="sk-SK"/>
        </w:rPr>
        <w:tab/>
        <w:t>Ú. v.: vložte, prosím, do textu číslo nariadenia nachádzajúceho sa v dokumente 2023/0008(COD) a do poznámky pod čiarou vložte číslo, dátum a názov uvedeného nariadenia a odkaz na jeho uverejnenie v úradnom vestníku.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D26C" w14:textId="77777777" w:rsidR="003A74C2" w:rsidRDefault="003A74C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884BC" w14:textId="77777777" w:rsidR="003A74C2" w:rsidRDefault="003A74C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38569" w14:textId="77777777" w:rsidR="003A74C2" w:rsidRDefault="003A74C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485C5946">
      <w:start w:val="1"/>
      <w:numFmt w:val="decimal"/>
      <w:lvlText w:val="%1."/>
      <w:lvlJc w:val="left"/>
      <w:pPr>
        <w:ind w:left="930" w:hanging="570"/>
      </w:pPr>
      <w:rPr>
        <w:rFonts w:hint="default"/>
      </w:rPr>
    </w:lvl>
    <w:lvl w:ilvl="1" w:tplc="312A8C8A" w:tentative="1">
      <w:start w:val="1"/>
      <w:numFmt w:val="lowerLetter"/>
      <w:lvlText w:val="%2."/>
      <w:lvlJc w:val="left"/>
      <w:pPr>
        <w:ind w:left="1440" w:hanging="360"/>
      </w:pPr>
    </w:lvl>
    <w:lvl w:ilvl="2" w:tplc="1B54B7C2" w:tentative="1">
      <w:start w:val="1"/>
      <w:numFmt w:val="lowerRoman"/>
      <w:lvlText w:val="%3."/>
      <w:lvlJc w:val="right"/>
      <w:pPr>
        <w:ind w:left="2160" w:hanging="180"/>
      </w:pPr>
    </w:lvl>
    <w:lvl w:ilvl="3" w:tplc="369A20D4" w:tentative="1">
      <w:start w:val="1"/>
      <w:numFmt w:val="decimal"/>
      <w:lvlText w:val="%4."/>
      <w:lvlJc w:val="left"/>
      <w:pPr>
        <w:ind w:left="2880" w:hanging="360"/>
      </w:pPr>
    </w:lvl>
    <w:lvl w:ilvl="4" w:tplc="DEBC598C" w:tentative="1">
      <w:start w:val="1"/>
      <w:numFmt w:val="lowerLetter"/>
      <w:lvlText w:val="%5."/>
      <w:lvlJc w:val="left"/>
      <w:pPr>
        <w:ind w:left="3600" w:hanging="360"/>
      </w:pPr>
    </w:lvl>
    <w:lvl w:ilvl="5" w:tplc="A6662AC0" w:tentative="1">
      <w:start w:val="1"/>
      <w:numFmt w:val="lowerRoman"/>
      <w:lvlText w:val="%6."/>
      <w:lvlJc w:val="right"/>
      <w:pPr>
        <w:ind w:left="4320" w:hanging="180"/>
      </w:pPr>
    </w:lvl>
    <w:lvl w:ilvl="6" w:tplc="84CC0678" w:tentative="1">
      <w:start w:val="1"/>
      <w:numFmt w:val="decimal"/>
      <w:lvlText w:val="%7."/>
      <w:lvlJc w:val="left"/>
      <w:pPr>
        <w:ind w:left="5040" w:hanging="360"/>
      </w:pPr>
    </w:lvl>
    <w:lvl w:ilvl="7" w:tplc="93C69446" w:tentative="1">
      <w:start w:val="1"/>
      <w:numFmt w:val="lowerLetter"/>
      <w:lvlText w:val="%8."/>
      <w:lvlJc w:val="left"/>
      <w:pPr>
        <w:ind w:left="5760" w:hanging="360"/>
      </w:pPr>
    </w:lvl>
    <w:lvl w:ilvl="8" w:tplc="AC1C4A9C"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SK"/>
    <w:docVar w:name="dvnumam" w:val="83"/>
    <w:docVar w:name="dvpe" w:val="746.665"/>
    <w:docVar w:name="dvrapporteur" w:val="Spravodajkyňa: "/>
    <w:docVar w:name="dvstar" w:val="***I"/>
    <w:docVar w:name="dvtitre" w:val="Legislatívne uznesenie Európskeho parlamentu z xx. apríla 2024 o návrhu nariadenia Európskeho parlamentu a Rady o európskej štatistike obyvateľov, domov a bytov, ktorým sa mení nariadenie (ES) č. 862/2007 a ktorým sa zrušujú nariadenia (ES) č. 763/2008 a (EÚ) č. 1260/2013(COM(2023)0031 – C9-0010/2023 – 2023/0008(COD))"/>
  </w:docVars>
  <w:rsids>
    <w:rsidRoot w:val="003A74C2"/>
    <w:rsid w:val="002419A3"/>
    <w:rsid w:val="003A74C2"/>
    <w:rsid w:val="004C6683"/>
    <w:rsid w:val="007D3939"/>
    <w:rsid w:val="00981594"/>
    <w:rsid w:val="00E37CD1"/>
    <w:rsid w:val="00E5744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BBE35"/>
  <w15:chartTrackingRefBased/>
  <w15:docId w15:val="{EDD9A877-4A60-4A86-B960-99FC18B50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rPr>
      <w:b/>
      <w:kern w:val="28"/>
      <w:sz w:val="28"/>
      <w:lang w:val="fr-FR" w:eastAsia="fr-FR"/>
    </w:rPr>
  </w:style>
  <w:style w:type="character" w:customStyle="1" w:styleId="Heading2Char">
    <w:name w:val="Heading 2 Char"/>
    <w:basedOn w:val="DefaultParagraphFont"/>
    <w:link w:val="Heading2"/>
    <w:semiHidden/>
    <w:rPr>
      <w:sz w:val="24"/>
      <w:lang w:val="fr-FR" w:eastAsia="fr-FR"/>
    </w:rPr>
  </w:style>
  <w:style w:type="character" w:customStyle="1" w:styleId="Heading3Char">
    <w:name w:val="Heading 3 Char"/>
    <w:basedOn w:val="DefaultParagraphFont"/>
    <w:link w:val="Heading3"/>
    <w:semiHidden/>
    <w:rPr>
      <w:rFonts w:ascii="Arial" w:hAnsi="Arial"/>
      <w:sz w:val="24"/>
      <w:lang w:val="fr-FR" w:eastAsia="fr-FR"/>
    </w:rPr>
  </w:style>
  <w:style w:type="character" w:customStyle="1" w:styleId="Heading4Char">
    <w:name w:val="Heading 4 Char"/>
    <w:basedOn w:val="DefaultParagraphFont"/>
    <w:link w:val="Heading4"/>
    <w:semiHidden/>
    <w:rPr>
      <w:sz w:val="24"/>
      <w:lang w:val="en-US" w:eastAsia="fr-FR"/>
    </w:rPr>
  </w:style>
  <w:style w:type="character" w:customStyle="1" w:styleId="Heading5Char">
    <w:name w:val="Heading 5 Char"/>
    <w:basedOn w:val="DefaultParagraphFont"/>
    <w:link w:val="Heading5"/>
    <w:semiHidden/>
    <w:rPr>
      <w:sz w:val="24"/>
      <w:lang w:val="en-US" w:eastAsia="fr-FR"/>
    </w:rPr>
  </w:style>
  <w:style w:type="character" w:customStyle="1" w:styleId="Heading6Char">
    <w:name w:val="Heading 6 Char"/>
    <w:basedOn w:val="DefaultParagraphFont"/>
    <w:link w:val="Heading6"/>
    <w:semiHidden/>
    <w:rPr>
      <w:i/>
      <w:sz w:val="22"/>
      <w:lang w:val="sk-SK"/>
    </w:rPr>
  </w:style>
  <w:style w:type="character" w:customStyle="1" w:styleId="Heading7Char">
    <w:name w:val="Heading 7 Char"/>
    <w:basedOn w:val="DefaultParagraphFont"/>
    <w:link w:val="Heading7"/>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customStyle="1" w:styleId="Normal6Char">
    <w:name w:val="Normal6 Char"/>
    <w:link w:val="Normal6"/>
    <w:locked/>
    <w:rPr>
      <w:sz w:val="24"/>
      <w:lang w:val="sk-SK"/>
    </w:rPr>
  </w:style>
  <w:style w:type="paragraph" w:customStyle="1" w:styleId="Normal6">
    <w:name w:val="Normal6"/>
    <w:basedOn w:val="Normal"/>
    <w:link w:val="Normal6Char"/>
    <w:pPr>
      <w:spacing w:after="120"/>
    </w:pPr>
  </w:style>
  <w:style w:type="character" w:customStyle="1" w:styleId="NormalBoldChar">
    <w:name w:val="NormalBold Char"/>
    <w:link w:val="NormalBold"/>
    <w:locked/>
    <w:rPr>
      <w:b/>
      <w:sz w:val="24"/>
      <w:lang w:val="sk-SK"/>
    </w:rPr>
  </w:style>
  <w:style w:type="paragraph" w:customStyle="1" w:styleId="Normal12Italic">
    <w:name w:val="Normal12Italic"/>
    <w:basedOn w:val="Normal"/>
    <w:pPr>
      <w:spacing w:after="240"/>
    </w:pPr>
    <w:rPr>
      <w:i/>
      <w:noProof/>
    </w:rPr>
  </w:style>
  <w:style w:type="paragraph" w:customStyle="1" w:styleId="JustificationTitle">
    <w:name w:val="JustificationTitle"/>
    <w:basedOn w:val="Normal"/>
    <w:next w:val="Normal"/>
    <w:pPr>
      <w:keepNext/>
      <w:spacing w:before="240" w:after="240"/>
      <w:jc w:val="center"/>
    </w:pPr>
    <w:rPr>
      <w:i/>
      <w:noProof/>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pPr>
      <w:jc w:val="right"/>
    </w:pPr>
    <w:rPr>
      <w:lang w:val="sk-SK"/>
    </w:rPr>
  </w:style>
  <w:style w:type="paragraph" w:customStyle="1" w:styleId="Memos">
    <w:name w:val="Memos"/>
    <w:basedOn w:val="NoSpacing"/>
    <w:link w:val="MemosChar"/>
    <w:autoRedefine/>
    <w:qFormat/>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Pr>
      <w:rFonts w:eastAsiaTheme="minorHAnsi"/>
      <w:sz w:val="28"/>
      <w:szCs w:val="32"/>
      <w:u w:val="single"/>
      <w:lang w:val="sk-SK" w:eastAsia="en-US"/>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lang w:val="sk-SK"/>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b/>
      <w:bCs/>
      <w:lang w:val="sk-SK"/>
    </w:rPr>
  </w:style>
  <w:style w:type="paragraph" w:customStyle="1" w:styleId="Normal12a">
    <w:name w:val="Normal12a"/>
    <w:basedOn w:val="Normal"/>
    <w:pPr>
      <w:spacing w:after="240"/>
    </w:p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HeadingPA">
    <w:name w:val="AmHeadingPA"/>
    <w:basedOn w:val="Normal"/>
    <w:next w:val="Normal"/>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pPr>
      <w:spacing w:after="480"/>
    </w:pPr>
  </w:style>
  <w:style w:type="character" w:customStyle="1" w:styleId="Normal24aChar">
    <w:name w:val="Normal24a Char"/>
    <w:basedOn w:val="DefaultParagraphFont"/>
    <w:link w:val="Normal24a"/>
    <w:rPr>
      <w:sz w:val="24"/>
      <w:lang w:val="sk-SK"/>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paragraph" w:styleId="NoSpacing">
    <w:name w:val="No Spacing"/>
    <w:uiPriority w:val="1"/>
    <w:qFormat/>
    <w:pPr>
      <w:widowControl w:val="0"/>
    </w:pPr>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 w:type="paragraph" w:styleId="Revision">
    <w:name w:val="Revision"/>
    <w:hidden/>
    <w:uiPriority w:val="99"/>
    <w:semiHidden/>
    <w:rPr>
      <w:sz w:val="24"/>
      <w:lang w:val="sk-SK"/>
    </w:rPr>
  </w:style>
  <w:style w:type="paragraph" w:customStyle="1" w:styleId="Institutionquiagit">
    <w:name w:val="Institution qui agit"/>
    <w:basedOn w:val="Normal"/>
    <w:next w:val="Normal"/>
    <w:qFormat/>
    <w:pPr>
      <w:keepNext/>
      <w:widowControl/>
      <w:spacing w:before="600" w:after="120"/>
      <w:jc w:val="both"/>
    </w:pPr>
    <w:rPr>
      <w:rFonts w:eastAsia="Calibri"/>
      <w:szCs w:val="22"/>
      <w:lang w:eastAsia="en-US"/>
    </w:rPr>
  </w:style>
  <w:style w:type="paragraph" w:customStyle="1" w:styleId="FootnoteTextForceStyle">
    <w:name w:val="Footnote Text ForceStyle"/>
    <w:pPr>
      <w:keepLines/>
      <w:widowControl w:val="0"/>
      <w:ind w:left="850" w:hanging="850"/>
    </w:pPr>
    <w:rPr>
      <w:sz w:val="24"/>
      <w:lang w:val="sk-SK" w:eastAsia="en-US"/>
    </w:rPr>
  </w:style>
  <w:style w:type="paragraph" w:customStyle="1" w:styleId="AmDocTypeTab">
    <w:name w:val="AmDocTypeTab"/>
    <w:basedOn w:val="Normal"/>
    <w:pPr>
      <w:tabs>
        <w:tab w:val="right" w:pos="9072"/>
      </w:tabs>
    </w:pPr>
    <w:rPr>
      <w:b/>
    </w:rPr>
  </w:style>
  <w:style w:type="paragraph" w:customStyle="1" w:styleId="NormalCenter12a">
    <w:name w:val="NormalCenter12a"/>
    <w:basedOn w:val="Normal"/>
    <w:pPr>
      <w:spacing w:after="240"/>
      <w:jc w:val="center"/>
    </w:pPr>
  </w:style>
  <w:style w:type="paragraph" w:customStyle="1" w:styleId="AmHeadingConsam">
    <w:name w:val="AmHeadingConsam"/>
    <w:basedOn w:val="Normal"/>
    <w:next w:val="NormalCenter12a"/>
    <w:pPr>
      <w:spacing w:before="72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E5378-332C-4E7A-A807-442338EC7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9905</Words>
  <Characters>60914</Characters>
  <Application>Microsoft Office Word</Application>
  <DocSecurity>0</DocSecurity>
  <Lines>507</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2024-10-17T10:13:00Z</dcterms:created>
  <dcterms:modified xsi:type="dcterms:W3CDTF">2024-10-17T10:13:00Z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P9_TA(2024)0361_</vt:lpwstr>
  </property>
  <property fmtid="{D5CDD505-2E9C-101B-9397-08002B2CF9AE}" pid="4" name="&lt;Type&gt;">
    <vt:lpwstr>RR</vt:lpwstr>
  </property>
</Properties>
</file>