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616D" w:rsidTr="0010095E">
        <w:trPr>
          <w:trHeight w:hRule="exact" w:val="1418"/>
        </w:trPr>
        <w:tc>
          <w:tcPr>
            <w:tcW w:w="6804" w:type="dxa"/>
            <w:shd w:val="clear" w:color="auto" w:fill="auto"/>
            <w:vAlign w:val="center"/>
          </w:tcPr>
          <w:p w:rsidR="00751A4A" w:rsidRPr="004E616D" w:rsidRDefault="00992143" w:rsidP="0010095E">
            <w:pPr>
              <w:pStyle w:val="EPName"/>
            </w:pPr>
            <w:r w:rsidRPr="004E616D">
              <w:t>Europaparlamentet</w:t>
            </w:r>
          </w:p>
          <w:p w:rsidR="00751A4A" w:rsidRPr="004E616D" w:rsidRDefault="00817416" w:rsidP="00756632">
            <w:pPr>
              <w:pStyle w:val="EPTerm"/>
              <w:rPr>
                <w:rStyle w:val="HideTWBExt"/>
                <w:noProof w:val="0"/>
                <w:vanish w:val="0"/>
                <w:color w:val="auto"/>
              </w:rPr>
            </w:pPr>
            <w:r w:rsidRPr="004E616D">
              <w:t>2019-2024</w:t>
            </w:r>
          </w:p>
        </w:tc>
        <w:tc>
          <w:tcPr>
            <w:tcW w:w="2268" w:type="dxa"/>
            <w:shd w:val="clear" w:color="auto" w:fill="auto"/>
          </w:tcPr>
          <w:p w:rsidR="00751A4A" w:rsidRPr="004E616D" w:rsidRDefault="00187494" w:rsidP="0010095E">
            <w:pPr>
              <w:pStyle w:val="EPLogo"/>
            </w:pPr>
            <w:r w:rsidRPr="004E616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616D" w:rsidRDefault="00D058B8" w:rsidP="004C5D52">
      <w:pPr>
        <w:pStyle w:val="LineTop"/>
      </w:pPr>
    </w:p>
    <w:p w:rsidR="00680577" w:rsidRPr="004E616D" w:rsidRDefault="00992143" w:rsidP="00680577">
      <w:pPr>
        <w:pStyle w:val="EPBodyTA1"/>
      </w:pPr>
      <w:r w:rsidRPr="004E616D">
        <w:t>ANTAGNA TEXTER</w:t>
      </w:r>
    </w:p>
    <w:p w:rsidR="00D058B8" w:rsidRPr="004E616D" w:rsidRDefault="00D058B8" w:rsidP="00D058B8">
      <w:pPr>
        <w:pStyle w:val="LineBottom"/>
      </w:pPr>
    </w:p>
    <w:p w:rsidR="00992143" w:rsidRPr="004E616D" w:rsidRDefault="00992143" w:rsidP="00992143">
      <w:pPr>
        <w:pStyle w:val="ATHeading1"/>
      </w:pPr>
      <w:bookmarkStart w:id="0" w:name="TANumber"/>
      <w:r w:rsidRPr="004E616D">
        <w:t>P9_TA(2024)0</w:t>
      </w:r>
      <w:bookmarkEnd w:id="0"/>
      <w:r w:rsidR="00B12E74">
        <w:t>361</w:t>
      </w:r>
    </w:p>
    <w:p w:rsidR="00992143" w:rsidRPr="004E616D" w:rsidRDefault="00992143" w:rsidP="00992143">
      <w:pPr>
        <w:pStyle w:val="ATHeading2"/>
      </w:pPr>
      <w:bookmarkStart w:id="1" w:name="title"/>
      <w:r w:rsidRPr="004E616D">
        <w:t>Statistik om befolkning och bostäder</w:t>
      </w:r>
      <w:bookmarkEnd w:id="1"/>
    </w:p>
    <w:p w:rsidR="00992143" w:rsidRPr="004E616D" w:rsidRDefault="00992143" w:rsidP="00992143">
      <w:pPr>
        <w:rPr>
          <w:i/>
          <w:vanish/>
        </w:rPr>
      </w:pPr>
      <w:r w:rsidRPr="004E616D">
        <w:rPr>
          <w:i/>
        </w:rPr>
        <w:fldChar w:fldCharType="begin"/>
      </w:r>
      <w:r w:rsidRPr="004E616D">
        <w:rPr>
          <w:i/>
        </w:rPr>
        <w:instrText xml:space="preserve"> TC"(</w:instrText>
      </w:r>
      <w:bookmarkStart w:id="2" w:name="DocNumber"/>
      <w:r w:rsidRPr="004E616D">
        <w:rPr>
          <w:i/>
        </w:rPr>
        <w:instrText>A9-0284/2023</w:instrText>
      </w:r>
      <w:bookmarkEnd w:id="2"/>
      <w:r w:rsidRPr="004E616D">
        <w:rPr>
          <w:i/>
        </w:rPr>
        <w:instrText xml:space="preserve"> - Föredragande: Irena Joveva)"\l3 \n&gt; \* MERGEFORMAT </w:instrText>
      </w:r>
      <w:r w:rsidRPr="004E616D">
        <w:rPr>
          <w:i/>
        </w:rPr>
        <w:fldChar w:fldCharType="end"/>
      </w:r>
    </w:p>
    <w:p w:rsidR="00992143" w:rsidRPr="004E616D" w:rsidRDefault="00992143" w:rsidP="00992143">
      <w:pPr>
        <w:rPr>
          <w:vanish/>
        </w:rPr>
      </w:pPr>
      <w:bookmarkStart w:id="3" w:name="Commission"/>
      <w:r w:rsidRPr="004E616D">
        <w:rPr>
          <w:vanish/>
        </w:rPr>
        <w:t>Utskottet för sysselsättning och sociala frågor</w:t>
      </w:r>
      <w:bookmarkEnd w:id="3"/>
    </w:p>
    <w:p w:rsidR="00992143" w:rsidRPr="004E616D" w:rsidRDefault="00992143" w:rsidP="00992143">
      <w:pPr>
        <w:rPr>
          <w:vanish/>
        </w:rPr>
      </w:pPr>
      <w:bookmarkStart w:id="4" w:name="PE"/>
      <w:r w:rsidRPr="004E616D">
        <w:rPr>
          <w:vanish/>
        </w:rPr>
        <w:t>PE746.665</w:t>
      </w:r>
      <w:bookmarkEnd w:id="4"/>
    </w:p>
    <w:p w:rsidR="00992143" w:rsidRPr="004E616D" w:rsidRDefault="00992143" w:rsidP="00992143">
      <w:pPr>
        <w:pStyle w:val="ATHeading3"/>
      </w:pPr>
      <w:bookmarkStart w:id="5" w:name="Sujet"/>
      <w:r w:rsidRPr="004E616D">
        <w:t xml:space="preserve">Europaparlamentets lagstiftningsresolution av den </w:t>
      </w:r>
      <w:r w:rsidR="00BE4000">
        <w:t>24</w:t>
      </w:r>
      <w:r w:rsidR="00BE4000" w:rsidRPr="004E616D">
        <w:t xml:space="preserve"> </w:t>
      </w:r>
      <w:r w:rsidR="00C36F72">
        <w:t>april</w:t>
      </w:r>
      <w:r w:rsidR="00C36F72" w:rsidRPr="004E616D">
        <w:t xml:space="preserve"> </w:t>
      </w:r>
      <w:r w:rsidRPr="004E616D">
        <w:t>2024 om förslaget till Europaparlamentets och rådets förordning om europeisk statistik om befolkning och bostäder, om ändring av förordning (EG) nr 862/2007 och om upphävande av förordningarna (EG) nr 763/2008 och (EU) nr 1260/2013</w:t>
      </w:r>
      <w:bookmarkEnd w:id="5"/>
      <w:r w:rsidRPr="004E616D">
        <w:t xml:space="preserve"> </w:t>
      </w:r>
      <w:bookmarkStart w:id="6" w:name="References"/>
      <w:r w:rsidRPr="004E616D">
        <w:t>(COM(2023)0031 – C9-0010/2023 – 2023/0008(COD))</w:t>
      </w:r>
      <w:bookmarkEnd w:id="6"/>
    </w:p>
    <w:p w:rsidR="00E07FB6" w:rsidRPr="004E616D" w:rsidRDefault="00E07FB6" w:rsidP="00E07FB6">
      <w:pPr>
        <w:pStyle w:val="NormalBold"/>
        <w:widowControl/>
      </w:pPr>
      <w:bookmarkStart w:id="7" w:name="TextBodyBegin"/>
      <w:bookmarkEnd w:id="7"/>
      <w:r w:rsidRPr="004E616D">
        <w:t>(Ordinarie lagstiftningsförfarande: första behandlingen)</w:t>
      </w:r>
    </w:p>
    <w:p w:rsidR="00E07FB6" w:rsidRPr="004E616D" w:rsidRDefault="00E07FB6" w:rsidP="00E07FB6">
      <w:pPr>
        <w:pStyle w:val="EPComma"/>
        <w:widowControl/>
      </w:pPr>
      <w:r w:rsidRPr="004E616D">
        <w:rPr>
          <w:i/>
          <w:iCs/>
        </w:rPr>
        <w:t>Europaparlamentet utfärdar denna resolution</w:t>
      </w:r>
    </w:p>
    <w:p w:rsidR="00E07FB6" w:rsidRPr="004E616D" w:rsidRDefault="00E07FB6" w:rsidP="00E07FB6">
      <w:pPr>
        <w:pStyle w:val="NormalHanging12a"/>
        <w:widowControl/>
      </w:pPr>
      <w:r w:rsidRPr="004E616D">
        <w:t>–</w:t>
      </w:r>
      <w:r w:rsidRPr="004E616D">
        <w:tab/>
        <w:t>med beaktande av kommissionens förslag till Europaparlamentet och rådet (COM(2023)0031),</w:t>
      </w:r>
    </w:p>
    <w:p w:rsidR="00E07FB6" w:rsidRPr="004E616D" w:rsidRDefault="00E07FB6" w:rsidP="00E07FB6">
      <w:pPr>
        <w:pStyle w:val="NormalHanging12a"/>
        <w:widowControl/>
      </w:pPr>
      <w:r w:rsidRPr="004E616D">
        <w:t>–</w:t>
      </w:r>
      <w:r w:rsidRPr="004E616D">
        <w:tab/>
        <w:t>med beaktande av artiklarna 294.2 och 338.1 i fördraget om Europeiska unionens funktionssätt, i enlighet med vilka kommissionen har lagt fram sitt förslag för parlamentet (C9</w:t>
      </w:r>
      <w:r w:rsidRPr="004E616D">
        <w:noBreakHyphen/>
        <w:t>0010/2023),</w:t>
      </w:r>
    </w:p>
    <w:p w:rsidR="00E07FB6" w:rsidRDefault="00E07FB6" w:rsidP="00E07FB6">
      <w:pPr>
        <w:pStyle w:val="NormalHanging12a"/>
        <w:widowControl/>
      </w:pPr>
      <w:r w:rsidRPr="004E616D">
        <w:t>–</w:t>
      </w:r>
      <w:r w:rsidRPr="004E616D">
        <w:tab/>
        <w:t>med beaktande av artikel 294.3 i fördraget om Europeiska unionens funktionssätt,</w:t>
      </w:r>
    </w:p>
    <w:p w:rsidR="00BE4000" w:rsidRPr="004E616D" w:rsidRDefault="00BE4000" w:rsidP="00E07FB6">
      <w:pPr>
        <w:pStyle w:val="NormalHanging12a"/>
        <w:widowControl/>
      </w:pPr>
      <w:r w:rsidRPr="00BE4000">
        <w:t>–</w:t>
      </w:r>
      <w:r w:rsidRPr="00BE4000">
        <w:tab/>
        <w:t xml:space="preserve">med beaktande av Europeiska ekonomiska och sociala kommitténs yttrande av den </w:t>
      </w:r>
      <w:r>
        <w:t>2</w:t>
      </w:r>
      <w:r w:rsidRPr="00BE4000">
        <w:t xml:space="preserve">7 </w:t>
      </w:r>
      <w:r>
        <w:t>april</w:t>
      </w:r>
      <w:r w:rsidRPr="00BE4000">
        <w:t xml:space="preserve"> 20</w:t>
      </w:r>
      <w:r>
        <w:t>23</w:t>
      </w:r>
      <w:r>
        <w:rPr>
          <w:rStyle w:val="FootnoteReference"/>
        </w:rPr>
        <w:footnoteReference w:id="1"/>
      </w:r>
      <w:r>
        <w:t>.</w:t>
      </w:r>
    </w:p>
    <w:p w:rsidR="00E07FB6" w:rsidRPr="004E616D" w:rsidRDefault="00E07FB6" w:rsidP="00E07FB6">
      <w:pPr>
        <w:pStyle w:val="NormalHanging12a"/>
        <w:widowControl/>
      </w:pPr>
      <w:r w:rsidRPr="004E616D">
        <w:t>–</w:t>
      </w:r>
      <w:r w:rsidRPr="004E616D">
        <w:tab/>
        <w:t>med beaktande av artikel 59 i arbetsordningen,</w:t>
      </w:r>
    </w:p>
    <w:p w:rsidR="00E07FB6" w:rsidRPr="004E616D" w:rsidRDefault="00E07FB6" w:rsidP="00E07FB6">
      <w:pPr>
        <w:pStyle w:val="NormalHanging12a"/>
        <w:widowControl/>
      </w:pPr>
      <w:r w:rsidRPr="004E616D">
        <w:t>–</w:t>
      </w:r>
      <w:r w:rsidRPr="004E616D">
        <w:tab/>
        <w:t>med beaktande av yttrandena från utskottet för medborgerliga fri- och rättigheter samt rättsliga och inrikes frågor och utskottet för regional utveckling,</w:t>
      </w:r>
    </w:p>
    <w:p w:rsidR="00E07FB6" w:rsidRPr="004E616D" w:rsidRDefault="00E07FB6" w:rsidP="00E07FB6">
      <w:pPr>
        <w:pStyle w:val="NormalHanging12a"/>
        <w:widowControl/>
      </w:pPr>
      <w:r w:rsidRPr="004E616D">
        <w:t>–</w:t>
      </w:r>
      <w:r w:rsidRPr="004E616D">
        <w:tab/>
        <w:t>med beaktande av betänkandet från utskottet för sysselsättning och sociala frågor (A9</w:t>
      </w:r>
      <w:r w:rsidRPr="004E616D">
        <w:noBreakHyphen/>
        <w:t>0284/2023).</w:t>
      </w:r>
    </w:p>
    <w:p w:rsidR="00E07FB6" w:rsidRPr="004E616D" w:rsidRDefault="00BA42CF" w:rsidP="00BA42CF">
      <w:pPr>
        <w:pStyle w:val="NormalHanging12a"/>
        <w:widowControl/>
      </w:pPr>
      <w:r w:rsidRPr="004E616D">
        <w:t>1.</w:t>
      </w:r>
      <w:r w:rsidRPr="004E616D">
        <w:tab/>
      </w:r>
      <w:r w:rsidR="00E07FB6" w:rsidRPr="004E616D">
        <w:t>Europaparlamentet antar nedanstående ståndpunkt vid första behandlingen.</w:t>
      </w:r>
    </w:p>
    <w:p w:rsidR="00E07FB6" w:rsidRPr="004E616D" w:rsidRDefault="00BA42CF" w:rsidP="00BA42CF">
      <w:pPr>
        <w:pStyle w:val="NormalHanging12a"/>
        <w:widowControl/>
      </w:pPr>
      <w:r w:rsidRPr="004E616D">
        <w:lastRenderedPageBreak/>
        <w:t>2.</w:t>
      </w:r>
      <w:r w:rsidRPr="004E616D">
        <w:tab/>
      </w:r>
      <w:r w:rsidR="00E07FB6" w:rsidRPr="004E616D">
        <w:t>Europaparlamentet uppmanar kommissionen att på nytt lägga fram ärendet för parlamentet om den ersätter, väsentligt ändrar eller har för avsikt att väsentligt ändra sitt förslag.</w:t>
      </w:r>
    </w:p>
    <w:p w:rsidR="00E07FB6" w:rsidRPr="004E616D" w:rsidRDefault="00E07FB6" w:rsidP="00E07FB6">
      <w:pPr>
        <w:pStyle w:val="NormalHanging12a"/>
        <w:widowControl/>
      </w:pPr>
      <w:r w:rsidRPr="004E616D">
        <w:t>3.</w:t>
      </w:r>
      <w:r w:rsidRPr="004E616D">
        <w:tab/>
        <w:t>Europaparlamentet uppdrar åt talmannen att översända parlamentets ståndpunkt till rådet, kommissionen och de nationella parlamenten.</w:t>
      </w:r>
    </w:p>
    <w:p w:rsidR="008E2C94" w:rsidRDefault="008E2C94" w:rsidP="00E07FB6">
      <w:pPr>
        <w:widowControl/>
        <w:sectPr w:rsidR="008E2C94" w:rsidSect="004E616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45EAE" w:rsidRDefault="00F45EAE" w:rsidP="00BA42CF">
      <w:pPr>
        <w:widowControl/>
        <w:spacing w:before="360" w:after="240"/>
        <w:rPr>
          <w:b/>
        </w:rPr>
      </w:pPr>
      <w:r w:rsidRPr="00F45EAE">
        <w:rPr>
          <w:b/>
        </w:rPr>
        <w:lastRenderedPageBreak/>
        <w:t>P9_TC1-COD(2023)0008</w:t>
      </w:r>
    </w:p>
    <w:p w:rsidR="002A0220" w:rsidRPr="00BA42CF" w:rsidRDefault="00F45EAE" w:rsidP="00BA42CF">
      <w:pPr>
        <w:widowControl/>
        <w:spacing w:before="360" w:after="240"/>
        <w:rPr>
          <w:b/>
        </w:rPr>
      </w:pPr>
      <w:r w:rsidRPr="00BA42CF">
        <w:rPr>
          <w:b/>
        </w:rPr>
        <w:t xml:space="preserve">Europaparlamentets ståndpunkt fastställd vid första behandlingen den </w:t>
      </w:r>
      <w:r>
        <w:rPr>
          <w:b/>
        </w:rPr>
        <w:t>24 april</w:t>
      </w:r>
      <w:r w:rsidRPr="00BA42CF">
        <w:rPr>
          <w:b/>
        </w:rPr>
        <w:t xml:space="preserve"> 2024 inför antagandet av Europaparlamentets och rådets förordning (EU) 2024/… </w:t>
      </w:r>
      <w:r w:rsidR="002A0220" w:rsidRPr="00BA42CF">
        <w:rPr>
          <w:b/>
        </w:rPr>
        <w:t>om europeisk statistik om befolkning och bostäder, om ändring av förordning (EG) nr 862/2007 och om upphävande av förordningarna (EG) nr 763/2008 och (EU) nr 1260/2013</w:t>
      </w:r>
      <w:r>
        <w:rPr>
          <w:rStyle w:val="FootnoteReference"/>
          <w:b/>
        </w:rPr>
        <w:footnoteReference w:customMarkFollows="1" w:id="2"/>
        <w:t>*</w:t>
      </w:r>
    </w:p>
    <w:p w:rsidR="008E2C94" w:rsidRPr="008E2C94" w:rsidRDefault="008E2C94" w:rsidP="008E2C94">
      <w:pPr>
        <w:widowControl/>
        <w:spacing w:before="360" w:after="240" w:line="360" w:lineRule="auto"/>
        <w:jc w:val="center"/>
        <w:rPr>
          <w:szCs w:val="24"/>
        </w:rPr>
      </w:pPr>
      <w:r w:rsidRPr="008E2C94">
        <w:t>(Text av betydelse för EES)</w:t>
      </w:r>
    </w:p>
    <w:p w:rsidR="008E2C94" w:rsidRPr="008E2C94" w:rsidRDefault="008E2C94" w:rsidP="008E2C94">
      <w:pPr>
        <w:keepNext/>
        <w:widowControl/>
        <w:spacing w:before="600" w:after="120" w:line="360" w:lineRule="auto"/>
        <w:rPr>
          <w:szCs w:val="24"/>
        </w:rPr>
      </w:pPr>
      <w:r w:rsidRPr="008E2C94">
        <w:t>EUROPAPARLAMENTET OCH EUROPEISKA UNIONENS RÅD HAR ANTAGIT DENNA FÖRORDNING</w:t>
      </w:r>
    </w:p>
    <w:p w:rsidR="008E2C94" w:rsidRPr="008E2C94" w:rsidRDefault="008E2C94" w:rsidP="008E2C94">
      <w:pPr>
        <w:widowControl/>
        <w:spacing w:before="120" w:after="120" w:line="360" w:lineRule="auto"/>
      </w:pPr>
      <w:r w:rsidRPr="008E2C94">
        <w:t>med beaktande av fördraget om Europeiska unionens funktionssätt, särskilt artikel 338.1,</w:t>
      </w:r>
    </w:p>
    <w:p w:rsidR="008E2C94" w:rsidRPr="008E2C94" w:rsidRDefault="008E2C94" w:rsidP="008E2C94">
      <w:pPr>
        <w:widowControl/>
        <w:spacing w:before="120" w:after="120" w:line="360" w:lineRule="auto"/>
      </w:pPr>
      <w:r w:rsidRPr="008E2C94">
        <w:t>med beaktande av Europeiska kommissionens förslag,</w:t>
      </w:r>
    </w:p>
    <w:p w:rsidR="008E2C94" w:rsidRPr="008E2C94" w:rsidRDefault="008E2C94" w:rsidP="008E2C94">
      <w:pPr>
        <w:widowControl/>
        <w:spacing w:before="120" w:after="120" w:line="360" w:lineRule="auto"/>
      </w:pPr>
      <w:r w:rsidRPr="008E2C94">
        <w:t>efter översändande av utkastet till lagstiftningsakt till de nationella parlamenten,</w:t>
      </w:r>
    </w:p>
    <w:p w:rsidR="008E2C94" w:rsidRPr="008E2C94" w:rsidRDefault="008E2C94" w:rsidP="008E2C94">
      <w:pPr>
        <w:widowControl/>
        <w:spacing w:before="120" w:after="120" w:line="360" w:lineRule="auto"/>
      </w:pPr>
      <w:r w:rsidRPr="008E2C94">
        <w:t>med beaktande av Europeiska ekonomiska och sociala kommitténs yttrande</w:t>
      </w:r>
      <w:r w:rsidRPr="008E2C94">
        <w:rPr>
          <w:vertAlign w:val="superscript"/>
          <w:lang w:eastAsia="en-US"/>
        </w:rPr>
        <w:footnoteReference w:id="3"/>
      </w:r>
      <w:r w:rsidRPr="008E2C94">
        <w:t>,</w:t>
      </w:r>
    </w:p>
    <w:p w:rsidR="008E2C94" w:rsidRPr="008E2C94" w:rsidRDefault="008E2C94" w:rsidP="008E2C94">
      <w:pPr>
        <w:widowControl/>
        <w:spacing w:before="120" w:after="120" w:line="360" w:lineRule="auto"/>
      </w:pPr>
      <w:r w:rsidRPr="008E2C94">
        <w:t>med beaktande av Regionkommitténs yttrande</w:t>
      </w:r>
      <w:r w:rsidRPr="008E2C94">
        <w:rPr>
          <w:vertAlign w:val="superscript"/>
          <w:lang w:eastAsia="en-US"/>
        </w:rPr>
        <w:footnoteReference w:id="4"/>
      </w:r>
      <w:r w:rsidRPr="008E2C94">
        <w:t>,</w:t>
      </w:r>
    </w:p>
    <w:p w:rsidR="008E2C94" w:rsidRPr="008E2C94" w:rsidRDefault="008E2C94" w:rsidP="008E2C94">
      <w:pPr>
        <w:widowControl/>
        <w:spacing w:before="120" w:after="120" w:line="360" w:lineRule="auto"/>
      </w:pPr>
      <w:r w:rsidRPr="008E2C94">
        <w:t>i enlighet med det ordinarie lagstiftningsförfarandet, och</w:t>
      </w:r>
    </w:p>
    <w:p w:rsidR="008E2C94" w:rsidRPr="008E2C94" w:rsidRDefault="008E2C94" w:rsidP="008E2C94">
      <w:pPr>
        <w:widowControl/>
        <w:spacing w:before="120" w:after="120" w:line="360" w:lineRule="auto"/>
      </w:pPr>
      <w:r w:rsidRPr="008E2C94">
        <w:t>av följande skäl:</w:t>
      </w:r>
    </w:p>
    <w:p w:rsidR="008E2C94" w:rsidRPr="008E2C94" w:rsidRDefault="008E2C94" w:rsidP="008E2C94">
      <w:pPr>
        <w:widowControl/>
        <w:spacing w:before="120" w:after="120" w:line="360" w:lineRule="auto"/>
        <w:ind w:left="850" w:hanging="850"/>
        <w:rPr>
          <w:szCs w:val="24"/>
        </w:rPr>
      </w:pPr>
      <w:r w:rsidRPr="008E2C94">
        <w:t>(1)</w:t>
      </w:r>
      <w:r w:rsidRPr="008E2C94">
        <w:tab/>
        <w:t xml:space="preserve">Europeisk statistik om befolkning och bostäder </w:t>
      </w:r>
      <w:r w:rsidRPr="008E2C94">
        <w:rPr>
          <w:b/>
          <w:i/>
        </w:rPr>
        <w:t>fyller en viktig funktion i beslutsprocesser och beslutsfattande och som sådan</w:t>
      </w:r>
      <w:r w:rsidRPr="008E2C94">
        <w:t xml:space="preserve"> behövs </w:t>
      </w:r>
      <w:r w:rsidRPr="008E2C94">
        <w:rPr>
          <w:b/>
          <w:bCs/>
          <w:i/>
          <w:iCs/>
        </w:rPr>
        <w:t>den</w:t>
      </w:r>
      <w:r w:rsidRPr="008E2C94">
        <w:t xml:space="preserve"> för utformning, genomförande och utvärdering av unionens politik, särskilt sådan som rör demografiska förändringar, den gröna och den digitala omställningen, </w:t>
      </w:r>
      <w:r w:rsidRPr="008E2C94">
        <w:rPr>
          <w:b/>
          <w:i/>
        </w:rPr>
        <w:t>ramen för</w:t>
      </w:r>
      <w:r w:rsidRPr="008E2C94">
        <w:t xml:space="preserve"> främjande av energieffektivitet, ekonomisk, social och territoriell sammanhållning, </w:t>
      </w:r>
      <w:r w:rsidRPr="008E2C94">
        <w:rPr>
          <w:b/>
          <w:i/>
        </w:rPr>
        <w:t>genomförandet av principerna för den europeiska pelaren för sociala rättigheter</w:t>
      </w:r>
      <w:r w:rsidRPr="008E2C94">
        <w:t xml:space="preserve"> samt uppnåendet av målen för hållbar utveckling i FN:s Agenda 2030 </w:t>
      </w:r>
      <w:r w:rsidRPr="008E2C94">
        <w:rPr>
          <w:b/>
          <w:i/>
        </w:rPr>
        <w:t>i den utsträckning som de omfattas av denna förordning</w:t>
      </w:r>
      <w:r w:rsidRPr="008E2C94">
        <w:t>.</w:t>
      </w:r>
    </w:p>
    <w:p w:rsidR="008E2C94" w:rsidRPr="008E2C94" w:rsidRDefault="008E2C94" w:rsidP="008E2C94">
      <w:pPr>
        <w:widowControl/>
        <w:spacing w:before="120" w:after="120" w:line="360" w:lineRule="auto"/>
        <w:ind w:left="850" w:hanging="850"/>
        <w:rPr>
          <w:szCs w:val="24"/>
        </w:rPr>
      </w:pPr>
      <w:r w:rsidRPr="008E2C94">
        <w:lastRenderedPageBreak/>
        <w:t>(2)</w:t>
      </w:r>
      <w:r w:rsidRPr="008E2C94">
        <w:tab/>
        <w:t>Befolkningsstatistik är en viktig grund för ett brett spektrum av politiska indikatorer och används som referens i den europeiska statistiken, särskilt för att tillhandahålla urvalsramar för att genomföra representativa undersökningar av personer och hushåll, i enlighet med Europaparlamentets och rådets förordning (EU) 2019/1700</w:t>
      </w:r>
      <w:r w:rsidRPr="008E2C94">
        <w:rPr>
          <w:szCs w:val="24"/>
          <w:vertAlign w:val="superscript"/>
          <w:lang w:eastAsia="en-US"/>
        </w:rPr>
        <w:footnoteReference w:id="5"/>
      </w:r>
      <w:r w:rsidRPr="008E2C94">
        <w:t>.</w:t>
      </w:r>
    </w:p>
    <w:p w:rsidR="008E2C94" w:rsidRPr="008E2C94" w:rsidRDefault="008E2C94" w:rsidP="008E2C94">
      <w:pPr>
        <w:widowControl/>
        <w:spacing w:before="120" w:after="120" w:line="360" w:lineRule="auto"/>
        <w:ind w:left="850" w:hanging="850"/>
        <w:rPr>
          <w:szCs w:val="24"/>
        </w:rPr>
      </w:pPr>
      <w:r w:rsidRPr="008E2C94">
        <w:t>(3)</w:t>
      </w:r>
      <w:r w:rsidRPr="008E2C94">
        <w:tab/>
        <w:t>Rådet (ekonomiska och finansiella frågor) ger regelbundet kommittén för ekonomisk politik i uppdrag att bedöma den långsiktiga stabiliteten i och kvaliteten på de offentliga finanserna med Eurostats befolkningsprognoser som underlag. Befolkningsprognoserna används också för politiska analyser inom ramen för den europeiska planeringsterminen. Kommissionen (Eurostat) bör ha tillgång till all nödvändig statistik för att framställa och offentliggöra befolkningsprognoser i enlighet med unionens informationsbehov.</w:t>
      </w:r>
    </w:p>
    <w:p w:rsidR="008E2C94" w:rsidRPr="008E2C94" w:rsidRDefault="008E2C94" w:rsidP="008E2C94">
      <w:pPr>
        <w:widowControl/>
        <w:spacing w:before="120" w:after="120" w:line="360" w:lineRule="auto"/>
        <w:ind w:left="850" w:hanging="850"/>
        <w:rPr>
          <w:szCs w:val="24"/>
        </w:rPr>
      </w:pPr>
      <w:r w:rsidRPr="008E2C94">
        <w:t>(4)</w:t>
      </w:r>
      <w:r w:rsidRPr="008E2C94">
        <w:tab/>
        <w:t>Enligt artikel 175.2 i fördraget om Europeiska unionens funktionssätt (EUF</w:t>
      </w:r>
      <w:r w:rsidRPr="008E2C94">
        <w:noBreakHyphen/>
        <w:t xml:space="preserve">fördraget) ska kommissionen vart tredje år rapportera om de framsteg som gjorts för att uppnå ekonomisk, social och territoriell sammanhållning till Europaparlamentet, rådet, Ekonomiska och sociala kommittén och Regionkommittén. Regionala och lokala uppgifter, inbegripet för olika typer av territorier såsom gränsregioner, städer och deras funktionella stadsområden, storstadsregioner, landsbygdsområden, bergs- och </w:t>
      </w:r>
      <w:proofErr w:type="spellStart"/>
      <w:r w:rsidRPr="008E2C94">
        <w:t>öregioner</w:t>
      </w:r>
      <w:proofErr w:type="spellEnd"/>
      <w:r w:rsidRPr="008E2C94">
        <w:t>, är nödvändiga för utarbetandet av dessa rapporter och för regelbunden övervakning av den demografiska utvecklingen och av eventuella framtida demografiska utmaningar i unionens territorium.</w:t>
      </w:r>
    </w:p>
    <w:p w:rsidR="008E2C94" w:rsidRPr="008E2C94" w:rsidRDefault="008E2C94" w:rsidP="008E2C94">
      <w:pPr>
        <w:widowControl/>
        <w:spacing w:before="120" w:after="120" w:line="360" w:lineRule="auto"/>
        <w:ind w:left="850" w:hanging="850"/>
        <w:rPr>
          <w:szCs w:val="24"/>
        </w:rPr>
      </w:pPr>
      <w:r w:rsidRPr="008E2C94">
        <w:t>(5)</w:t>
      </w:r>
      <w:r w:rsidRPr="008E2C94">
        <w:tab/>
        <w:t>Enligt artikel 16.4 i fördraget om Europeiska unionen (EU-fördraget) ska kvalificerad majoritet av rådets medlemmar bland annat definieras med utgångspunkt i medlemsstaternas befolkning. Enligt artikel 4.1 i Europaparlamentets och rådets förordning (EU) nr 1260/2013</w:t>
      </w:r>
      <w:r w:rsidRPr="008E2C94">
        <w:rPr>
          <w:szCs w:val="24"/>
          <w:vertAlign w:val="superscript"/>
          <w:lang w:eastAsia="en-US"/>
        </w:rPr>
        <w:footnoteReference w:id="6"/>
      </w:r>
      <w:r w:rsidRPr="008E2C94">
        <w:t xml:space="preserve"> är medlemsstaterna för närvarande skyldiga att förse </w:t>
      </w:r>
      <w:r w:rsidRPr="008E2C94">
        <w:lastRenderedPageBreak/>
        <w:t>kommissionen (Eurostat) med uppgifter om den totala befolkningen på nationell nivå.</w:t>
      </w:r>
    </w:p>
    <w:p w:rsidR="008E2C94" w:rsidRPr="008E2C94" w:rsidRDefault="008E2C94" w:rsidP="008E2C94">
      <w:pPr>
        <w:widowControl/>
        <w:spacing w:before="120" w:after="120" w:line="360" w:lineRule="auto"/>
        <w:ind w:left="850" w:hanging="850"/>
        <w:rPr>
          <w:szCs w:val="24"/>
        </w:rPr>
      </w:pPr>
      <w:r w:rsidRPr="008E2C94">
        <w:t>(6)</w:t>
      </w:r>
      <w:r w:rsidRPr="008E2C94">
        <w:tab/>
        <w:t xml:space="preserve">År 2017 godkände kommittén för det europeiska statistiksystemet (ESS-kommittén) Budapestmemorandumet, där behovet av årlig statistik om storleken på befolkningen och vissa sociala, ekonomiska och demografiska karakteristikum i den, och av förbättrad statistik om migration konstaterades. För att principerna om jämlikhet och icke-diskriminering med avseende på medborgarna i all verksamhet och medborgarnas rättigheter enligt Europeiska unionens stadga om de grundläggande rättigheterna och artiklarna 10 och 19 i EUF-fördraget ska iakttas, </w:t>
      </w:r>
      <w:r w:rsidRPr="008E2C94">
        <w:rPr>
          <w:b/>
          <w:i/>
        </w:rPr>
        <w:t>och för att övervaka framstegen för genomförandet av principerna för den europeiska pelaren för sociala rättigheter,</w:t>
      </w:r>
      <w:r w:rsidRPr="008E2C94">
        <w:t xml:space="preserve"> behöver unionen tillförlitlig och jämförbar statistik. I förordning (EU) 2019/1700 fastställs en ram för insamling av uppgifter från urval som gör det möjligt att samla in uppgifter om jämlikhet och icke-diskriminering, i den mån detta är möjligt från urval, och att analysera vissa aspekter av jämlikhet och diskriminering genom att ta fram socioekonomiska indikatorer och information om erfarenheter av diskriminering. Dessutom genomför Europeiska unionens byrå för grundläggande rättigheter (FRA) och Europeiska jämställdhetsinstitutet (EIGE) särskilda studier och riktade undersökningar som ytterligare kan öka tillgången till jämlikhetsstatistik på unionsnivå</w:t>
      </w:r>
      <w:r w:rsidRPr="008E2C94">
        <w:rPr>
          <w:b/>
          <w:i/>
        </w:rPr>
        <w:t>. Dessutom tillhandahåller Europeiska fonden för förbättring av levnads- och arbetsvillkor (</w:t>
      </w:r>
      <w:proofErr w:type="spellStart"/>
      <w:r w:rsidRPr="008E2C94">
        <w:rPr>
          <w:b/>
          <w:i/>
        </w:rPr>
        <w:t>Eurofound</w:t>
      </w:r>
      <w:proofErr w:type="spellEnd"/>
      <w:r w:rsidRPr="008E2C94">
        <w:rPr>
          <w:b/>
          <w:i/>
        </w:rPr>
        <w:t>) data och information som samlats in genom undersökningar om levnads- och arbetsvillkor</w:t>
      </w:r>
      <w:r w:rsidRPr="008E2C94">
        <w:t>. Samarbetet och samordningen mellan medlemsstaterna, kommissionen (Eurostat) och dessa byråer bör stärkas ytterligare för att tillgodose användarnas ökande krav på tillförlitliga och heltäckande uppgifter om jämlikhet och mångfald i unionen.</w:t>
      </w:r>
    </w:p>
    <w:p w:rsidR="008E2C94" w:rsidRPr="008E2C94" w:rsidRDefault="008E2C94" w:rsidP="008E2C94">
      <w:pPr>
        <w:widowControl/>
        <w:spacing w:before="120" w:after="120" w:line="360" w:lineRule="auto"/>
        <w:ind w:left="850" w:hanging="850"/>
        <w:rPr>
          <w:szCs w:val="24"/>
        </w:rPr>
      </w:pPr>
      <w:r w:rsidRPr="008E2C94">
        <w:rPr>
          <w:b/>
          <w:i/>
        </w:rPr>
        <w:t>(6a)</w:t>
      </w:r>
      <w:r w:rsidRPr="008E2C94">
        <w:tab/>
      </w:r>
      <w:r w:rsidRPr="008E2C94">
        <w:rPr>
          <w:b/>
          <w:i/>
        </w:rPr>
        <w:t>I Budapestmemorandumet efterlystes också förbättrad statistik om migration och utveckling och genomförande av gemensamma befolknings- och migrationsrelaterade definitioner, med beaktande av behovet av att fastställa statistiskt sunda, relevanta och tillämpliga begrepp och definitioner mot bakgrund av framväxande typer av migration. Tidigare och pågående händelser, såsom Förenade kungarikets utträde ur unionen och konsekvenserna av Rysslands anfallskrig mot Ukraina och andra humanitära kriser understryker vikten av aktuell och detaljerad statistik om migration och internationellt skydd, som är avgörande för att upprätta en översikt över migrationsströmmarna till, inom och från unionen.</w:t>
      </w:r>
    </w:p>
    <w:p w:rsidR="008E2C94" w:rsidRPr="008E2C94" w:rsidRDefault="008E2C94" w:rsidP="008E2C94">
      <w:pPr>
        <w:widowControl/>
        <w:spacing w:before="120" w:after="120" w:line="360" w:lineRule="auto"/>
        <w:ind w:left="850" w:hanging="850"/>
        <w:rPr>
          <w:szCs w:val="24"/>
        </w:rPr>
      </w:pPr>
      <w:r w:rsidRPr="008E2C94">
        <w:lastRenderedPageBreak/>
        <w:t>(7)</w:t>
      </w:r>
      <w:r w:rsidRPr="008E2C94">
        <w:tab/>
        <w:t>I syfte att uppnå målen i den europeiska gröna given krävs bättre statistik om bostädernas energianvändning och energieffektivitet, detaljerade geografiska uppgifter om befolkningens fördelning samt fördjupade studier av förhållandet mellan befolkning och bostäder för att man ska kunna utveckla och utvärdera effektiva strategier. I och med covid-19-pandemin framkom behovet av tillförlitlig, frekvent och aktuell statistik om dödsfall i unionen. Behovet av uppgifter tillgodosågs genom frivillig uppgiftsinsamling från medlemsstaterna till kommissionen (Eurostat), men unionen behöver en lämplig mekanism för obligatorisk insamling av sådana uppgifter inom det europeiska statistiksystemet (ESS) med beaktande av nödvändig frekvens, aktualitet och detaljrikedom.</w:t>
      </w:r>
    </w:p>
    <w:p w:rsidR="008E2C94" w:rsidRPr="008E2C94" w:rsidRDefault="008E2C94" w:rsidP="008E2C94">
      <w:pPr>
        <w:widowControl/>
        <w:spacing w:before="120" w:after="120" w:line="360" w:lineRule="auto"/>
        <w:ind w:left="850" w:hanging="850"/>
        <w:rPr>
          <w:szCs w:val="24"/>
        </w:rPr>
      </w:pPr>
      <w:r w:rsidRPr="008E2C94">
        <w:rPr>
          <w:b/>
          <w:i/>
        </w:rPr>
        <w:t>(7a)</w:t>
      </w:r>
      <w:r w:rsidRPr="008E2C94">
        <w:tab/>
      </w:r>
      <w:r w:rsidRPr="008E2C94">
        <w:rPr>
          <w:b/>
          <w:i/>
        </w:rPr>
        <w:t>För att övervaka framstegen i genomförandet av principerna för den europeiska pelaren för sociala rättigheter, av de övergripande målen i den relaterade handlingsplanen och av den europeiska barngarantin på nationell nivå och för att bedöma klimatförändringarnas och strategiernas fördelningseffekter i allmänhet, behöver unionen en lämplig mekanism för obligatorisk insamling av sådana uppgifter inom ESS med beaktande av nödvändig frekvens, aktualitet och detaljnivå.</w:t>
      </w:r>
    </w:p>
    <w:p w:rsidR="008E2C94" w:rsidRPr="008E2C94" w:rsidRDefault="008E2C94" w:rsidP="008E2C94">
      <w:pPr>
        <w:widowControl/>
        <w:spacing w:before="120" w:after="120" w:line="360" w:lineRule="auto"/>
        <w:ind w:left="850" w:hanging="850"/>
        <w:rPr>
          <w:szCs w:val="24"/>
        </w:rPr>
      </w:pPr>
      <w:r w:rsidRPr="008E2C94">
        <w:t>(8)</w:t>
      </w:r>
      <w:r w:rsidRPr="008E2C94">
        <w:tab/>
        <w:t>FN:s ekonomiska och sociala råd antar på förslag av FN:s statistikkommission vart tionde år resolutioner om folk- och bostadsräkning i världen och uppmanar FN:s medlemsländer att genomföra folk- och bostadsräkningar i linje med internationella och regionala rekommendationer och att upprätthålla folk- och bostadsräkningarnas integritet, tillförlitlighet, exakthet och värde. Dessa rekommendationer bör beaktas i den europeiska statistiken om befolkning och bostäder.</w:t>
      </w:r>
    </w:p>
    <w:p w:rsidR="008E2C94" w:rsidRPr="008E2C94" w:rsidRDefault="008E2C94" w:rsidP="008E2C94">
      <w:pPr>
        <w:widowControl/>
        <w:spacing w:before="120" w:after="120" w:line="360" w:lineRule="auto"/>
        <w:ind w:left="850" w:hanging="850"/>
        <w:rPr>
          <w:szCs w:val="24"/>
        </w:rPr>
      </w:pPr>
      <w:r w:rsidRPr="008E2C94">
        <w:t>(9)</w:t>
      </w:r>
      <w:r w:rsidRPr="008E2C94">
        <w:tab/>
      </w:r>
      <w:r w:rsidRPr="008E2C94">
        <w:rPr>
          <w:b/>
          <w:i/>
        </w:rPr>
        <w:t xml:space="preserve">Att rationalisera rapporteringsskyldigheterna och minska den administrativa bördan är ett centralt mål för kommissionen. Kommissionens meddelande av den 16 mars 2023 ”EU:s konkurrenskraft på lång sikt – efter 2030” har som syfte att rationalisera och förenkla rapporteringskraven för företag och förvaltningar med 25 %, utan att det undergräver de därmed sammanhängande politiska målen. </w:t>
      </w:r>
      <w:r w:rsidRPr="008E2C94">
        <w:t xml:space="preserve">I </w:t>
      </w:r>
      <w:r w:rsidRPr="008E2C94">
        <w:lastRenderedPageBreak/>
        <w:t>Europaparlamentets och rådets förordning (EG) nr 223/2009</w:t>
      </w:r>
      <w:r w:rsidRPr="008E2C94">
        <w:rPr>
          <w:szCs w:val="24"/>
          <w:vertAlign w:val="superscript"/>
          <w:lang w:eastAsia="en-US"/>
        </w:rPr>
        <w:footnoteReference w:id="7"/>
      </w:r>
      <w:r w:rsidRPr="008E2C94">
        <w:t xml:space="preserve"> fastställs en rättslig ram för att utveckla, framställa och sprida europeisk statistik, utifrån gemensamma statistiska principer. I den förordningen anges kvalitetskriterier och hänvisas till behovet av att minska bördan för uppgiftslämnarna och bidra till det mer övergripande målet att minska den administrativa bördan. En ny rättslig ram för europeisk statistik om befolkning och bostäder bör genomföra </w:t>
      </w:r>
      <w:r w:rsidRPr="008E2C94">
        <w:rPr>
          <w:b/>
          <w:i/>
        </w:rPr>
        <w:t>och bygga på</w:t>
      </w:r>
      <w:r w:rsidRPr="008E2C94">
        <w:t xml:space="preserve"> de kvalitetskriterier som anges i den förordningen och </w:t>
      </w:r>
      <w:r w:rsidRPr="008E2C94">
        <w:rPr>
          <w:b/>
          <w:i/>
        </w:rPr>
        <w:t>minska den administrativa bördan</w:t>
      </w:r>
      <w:r w:rsidRPr="008E2C94">
        <w:t xml:space="preserve"> genom ett ändamålsenligt och effektivt vidareutnyttjande av tillgängliga uppgiftskällor, inbegripet administrativa uppgifter.</w:t>
      </w:r>
    </w:p>
    <w:p w:rsidR="008E2C94" w:rsidRPr="008E2C94" w:rsidRDefault="008E2C94" w:rsidP="008E2C94">
      <w:pPr>
        <w:widowControl/>
        <w:spacing w:before="120" w:after="120" w:line="360" w:lineRule="auto"/>
        <w:ind w:left="850" w:hanging="850"/>
        <w:rPr>
          <w:szCs w:val="24"/>
        </w:rPr>
      </w:pPr>
      <w:r w:rsidRPr="008E2C94">
        <w:t>(10)</w:t>
      </w:r>
      <w:r w:rsidRPr="008E2C94">
        <w:tab/>
        <w:t>Utvärderingen av befintlig statistik</w:t>
      </w:r>
      <w:r w:rsidRPr="008E2C94">
        <w:rPr>
          <w:szCs w:val="24"/>
          <w:vertAlign w:val="superscript"/>
          <w:lang w:eastAsia="en-US"/>
        </w:rPr>
        <w:footnoteReference w:id="8"/>
      </w:r>
      <w:r w:rsidRPr="008E2C94">
        <w:t xml:space="preserve"> om folk- och bostadsräkningar i unionen, statistik över internationella migrationsströmmar, antal migranter och förvärv av medborgarskap samt befolkningsstatistik har visat att den nuvarande rättsliga ramen, som omfattar Europaparlamentets och rådets förordningar (EG) nr 862/2007</w:t>
      </w:r>
      <w:r w:rsidRPr="008E2C94">
        <w:rPr>
          <w:szCs w:val="24"/>
          <w:vertAlign w:val="superscript"/>
          <w:lang w:eastAsia="en-US"/>
        </w:rPr>
        <w:footnoteReference w:id="9"/>
      </w:r>
      <w:r w:rsidRPr="008E2C94">
        <w:t>, (EG) nr 763/2008</w:t>
      </w:r>
      <w:r w:rsidRPr="008E2C94">
        <w:rPr>
          <w:szCs w:val="24"/>
          <w:vertAlign w:val="superscript"/>
          <w:lang w:eastAsia="en-US"/>
        </w:rPr>
        <w:footnoteReference w:id="10"/>
      </w:r>
      <w:r w:rsidRPr="008E2C94">
        <w:t xml:space="preserve"> och (EU) nr 1260/2013, har lett till betydande övergripande förbättringar av statistiken jämfört med situationen 2005 när den nuvarande rättsliga ramen inte var i kraft. Denna ram kan dock leda till bristande samstämmighet och jämförbarhet, vilket bör åtgärdas.</w:t>
      </w:r>
    </w:p>
    <w:p w:rsidR="008E2C94" w:rsidRPr="008E2C94" w:rsidRDefault="008E2C94" w:rsidP="008E2C94">
      <w:pPr>
        <w:widowControl/>
        <w:spacing w:before="120" w:after="120" w:line="360" w:lineRule="auto"/>
        <w:ind w:left="850" w:hanging="850"/>
        <w:rPr>
          <w:szCs w:val="24"/>
        </w:rPr>
      </w:pPr>
      <w:r w:rsidRPr="008E2C94">
        <w:t>(11)</w:t>
      </w:r>
      <w:r w:rsidRPr="008E2C94">
        <w:tab/>
      </w:r>
      <w:r w:rsidRPr="008E2C94">
        <w:rPr>
          <w:b/>
          <w:i/>
        </w:rPr>
        <w:t>Klimatförändringarna, den digitala omställningen,</w:t>
      </w:r>
      <w:r w:rsidRPr="008E2C94">
        <w:t xml:space="preserve"> den demografiska utvecklingen och nyliga migrationstrender har skapat efterfrågan på snabbare, mer frekvent och mer detaljerad europeisk statistik om befolkning</w:t>
      </w:r>
      <w:r w:rsidRPr="008E2C94">
        <w:rPr>
          <w:b/>
          <w:i/>
        </w:rPr>
        <w:t>, socioekonomisk utveckling</w:t>
      </w:r>
      <w:r w:rsidRPr="008E2C94">
        <w:t xml:space="preserve">, demografiska händelser och bostäder, inklusive uppgifter om ämnen eller grupper som har blivit politiskt och socialt relevanta under det senaste årtiondet. Dessutom är den befintliga rättsliga ramen inte tillräckligt flexibel för att kunna anpassas till </w:t>
      </w:r>
      <w:r w:rsidRPr="008E2C94">
        <w:lastRenderedPageBreak/>
        <w:t>föränderliga politiska behov och möjliggöra användning av nya källor på nationell nivå och unionsnivå. Dessutom har strukturen på den befintliga rättsliga ramen i form av tre separata förordningar, som antagits vid olika tidpunkter, lett till inneboende inkonsekvenser i statistiken. Eftersom förordning (EU) nr 1260/2013 upphör att gälla den 31 augusti 2028 krävs slutligen en ny rättslig grund för den befolkningsstatistik som samlas in enligt den förordningen. Det är därför nödvändigt att ersätta den nuvarande rättsliga ramen med en ny, mer konsekvent och flexibel ram som bör ändra relevanta delar av förordning (EG) nr 862/2007 och upphäva förordningarna (EG) nr 763/2008 och (EU) nr 1260/2013.</w:t>
      </w:r>
    </w:p>
    <w:p w:rsidR="008E2C94" w:rsidRPr="008E2C94" w:rsidRDefault="008E2C94" w:rsidP="008E2C94">
      <w:pPr>
        <w:widowControl/>
        <w:spacing w:before="120" w:after="120" w:line="360" w:lineRule="auto"/>
        <w:ind w:left="850" w:hanging="850"/>
        <w:rPr>
          <w:szCs w:val="24"/>
        </w:rPr>
      </w:pPr>
      <w:r w:rsidRPr="008E2C94">
        <w:t>(12)</w:t>
      </w:r>
      <w:r w:rsidRPr="008E2C94">
        <w:tab/>
        <w:t>Artikel 3 i förordning (EG) nr 862/2007 omfattar statistik om den bosatta befolkningens medborgarskap och födelseort (antal migranter), om ändrad bosättning mellan länder (internationella migrationsströmmar) och om förvärv av medborgarskap bland den bofasta befolkningen, medan övrig statistik enligt den förordningen rör administrativa och rättsliga förfaranden som rör invandringslagstiftning och internationellt skydd. Den statistik som avses i artikel 3 i den förordningen är därför nära kopplad till och bör överensstämma med statistiken över den bofasta befolkningen och dess demografiska utveckling enligt förordningarna (EG) nr 763/2008 och (EU) nr 1260/2013. För att säkerställa den inneboende samstämmigheten bör all denna statistik därför integreras i en enda rättslig grund samtidigt som artikel 3 i förordning (EG) nr 862/2007 bör utgå.</w:t>
      </w:r>
    </w:p>
    <w:p w:rsidR="008E2C94" w:rsidRPr="008E2C94" w:rsidRDefault="008E2C94" w:rsidP="008E2C94">
      <w:pPr>
        <w:widowControl/>
        <w:spacing w:before="120" w:after="120" w:line="360" w:lineRule="auto"/>
        <w:ind w:left="850" w:hanging="850"/>
        <w:rPr>
          <w:szCs w:val="24"/>
        </w:rPr>
      </w:pPr>
      <w:r w:rsidRPr="008E2C94">
        <w:t>(13)</w:t>
      </w:r>
      <w:r w:rsidRPr="008E2C94">
        <w:tab/>
        <w:t xml:space="preserve">Den snabbt föränderliga karaktären hos vissa befolknings- och bostadskarakteristikum, särskilt när det gäller demografiska </w:t>
      </w:r>
      <w:r w:rsidRPr="008E2C94">
        <w:rPr>
          <w:b/>
          <w:i/>
        </w:rPr>
        <w:t>och socioekonomiska</w:t>
      </w:r>
      <w:r w:rsidRPr="008E2C94">
        <w:t xml:space="preserve"> fenomen och migration, och det motsvarande behovet av en snabb målinriktning och anpassning av politiken innebär att det finns ett behov av att statistik finns tillgänglig i god tid kort efter referensperioden. Statistikens periodicitet och aktualitet bör därför utvecklas avsevärt</w:t>
      </w:r>
      <w:r w:rsidRPr="008E2C94">
        <w:rPr>
          <w:b/>
          <w:i/>
        </w:rPr>
        <w:t>, om möjligt genom användning av administrativa uppgifter och administrativa register. Medlemsstaterna bör därför ge sina nationella statistikbyråer lämpliga resurser</w:t>
      </w:r>
      <w:r w:rsidRPr="008E2C94">
        <w:t>.</w:t>
      </w:r>
    </w:p>
    <w:p w:rsidR="008E2C94" w:rsidRPr="008E2C94" w:rsidRDefault="008E2C94" w:rsidP="008E2C94">
      <w:pPr>
        <w:widowControl/>
        <w:spacing w:before="120" w:after="120" w:line="360" w:lineRule="auto"/>
        <w:ind w:left="850" w:hanging="850"/>
        <w:rPr>
          <w:szCs w:val="24"/>
        </w:rPr>
      </w:pPr>
      <w:r w:rsidRPr="008E2C94">
        <w:t>(14)</w:t>
      </w:r>
      <w:r w:rsidRPr="008E2C94">
        <w:tab/>
        <w:t>I Europaparlamentets och rådets förordning (EG) nr 1059/2003</w:t>
      </w:r>
      <w:r w:rsidRPr="008E2C94">
        <w:rPr>
          <w:szCs w:val="24"/>
          <w:vertAlign w:val="superscript"/>
          <w:lang w:eastAsia="en-US"/>
        </w:rPr>
        <w:footnoteReference w:id="11"/>
      </w:r>
      <w:r w:rsidRPr="008E2C94">
        <w:t xml:space="preserve"> fastställs en rutnätsbaserad metod för att definiera territoriella typindelningar på grundval av </w:t>
      </w:r>
      <w:r w:rsidRPr="008E2C94">
        <w:lastRenderedPageBreak/>
        <w:t>befolkningsfördelningen per ruta om 1 km</w:t>
      </w:r>
      <w:r w:rsidRPr="008E2C94">
        <w:rPr>
          <w:vertAlign w:val="superscript"/>
        </w:rPr>
        <w:t>2</w:t>
      </w:r>
      <w:r w:rsidRPr="008E2C94">
        <w:t>. I kommissionens genomförandeförordning (EU) 2018/1799</w:t>
      </w:r>
      <w:r w:rsidRPr="008E2C94">
        <w:rPr>
          <w:szCs w:val="24"/>
          <w:vertAlign w:val="superscript"/>
          <w:lang w:eastAsia="en-US"/>
        </w:rPr>
        <w:footnoteReference w:id="12"/>
      </w:r>
      <w:r w:rsidRPr="008E2C94">
        <w:t xml:space="preserve"> föreskrivs, som en tillfällig direkt statistikåtgärd som åtföljer folk- och bostadsräkningarna 2021, att viktiga resultat av folk- och bostadsräkningarna presenteras på grundval av ett alleuropeiskt nät av rutor om 1 km</w:t>
      </w:r>
      <w:r w:rsidRPr="008E2C94">
        <w:rPr>
          <w:vertAlign w:val="superscript"/>
        </w:rPr>
        <w:t>2</w:t>
      </w:r>
      <w:r w:rsidRPr="008E2C94">
        <w:t>. En rättslig ram bör säkerställa fortsatt spridning av georefererad befolkningsstatistik baserad på rutnät och dess utvidgning till bostadsstatistik.</w:t>
      </w:r>
    </w:p>
    <w:p w:rsidR="008E2C94" w:rsidRPr="008E2C94" w:rsidRDefault="008E2C94" w:rsidP="008E2C94">
      <w:pPr>
        <w:widowControl/>
        <w:spacing w:before="120" w:after="120" w:line="360" w:lineRule="auto"/>
        <w:ind w:left="850" w:hanging="850"/>
        <w:rPr>
          <w:szCs w:val="24"/>
        </w:rPr>
      </w:pPr>
      <w:r w:rsidRPr="008E2C94">
        <w:t>(15)</w:t>
      </w:r>
      <w:r w:rsidRPr="008E2C94">
        <w:tab/>
        <w:t>Territoriella enheter och statistiska rutnät bör definieras i enlighet med förordning (EG) nr 1059/2003.</w:t>
      </w:r>
    </w:p>
    <w:p w:rsidR="008E2C94" w:rsidRPr="008E2C94" w:rsidRDefault="008E2C94" w:rsidP="008E2C94">
      <w:pPr>
        <w:widowControl/>
        <w:spacing w:before="120" w:after="120" w:line="360" w:lineRule="auto"/>
        <w:ind w:left="850" w:hanging="850"/>
        <w:rPr>
          <w:szCs w:val="24"/>
        </w:rPr>
      </w:pPr>
      <w:r w:rsidRPr="008E2C94">
        <w:t>(16)</w:t>
      </w:r>
      <w:r w:rsidRPr="008E2C94">
        <w:tab/>
        <w:t>För geokodning av platser bör temat statistiska enheter användas i enlighet med bilaga III till Europaparlamentets och rådets direktiv 2007/2/EG</w:t>
      </w:r>
      <w:r w:rsidRPr="008E2C94">
        <w:rPr>
          <w:szCs w:val="24"/>
          <w:vertAlign w:val="superscript"/>
          <w:lang w:eastAsia="en-US"/>
        </w:rPr>
        <w:footnoteReference w:id="13"/>
      </w:r>
      <w:r w:rsidRPr="008E2C94">
        <w:t>.</w:t>
      </w:r>
    </w:p>
    <w:p w:rsidR="008E2C94" w:rsidRPr="008E2C94" w:rsidRDefault="008E2C94" w:rsidP="008E2C94">
      <w:pPr>
        <w:widowControl/>
        <w:spacing w:before="120" w:after="120" w:line="360" w:lineRule="auto"/>
        <w:ind w:left="850" w:hanging="850"/>
        <w:rPr>
          <w:szCs w:val="24"/>
        </w:rPr>
      </w:pPr>
      <w:r w:rsidRPr="008E2C94">
        <w:t>(17)</w:t>
      </w:r>
      <w:r w:rsidRPr="008E2C94">
        <w:tab/>
        <w:t xml:space="preserve">Den nuvarande rättsliga ramen för europeisk statistik om befolkning och bostäder behöver uppdateras för att säkerställa att de för närvarande separata statistiska processerna integreras på lämpligt sätt i en gemensam ram som gör det möjligt för ESS att på ett effektivt sätt tillgodose unionens nya informationsbehov och främja statistiska innovationer. De statistiska produkterna måste förbättras för att förbli relevanta i ljuset av demografiska, migrationsrelaterade, sociala och ekonomiska förändringar </w:t>
      </w:r>
      <w:r w:rsidRPr="008E2C94">
        <w:rPr>
          <w:b/>
          <w:i/>
        </w:rPr>
        <w:t>och utmaningar och stödja beslutsprocesser och beslutsfattande</w:t>
      </w:r>
      <w:r w:rsidRPr="008E2C94">
        <w:t>.</w:t>
      </w:r>
    </w:p>
    <w:p w:rsidR="008E2C94" w:rsidRPr="008E2C94" w:rsidRDefault="008E2C94" w:rsidP="008E2C94">
      <w:pPr>
        <w:widowControl/>
        <w:spacing w:before="120" w:after="120" w:line="360" w:lineRule="auto"/>
        <w:ind w:left="850" w:hanging="850"/>
        <w:rPr>
          <w:szCs w:val="24"/>
        </w:rPr>
      </w:pPr>
      <w:r w:rsidRPr="008E2C94">
        <w:t>(18)</w:t>
      </w:r>
      <w:r w:rsidRPr="008E2C94">
        <w:tab/>
        <w:t>Den förbättrade regelbundna statistiken (årlig eller för kortare tid än ett år) om befolkning och bostäder baserad på administrativa källor bör kompletteras med information från samordnade folk- och bostadsräkningar i unionen, genomförda vart tionde år i enlighet med FN:s principer och rekommendationer. Lika viktigt är att folk- och bostadsräkningar ger en unik möjlighet att synliggöra officiell statistik, både när det gäller verksamheten och resultaten.</w:t>
      </w:r>
    </w:p>
    <w:p w:rsidR="008E2C94" w:rsidRPr="008E2C94" w:rsidRDefault="008E2C94" w:rsidP="008E2C94">
      <w:pPr>
        <w:widowControl/>
        <w:spacing w:before="120" w:after="120" w:line="360" w:lineRule="auto"/>
        <w:ind w:left="850" w:hanging="850"/>
        <w:rPr>
          <w:szCs w:val="24"/>
        </w:rPr>
      </w:pPr>
      <w:r w:rsidRPr="008E2C94">
        <w:t>(19)</w:t>
      </w:r>
      <w:r w:rsidRPr="008E2C94">
        <w:tab/>
        <w:t xml:space="preserve">Unionens folkräkningar bör bli mer kostnadseffektiva genom att man fullt ut utnyttjar de omfattande administrativa uppgifter som finns tillgängliga i medlemsstaterna eller en kombination av olika källor, inbegripet källor med anknytning till sakernas internet och tillhandahållandet av digitala tjänster </w:t>
      </w:r>
      <w:r w:rsidRPr="008E2C94">
        <w:rPr>
          <w:b/>
          <w:i/>
        </w:rPr>
        <w:t xml:space="preserve">på </w:t>
      </w:r>
      <w:r w:rsidRPr="008E2C94">
        <w:rPr>
          <w:b/>
          <w:i/>
        </w:rPr>
        <w:lastRenderedPageBreak/>
        <w:t>grundval av ingåendet av protokoll mellan nationella statistikbyråer i medlemsstaterna och de aktörer som tillhandahåller uppgifter från privata databaser</w:t>
      </w:r>
      <w:r w:rsidRPr="008E2C94">
        <w:t xml:space="preserve">. De bör </w:t>
      </w:r>
      <w:r w:rsidRPr="008E2C94">
        <w:rPr>
          <w:b/>
          <w:i/>
        </w:rPr>
        <w:t>respektera integriteten för personuppgifter genom att fastställa behövliga skyddsåtgärder för insamling av personuppgifter för att undvika eventuellt missbruk och garantera grundläggande rättigheter. De bör också</w:t>
      </w:r>
      <w:r w:rsidRPr="008E2C94">
        <w:t xml:space="preserve"> användas för att åter fastställa det demografiska referensscenariot och omfatta undersökningar av de administrativa uppgiftskällornas omfattning.</w:t>
      </w:r>
    </w:p>
    <w:p w:rsidR="008E2C94" w:rsidRPr="008E2C94" w:rsidRDefault="008E2C94" w:rsidP="008E2C94">
      <w:pPr>
        <w:widowControl/>
        <w:spacing w:before="120" w:after="120" w:line="360" w:lineRule="auto"/>
        <w:ind w:left="850" w:hanging="850"/>
        <w:rPr>
          <w:szCs w:val="24"/>
        </w:rPr>
      </w:pPr>
      <w:r w:rsidRPr="008E2C94">
        <w:t>(20)</w:t>
      </w:r>
      <w:r w:rsidRPr="008E2C94">
        <w:tab/>
        <w:t xml:space="preserve">Medlemsstaterna och kommissionen (Eurostat) bör ha varaktig tillgång till så många olika uppgiftskällor som möjligt för att framställa europeisk statistik om befolkning och bostäder av hög kvalitet och på ett kostnadseffektivt sätt. I detta avseende är det mycket viktigt att nationella statistikmyndigheter får snabb tillgång till och snabbt </w:t>
      </w:r>
      <w:r w:rsidRPr="008E2C94">
        <w:rPr>
          <w:b/>
          <w:i/>
        </w:rPr>
        <w:t>tillåts</w:t>
      </w:r>
      <w:r w:rsidRPr="008E2C94">
        <w:t xml:space="preserve"> använda administrativa uppgifter som ägs av offentliga förvaltningar på nationell, regional och lokal nivå, i enlighet med artikel 17a i förordning (EG) nr 223/2009. Statistik om byggnaders energieffektivitet kan till exempel baseras på administrativa uppgifter om utfärdandet av energicertifikat för byggnader enligt Europaparlamentets och rådets direktiv 2010/31/EU</w:t>
      </w:r>
      <w:r w:rsidRPr="008E2C94">
        <w:rPr>
          <w:szCs w:val="24"/>
          <w:vertAlign w:val="superscript"/>
          <w:lang w:eastAsia="en-US"/>
        </w:rPr>
        <w:footnoteReference w:id="14"/>
      </w:r>
      <w:r w:rsidRPr="008E2C94">
        <w:t xml:space="preserve">. </w:t>
      </w:r>
      <w:r w:rsidRPr="008E2C94">
        <w:rPr>
          <w:b/>
          <w:i/>
        </w:rPr>
        <w:t>Nationella statistikmyndigheter bör regelbundet och i god tid fullt ut kunna vidareutnyttja administrativa uppgifter från interoperabla databaser för byggnaders energiprestanda som finns tillgängliga nationellt i enlighet med Europaparlamentets och rådets direktiv</w:t>
      </w:r>
      <w:r w:rsidR="00C7725D">
        <w:rPr>
          <w:b/>
          <w:i/>
        </w:rPr>
        <w:t xml:space="preserve"> </w:t>
      </w:r>
      <w:r w:rsidR="0099407E">
        <w:rPr>
          <w:b/>
          <w:i/>
        </w:rPr>
        <w:t xml:space="preserve">(EU) </w:t>
      </w:r>
      <w:r w:rsidR="00C7725D" w:rsidRPr="00C7725D">
        <w:rPr>
          <w:b/>
          <w:i/>
        </w:rPr>
        <w:t>2024/1275</w:t>
      </w:r>
      <w:r w:rsidRPr="008E2C94">
        <w:rPr>
          <w:b/>
          <w:i/>
          <w:szCs w:val="24"/>
          <w:vertAlign w:val="superscript"/>
          <w:lang w:eastAsia="en-US"/>
        </w:rPr>
        <w:footnoteReference w:id="15"/>
      </w:r>
      <w:r w:rsidRPr="008E2C94">
        <w:rPr>
          <w:b/>
          <w:i/>
        </w:rPr>
        <w:t xml:space="preserve">. </w:t>
      </w:r>
      <w:r w:rsidRPr="008E2C94">
        <w:t xml:space="preserve">De nationella </w:t>
      </w:r>
      <w:r w:rsidRPr="008E2C94">
        <w:rPr>
          <w:b/>
          <w:i/>
        </w:rPr>
        <w:t>statistikmyndigheterna</w:t>
      </w:r>
      <w:r w:rsidRPr="008E2C94">
        <w:t xml:space="preserve"> måste också involveras i beslut om utformning och utveckling av relevanta administrativa uppgiftskällor för att säkerställa att dessa kan </w:t>
      </w:r>
      <w:proofErr w:type="spellStart"/>
      <w:r w:rsidRPr="008E2C94">
        <w:t>vidareutnyttjas</w:t>
      </w:r>
      <w:proofErr w:type="spellEnd"/>
      <w:r w:rsidRPr="008E2C94">
        <w:t xml:space="preserve"> för sammanställning av officiell statistik.</w:t>
      </w:r>
    </w:p>
    <w:p w:rsidR="008E2C94" w:rsidRPr="008E2C94" w:rsidRDefault="008E2C94" w:rsidP="008E2C94">
      <w:pPr>
        <w:widowControl/>
        <w:spacing w:before="120" w:after="120" w:line="360" w:lineRule="auto"/>
        <w:ind w:left="850" w:hanging="850"/>
        <w:rPr>
          <w:szCs w:val="24"/>
        </w:rPr>
      </w:pPr>
      <w:r w:rsidRPr="008E2C94">
        <w:t>(21)</w:t>
      </w:r>
      <w:r w:rsidRPr="008E2C94">
        <w:tab/>
        <w:t xml:space="preserve">Under de senaste åren har omfattande databaser och </w:t>
      </w:r>
      <w:proofErr w:type="spellStart"/>
      <w:r w:rsidRPr="008E2C94">
        <w:t>interoperabilitetssystem</w:t>
      </w:r>
      <w:proofErr w:type="spellEnd"/>
      <w:r w:rsidRPr="008E2C94">
        <w:t xml:space="preserve"> på unionsnivå med anknytning till bosättning, demografiska händelser, medborgarskap samt migration och gränsöverskridande befolkningsförflyttningar utvecklats, såsom de som inrättats genom Europaparlamentets och rådets förordningar (EU)</w:t>
      </w:r>
      <w:r w:rsidR="00C7725D">
        <w:t xml:space="preserve"> </w:t>
      </w:r>
      <w:r w:rsidR="00C7725D">
        <w:lastRenderedPageBreak/>
        <w:t xml:space="preserve">nr </w:t>
      </w:r>
      <w:r w:rsidRPr="008E2C94">
        <w:t> 910/2014</w:t>
      </w:r>
      <w:r w:rsidRPr="008E2C94">
        <w:rPr>
          <w:szCs w:val="24"/>
          <w:vertAlign w:val="superscript"/>
          <w:lang w:eastAsia="en-US"/>
        </w:rPr>
        <w:footnoteReference w:id="16"/>
      </w:r>
      <w:r w:rsidRPr="008E2C94">
        <w:t>, (EU) 2018/1724</w:t>
      </w:r>
      <w:r w:rsidRPr="008E2C94">
        <w:rPr>
          <w:szCs w:val="24"/>
          <w:vertAlign w:val="superscript"/>
          <w:lang w:eastAsia="en-US"/>
        </w:rPr>
        <w:footnoteReference w:id="17"/>
      </w:r>
      <w:r w:rsidRPr="008E2C94">
        <w:t>, (EU) 2019/817</w:t>
      </w:r>
      <w:r w:rsidRPr="008E2C94">
        <w:rPr>
          <w:szCs w:val="24"/>
          <w:vertAlign w:val="superscript"/>
          <w:lang w:eastAsia="en-US"/>
        </w:rPr>
        <w:footnoteReference w:id="18"/>
      </w:r>
      <w:r w:rsidRPr="008E2C94">
        <w:t xml:space="preserve"> och (EU) 2019/818</w:t>
      </w:r>
      <w:r w:rsidRPr="008E2C94">
        <w:rPr>
          <w:szCs w:val="24"/>
          <w:vertAlign w:val="superscript"/>
          <w:lang w:eastAsia="en-US"/>
        </w:rPr>
        <w:footnoteReference w:id="19"/>
      </w:r>
      <w:r w:rsidRPr="008E2C94">
        <w:t xml:space="preserve">. De ger värdefull information som kan </w:t>
      </w:r>
      <w:proofErr w:type="spellStart"/>
      <w:r w:rsidRPr="008E2C94">
        <w:t>vidareutnyttjas</w:t>
      </w:r>
      <w:proofErr w:type="spellEnd"/>
      <w:r w:rsidRPr="008E2C94">
        <w:t xml:space="preserve"> för sammanställning och kvalitetssäkring av europeisk statistik om befolkning och bostäder.</w:t>
      </w:r>
    </w:p>
    <w:p w:rsidR="008E2C94" w:rsidRPr="008E2C94" w:rsidRDefault="008E2C94" w:rsidP="008E2C94">
      <w:pPr>
        <w:widowControl/>
        <w:spacing w:before="120" w:after="120" w:line="360" w:lineRule="auto"/>
        <w:ind w:left="850" w:hanging="850"/>
        <w:rPr>
          <w:szCs w:val="24"/>
        </w:rPr>
      </w:pPr>
      <w:r w:rsidRPr="008E2C94">
        <w:t>(22)</w:t>
      </w:r>
      <w:r w:rsidRPr="008E2C94">
        <w:tab/>
        <w:t>I detta avseende är det viktigt att göra det möjligt för kommissionen (Eurostat) att vidareutnyttja dessa uppgifter endast för statistiska ändamål och samtidigt strikt tillämpa reglerna om dataskydd och skydd av personuppgifter, i enlighet med Europaparlamentets och rådets förordning (EU) 2018/1725</w:t>
      </w:r>
      <w:r w:rsidRPr="008E2C94">
        <w:rPr>
          <w:szCs w:val="24"/>
          <w:vertAlign w:val="superscript"/>
          <w:lang w:eastAsia="en-US"/>
        </w:rPr>
        <w:footnoteReference w:id="20"/>
      </w:r>
      <w:r w:rsidRPr="008E2C94">
        <w:t xml:space="preserve">. Detta bör särskilt gälla de statistiska uppgifter som lagras i den centrala databasen för rapporter och statistik (CRRS) i enlighet med syftet för CRRS enligt artikel 39.1 i förordning (EU) 2019/817 samt artikel 39.1 i förordning (EU) 2019/818 och i enlighet med förordningarna om inrättande av de system vars statistiska uppgifter lagras i CRRS. Med tanke på att CRRS ska tillhandahålla systemöverskridande statistiska uppgifter och analysrapporter för politiska och operativa syften samt i syfte att upprätthålla uppgiftskvaliteten, bör kommissionen (Eurostat) i möjligaste mån samarbeta med Europeiska unionens byrå för den operativa förvaltningen av stora </w:t>
      </w:r>
      <w:proofErr w:type="spellStart"/>
      <w:r w:rsidRPr="008E2C94">
        <w:t>it-system</w:t>
      </w:r>
      <w:proofErr w:type="spellEnd"/>
      <w:r w:rsidRPr="008E2C94">
        <w:t xml:space="preserve"> inom området frihet, säkerhet och rättvisa (eu-Lisa) i syfte att tillhandahålla den europeiska statistik som krävs.</w:t>
      </w:r>
    </w:p>
    <w:p w:rsidR="008E2C94" w:rsidRPr="008E2C94" w:rsidRDefault="008E2C94" w:rsidP="008E2C94">
      <w:pPr>
        <w:widowControl/>
        <w:spacing w:before="120" w:after="120" w:line="360" w:lineRule="auto"/>
        <w:ind w:left="850" w:hanging="850"/>
        <w:rPr>
          <w:szCs w:val="24"/>
        </w:rPr>
      </w:pPr>
      <w:r w:rsidRPr="008E2C94">
        <w:lastRenderedPageBreak/>
        <w:t>(23)</w:t>
      </w:r>
      <w:r w:rsidRPr="008E2C94">
        <w:tab/>
        <w:t xml:space="preserve">Privat innehavda uppgifter </w:t>
      </w:r>
      <w:r w:rsidRPr="008E2C94">
        <w:rPr>
          <w:b/>
          <w:i/>
        </w:rPr>
        <w:t>avser den stora mängd uppgifter som innehas av privata enheter och som erhållits till följd av deras verksamhet och som skulle kunna användas av statistikmyndigheter och kommissionen (Eurostat) för att framställa officiell statistik. Sådana</w:t>
      </w:r>
      <w:r w:rsidRPr="008E2C94">
        <w:t xml:space="preserve"> uppgifter ▌kan förbättra täckningen, aktualiteten och krishanteringsförmågan av europeisk statistik om befolkning och bostäder eller möjliggöra statistisk innovation. Sådana uppgifter kan komplettera befintlig statistik om demografi och migration, leda till statistisk innovation och till och med ligga till grund för framställningen av tidiga skattningar</w:t>
      </w:r>
      <w:r w:rsidRPr="008E2C94">
        <w:rPr>
          <w:b/>
          <w:i/>
        </w:rPr>
        <w:t>, samtidigt som skyddet av datainnehavarnas rättigheter och friheter säkerställs</w:t>
      </w:r>
      <w:r w:rsidRPr="008E2C94">
        <w:t xml:space="preserve">. De nationella statistikbyråerna och andra behöriga nationella myndigheter samt kommissionen (Eurostat) bör ha tillgång till och använda sådana uppgifter </w:t>
      </w:r>
      <w:r w:rsidRPr="008E2C94">
        <w:rPr>
          <w:b/>
          <w:i/>
        </w:rPr>
        <w:t>och samarbeta med privata uppgiftsinnehavare i enlighet med förordning (EG) nr 223/2009</w:t>
      </w:r>
      <w:r w:rsidRPr="008E2C94">
        <w:t>.</w:t>
      </w:r>
    </w:p>
    <w:p w:rsidR="008E2C94" w:rsidRPr="008E2C94" w:rsidRDefault="008E2C94" w:rsidP="008E2C94">
      <w:pPr>
        <w:widowControl/>
        <w:spacing w:before="120" w:after="120" w:line="360" w:lineRule="auto"/>
        <w:ind w:left="850" w:hanging="850"/>
        <w:rPr>
          <w:szCs w:val="24"/>
        </w:rPr>
      </w:pPr>
      <w:r w:rsidRPr="008E2C94">
        <w:t>(24)</w:t>
      </w:r>
      <w:r w:rsidRPr="008E2C94">
        <w:tab/>
        <w:t xml:space="preserve">För att säkerställa jämförbarhet mellan europeisk statistik om befolkning och bostäder på unionsnivå är det viktigt att gemensamma befolkningsdefinitioner används och genomförs på ett harmoniserat sätt. För att genomföra ett enda harmoniserat befolkningsunderlag på ett konsekvent, robust och kostnadseffektivt sätt, samtidigt som man säkerställer snabba resultat, </w:t>
      </w:r>
      <w:r w:rsidRPr="008E2C94">
        <w:rPr>
          <w:b/>
          <w:i/>
        </w:rPr>
        <w:t>bör det vara möjligt att vid behov tillämpa vetenskapligt baserade modelleringstekniker och statistiska metoder såsom</w:t>
      </w:r>
      <w:r w:rsidRPr="008E2C94">
        <w:t xml:space="preserve"> </w:t>
      </w:r>
      <w:r w:rsidRPr="008E2C94">
        <w:rPr>
          <w:i/>
          <w:iCs/>
        </w:rPr>
        <w:t>livstecken</w:t>
      </w:r>
      <w:r w:rsidRPr="008E2C94">
        <w:t>.</w:t>
      </w:r>
    </w:p>
    <w:p w:rsidR="008E2C94" w:rsidRPr="008E2C94" w:rsidRDefault="008E2C94" w:rsidP="008E2C94">
      <w:pPr>
        <w:widowControl/>
        <w:spacing w:before="120" w:after="120" w:line="360" w:lineRule="auto"/>
        <w:ind w:left="850" w:hanging="850"/>
        <w:rPr>
          <w:szCs w:val="24"/>
        </w:rPr>
      </w:pPr>
      <w:r w:rsidRPr="008E2C94">
        <w:t>(25)</w:t>
      </w:r>
      <w:r w:rsidRPr="008E2C94">
        <w:tab/>
        <w:t xml:space="preserve">Medlemsstaterna bör tillhandahålla sina uppgifter och metadata i elektronisk form, i ett lämpligt tekniskt format som ska tillhandahållas av kommissionen (Eurostat). Internationella standarder, såsom </w:t>
      </w:r>
      <w:proofErr w:type="spellStart"/>
      <w:r w:rsidRPr="008E2C94">
        <w:t>SDMX</w:t>
      </w:r>
      <w:proofErr w:type="spellEnd"/>
      <w:r w:rsidRPr="008E2C94">
        <w:t>-initiativet (</w:t>
      </w:r>
      <w:proofErr w:type="spellStart"/>
      <w:r w:rsidRPr="008E2C94">
        <w:t>Statistical</w:t>
      </w:r>
      <w:proofErr w:type="spellEnd"/>
      <w:r w:rsidRPr="008E2C94">
        <w:t xml:space="preserve"> Data and Metadata Exchange), och statistiska eller tekniska standarder som utarbetats inom unionen, såsom standarder för metadata och validering eller principer för den europeiska </w:t>
      </w:r>
      <w:proofErr w:type="spellStart"/>
      <w:r w:rsidRPr="008E2C94">
        <w:t>interoperabilitetsramen</w:t>
      </w:r>
      <w:proofErr w:type="spellEnd"/>
      <w:r w:rsidRPr="008E2C94">
        <w:t xml:space="preserve">, bör användas i den utsträckning som är relevant för europeisk statistik om befolkning och bostäder. ESS-kommittén har godkänt </w:t>
      </w:r>
      <w:proofErr w:type="spellStart"/>
      <w:r w:rsidRPr="008E2C94">
        <w:t>ESS</w:t>
      </w:r>
      <w:r w:rsidRPr="008E2C94">
        <w:noBreakHyphen/>
        <w:t>standarderna</w:t>
      </w:r>
      <w:proofErr w:type="spellEnd"/>
      <w:r w:rsidRPr="008E2C94">
        <w:t xml:space="preserve"> för metadata och kvalitetsrapporter i enlighet med artikel 12 i förordning (EG) nr 223/2009. Dessa standarder bidrar till harmoniseringen av kvalitetssäkring och rapportering enligt denna förordning och bör därför införas.</w:t>
      </w:r>
    </w:p>
    <w:p w:rsidR="008E2C94" w:rsidRPr="008E2C94" w:rsidRDefault="008E2C94" w:rsidP="008E2C94">
      <w:pPr>
        <w:widowControl/>
        <w:spacing w:before="120" w:after="120" w:line="360" w:lineRule="auto"/>
        <w:ind w:left="850" w:hanging="850"/>
        <w:rPr>
          <w:szCs w:val="24"/>
        </w:rPr>
      </w:pPr>
      <w:r w:rsidRPr="008E2C94">
        <w:t>(26)</w:t>
      </w:r>
      <w:r w:rsidRPr="008E2C94">
        <w:tab/>
        <w:t>Europeisk statistik om befolkning och bostäder bör uppfylla de kvalitetskriterier om relevans, noggrannhet, aktualitet och punktlighet, tillgänglighet och tydlighet, jämförbarhet och samstämmighet som anges i förordning (EG) nr 223/2009. Kvaliteten på denna statistik bör förbättras i takt med att unionens behov utvecklas</w:t>
      </w:r>
      <w:r w:rsidRPr="008E2C94">
        <w:rPr>
          <w:b/>
          <w:i/>
        </w:rPr>
        <w:t xml:space="preserve">, </w:t>
      </w:r>
      <w:r w:rsidRPr="008E2C94">
        <w:rPr>
          <w:b/>
          <w:i/>
        </w:rPr>
        <w:lastRenderedPageBreak/>
        <w:t>och mekanismer bör inrättas för att hantera eventuella situationer där uppgifternas kvalitet inte garanteras</w:t>
      </w:r>
      <w:r w:rsidRPr="008E2C94">
        <w:t xml:space="preserve">. Lämpliga resultat från den kvalitetsbedömning som utförs av kommissionen (Eurostat) bör vara offentligt tillgängliga för statistikanvändare </w:t>
      </w:r>
      <w:r w:rsidRPr="008E2C94">
        <w:rPr>
          <w:b/>
          <w:i/>
        </w:rPr>
        <w:t>genom att säkerställa kostnadsfri och enkel tillgång till denna statistik</w:t>
      </w:r>
      <w:r w:rsidRPr="008E2C94">
        <w:t xml:space="preserve"> genom kommissionens (Eurostat) databaser på dess webbplats och i dess publikationer.</w:t>
      </w:r>
    </w:p>
    <w:p w:rsidR="008E2C94" w:rsidRPr="008E2C94" w:rsidRDefault="008E2C94" w:rsidP="008E2C94">
      <w:pPr>
        <w:widowControl/>
        <w:spacing w:before="120" w:after="120" w:line="360" w:lineRule="auto"/>
        <w:ind w:left="850" w:hanging="850"/>
        <w:rPr>
          <w:szCs w:val="24"/>
        </w:rPr>
      </w:pPr>
      <w:r w:rsidRPr="008E2C94">
        <w:rPr>
          <w:b/>
          <w:i/>
        </w:rPr>
        <w:t>(26a)</w:t>
      </w:r>
      <w:r w:rsidRPr="008E2C94">
        <w:tab/>
      </w:r>
      <w:r w:rsidRPr="008E2C94">
        <w:rPr>
          <w:b/>
          <w:i/>
        </w:rPr>
        <w:t xml:space="preserve">Den europeiska statistiken över befolkning och bostäder bör åtgärda den bestående bristen på uppgifter om utsatta grupper, det vill säga befolkningsgrupper som är svåra att nå, till exempel personer som bor på institutioner (t.ex. militära institutioner, kriminalvårdsanstalter, studenthem vid skolor och universitet, religiösa institutioner, sjukhus, vårdhem, institutioner för personer med funktionsnedsättning och barnhem), personer över 75 år, personer med funktionsnedsättning, hemlösa, personer med invandrarbakgrund och statslösa personer. För att överbrygga denna klyfta i fråga om uppgifter och förhindra att sociala och ekonomiska ojämlikheter uppstår på grund av den, bör medlemsstaterna utarbeta strategier och riktade lösningar för insamling av uppgifter om befolkningsgrupper som är svåra att nå, särskilt när det gäller att lokalisera, kontakta, övertala och intervjua befolkningsgrupper som är svåra att nå. </w:t>
      </w:r>
    </w:p>
    <w:p w:rsidR="008E2C94" w:rsidRPr="008E2C94" w:rsidRDefault="008E2C94" w:rsidP="008E2C94">
      <w:pPr>
        <w:widowControl/>
        <w:spacing w:before="120" w:after="120" w:line="360" w:lineRule="auto"/>
        <w:ind w:left="850" w:hanging="850"/>
        <w:rPr>
          <w:szCs w:val="24"/>
        </w:rPr>
      </w:pPr>
      <w:r w:rsidRPr="008E2C94">
        <w:rPr>
          <w:b/>
          <w:i/>
        </w:rPr>
        <w:t>(26</w:t>
      </w:r>
      <w:r w:rsidR="00F45EAE">
        <w:rPr>
          <w:b/>
          <w:i/>
        </w:rPr>
        <w:t>b</w:t>
      </w:r>
      <w:r w:rsidRPr="008E2C94">
        <w:rPr>
          <w:b/>
          <w:i/>
        </w:rPr>
        <w:t>)</w:t>
      </w:r>
      <w:r w:rsidRPr="008E2C94">
        <w:tab/>
      </w:r>
      <w:r w:rsidRPr="008E2C94">
        <w:rPr>
          <w:b/>
          <w:i/>
        </w:rPr>
        <w:t xml:space="preserve">Tillräckliga, aktuella och effektiva strategier förutsätter tillförlitliga och jämförbara uppgifter uppdelade efter kön, ålder och, i förekommande fall, nationalitet, socioekonomisk status, geografiskt område och andra karakteristikum i enlighet med de statistiska principer som fastställs i artikel 338.1 i EUF-fördraget och i riktlinjerna för europeisk statistik och referensramen för kvalitetssäkring inom ESS. Dessa uppgifter är relevanta för att bättre förstå befolknings- och bostadstrender, bekämpa </w:t>
      </w:r>
      <w:proofErr w:type="spellStart"/>
      <w:r w:rsidRPr="008E2C94">
        <w:rPr>
          <w:b/>
          <w:i/>
        </w:rPr>
        <w:t>intersektionell</w:t>
      </w:r>
      <w:proofErr w:type="spellEnd"/>
      <w:r w:rsidRPr="008E2C94">
        <w:rPr>
          <w:b/>
          <w:i/>
        </w:rPr>
        <w:t xml:space="preserve"> diskriminering och genomföra och bedöma unionens strategier, politiska mål och åtgärder, såsom den europeiska pelaren för sociala rättigheter, den europeiska barngarantin, den europeiska vårdstrategin, den europeiska strategin för rättigheter för personer med funktionsnedsättning och den europeiska plattformen för bekämpning av hemlöshet, som alla i hög grad bygger på uppgifter om hushåll och familjer. Uppdelning av statistiken efter funktionsnedsättning bör uppmuntras genom användning av befintliga och nya administrativa datakällor, som bör utnyttjas för att undersöka möjligheterna att fånga upp funktionsnedsättningar. Insamlingen </w:t>
      </w:r>
      <w:r w:rsidRPr="008E2C94">
        <w:rPr>
          <w:b/>
          <w:i/>
        </w:rPr>
        <w:lastRenderedPageBreak/>
        <w:t>och användningen av sådana uppgifter måste ske med full respekt för unionens och nationella normer för integritet och grundläggande rättigheter, särskilt när det handlar om uppgifter som gäller minderåriga. Uppdelningen enligt kön bör återspegla tillgängliga uppgifter i medlemsstaterna. I vissa medlemsstater är det för närvarande möjligt för personer att rättsligt registrera sig som tillhörande ett tredje, ofta neutralt, kön. Denna förordning påverkar inte relevanta nationella regler som ger verkan åt sådan registrering.</w:t>
      </w:r>
    </w:p>
    <w:p w:rsidR="008E2C94" w:rsidRPr="008E2C94" w:rsidRDefault="008E2C94" w:rsidP="008E2C94">
      <w:pPr>
        <w:widowControl/>
        <w:spacing w:before="120" w:after="120" w:line="360" w:lineRule="auto"/>
        <w:ind w:left="850" w:hanging="850"/>
        <w:rPr>
          <w:szCs w:val="24"/>
        </w:rPr>
      </w:pPr>
      <w:r w:rsidRPr="008E2C94">
        <w:t>(27)</w:t>
      </w:r>
      <w:r w:rsidRPr="008E2C94">
        <w:tab/>
        <w:t>I förordning (EG) nr 223/2009 finns bestämmelser om tillhandahållande av uppgifter från medlemsstaterna till kommissionen (Eurostat) och om användning av dem, inklusive överföring och skydd av konfidentiella uppgifter. De åtgärder som vidtas i enlighet med den här förordningen bör säkerställa att konfidentiella uppgifter endast tillhandahålls och används för statistiska ändamål i enlighet med artiklarna 21 och 22 i den förordningen.</w:t>
      </w:r>
    </w:p>
    <w:p w:rsidR="008E2C94" w:rsidRPr="008E2C94" w:rsidRDefault="008E2C94" w:rsidP="008E2C94">
      <w:pPr>
        <w:widowControl/>
        <w:spacing w:before="120" w:after="120" w:line="360" w:lineRule="auto"/>
        <w:ind w:left="850" w:hanging="850"/>
        <w:rPr>
          <w:szCs w:val="24"/>
        </w:rPr>
      </w:pPr>
      <w:r w:rsidRPr="008E2C94">
        <w:t>(28)</w:t>
      </w:r>
      <w:r w:rsidRPr="008E2C94">
        <w:tab/>
        <w:t xml:space="preserve">Kommissionen (Eurostat) ska respektera den statistiska </w:t>
      </w:r>
      <w:proofErr w:type="spellStart"/>
      <w:r w:rsidRPr="008E2C94">
        <w:t>konfidentialiteten</w:t>
      </w:r>
      <w:proofErr w:type="spellEnd"/>
      <w:r w:rsidRPr="008E2C94">
        <w:t xml:space="preserve"> för de uppgifter som medlemsstaterna tillhandahåller i enlighet med förordning (EG) nr 223/2009. När det gäller den befolkningsstatistik som samlas in enligt denna förordning bör en harmoniserad strategi utvecklas för att säkerställa en hög kvalitet på de europeiska aggregaten och för att undvika att konfidentiella uppgifter lämnas ut i statistiska produkter, så att man i möjligaste mån undviker undertryckande av uppgifterna.</w:t>
      </w:r>
    </w:p>
    <w:p w:rsidR="008E2C94" w:rsidRPr="008E2C94" w:rsidRDefault="008E2C94" w:rsidP="008E2C94">
      <w:pPr>
        <w:widowControl/>
        <w:spacing w:before="120" w:after="120" w:line="360" w:lineRule="auto"/>
        <w:ind w:left="850" w:hanging="850"/>
        <w:rPr>
          <w:szCs w:val="24"/>
        </w:rPr>
      </w:pPr>
      <w:r w:rsidRPr="008E2C94">
        <w:t>(29)</w:t>
      </w:r>
      <w:r w:rsidRPr="008E2C94">
        <w:tab/>
        <w:t xml:space="preserve">Uppgiftskällor som finns tillgängliga på nationell nivå kan inte alltid på ett korrekt sätt fånga upp företeelser som rör den fria rörligheten för personer i unionen, personers tillgång till gränsöverskridande tjänster om demografiska händelser och utövandet av personers rätt att köpa och äga bostäder som används som primärbostäder, semesterbostäder och fritidsbostäder i hela unionen. Det finns också </w:t>
      </w:r>
      <w:r w:rsidRPr="008E2C94">
        <w:rPr>
          <w:b/>
          <w:i/>
        </w:rPr>
        <w:t>avvikelser</w:t>
      </w:r>
      <w:r w:rsidRPr="008E2C94">
        <w:t xml:space="preserve"> i de bilaterala migrationsströmmarna och svårigheter att mäta befolkningsgrupper, till exempel bland migranter, hemlösa och statslösa. Därför bör datadelning, i syfte att sammanställa statistik om befolkning och migration och säkerställa dess kvalitet, förstärkas och betraktas som ytterligare en uppgiftskälla. En sådan förstärkt datadelning kan omfatta ett brett spektrum av relevanta uppgifter, från uppgifter som uppenbart inte gör det möjligt att identifiera statistiska enheter, vare sig direkt eller indirekt, till uppgifter som potentiellt omfattas av krav på insynsskydd för statistiska uppgifter. Medlemsstaterna bör, i eget och i övriga </w:t>
      </w:r>
      <w:r w:rsidRPr="008E2C94">
        <w:lastRenderedPageBreak/>
        <w:t xml:space="preserve">medlemsstaters intresse, delta i datadelningsverksamhet, inbegripet i pilotprojekt för bedömning av innovativa säkra lösningar. Kommissionen (Eurostat) bör också inrätta en säker infrastruktur för att underlätta en sådan datadelning samtidigt som alla nödvändiga skyddsåtgärder säkerställs </w:t>
      </w:r>
      <w:r w:rsidRPr="008E2C94">
        <w:rPr>
          <w:b/>
          <w:i/>
        </w:rPr>
        <w:t>för dataskyddet</w:t>
      </w:r>
      <w:r w:rsidRPr="008E2C94">
        <w:t>.</w:t>
      </w:r>
    </w:p>
    <w:p w:rsidR="008E2C94" w:rsidRPr="008E2C94" w:rsidRDefault="008E2C94" w:rsidP="008E2C94">
      <w:pPr>
        <w:widowControl/>
        <w:spacing w:before="120" w:after="120" w:line="360" w:lineRule="auto"/>
        <w:ind w:left="850" w:hanging="850"/>
        <w:rPr>
          <w:szCs w:val="24"/>
        </w:rPr>
      </w:pPr>
      <w:r w:rsidRPr="008E2C94">
        <w:t>▌</w:t>
      </w:r>
    </w:p>
    <w:p w:rsidR="008E2C94" w:rsidRPr="008E2C94" w:rsidRDefault="008E2C94" w:rsidP="008E2C94">
      <w:pPr>
        <w:widowControl/>
        <w:spacing w:before="120" w:after="120" w:line="360" w:lineRule="auto"/>
        <w:ind w:left="850" w:hanging="850"/>
        <w:rPr>
          <w:szCs w:val="24"/>
        </w:rPr>
      </w:pPr>
      <w:r w:rsidRPr="008E2C94">
        <w:t>(31)</w:t>
      </w:r>
      <w:r w:rsidRPr="008E2C94">
        <w:tab/>
        <w:t>Utbyte av konfidentiella uppgifter bör endast ske på grundval av en begäran som motiverar behovet av att dela dessa uppgifter i enlighet med kapitel V i förordning (EG) nr 223/2009.</w:t>
      </w:r>
    </w:p>
    <w:p w:rsidR="008E2C94" w:rsidRPr="008E2C94" w:rsidRDefault="008E2C94" w:rsidP="008E2C94">
      <w:pPr>
        <w:widowControl/>
        <w:spacing w:before="120" w:after="120" w:line="360" w:lineRule="auto"/>
        <w:ind w:left="850" w:hanging="850"/>
        <w:rPr>
          <w:szCs w:val="24"/>
        </w:rPr>
      </w:pPr>
      <w:r w:rsidRPr="008E2C94">
        <w:t>(32)</w:t>
      </w:r>
      <w:r w:rsidRPr="008E2C94">
        <w:tab/>
        <w:t xml:space="preserve">På längre sikt bör samarbetet inom ESS för att mildra gränsöverskridande statistiska kvalitetsproblem, såsom dubbelräkning av personer bosatta i unionen som utnyttjar rätten till fri rörlighet </w:t>
      </w:r>
      <w:r w:rsidRPr="008E2C94">
        <w:rPr>
          <w:b/>
          <w:i/>
        </w:rPr>
        <w:t>dra fördel till exempel av</w:t>
      </w:r>
      <w:r w:rsidRPr="008E2C94">
        <w:t xml:space="preserve"> gemensamma digitala identifierare som inrättats på unionsnivå genom förordning (EU) nr 910/2014</w:t>
      </w:r>
      <w:r w:rsidRPr="008E2C94">
        <w:rPr>
          <w:b/>
          <w:i/>
        </w:rPr>
        <w:t>.</w:t>
      </w:r>
    </w:p>
    <w:p w:rsidR="008E2C94" w:rsidRPr="008E2C94" w:rsidRDefault="008E2C94" w:rsidP="008E2C94">
      <w:pPr>
        <w:widowControl/>
        <w:spacing w:before="120" w:after="120" w:line="360" w:lineRule="auto"/>
        <w:ind w:left="850" w:hanging="850"/>
        <w:rPr>
          <w:szCs w:val="24"/>
        </w:rPr>
      </w:pPr>
      <w:r w:rsidRPr="008E2C94">
        <w:t>(33)</w:t>
      </w:r>
      <w:r w:rsidRPr="008E2C94">
        <w:tab/>
        <w:t>Denna förordning påverkar inte tillämpningen av Europaparlamentets och rådets förordningar (EU) 2016/679</w:t>
      </w:r>
      <w:r w:rsidRPr="008E2C94">
        <w:rPr>
          <w:szCs w:val="24"/>
          <w:vertAlign w:val="superscript"/>
          <w:lang w:eastAsia="en-US"/>
        </w:rPr>
        <w:footnoteReference w:id="21"/>
      </w:r>
      <w:r w:rsidRPr="008E2C94">
        <w:t xml:space="preserve"> och (EU) 2018/1725 eller direktiv 2002/58/EG</w:t>
      </w:r>
      <w:r w:rsidRPr="008E2C94">
        <w:rPr>
          <w:szCs w:val="24"/>
          <w:vertAlign w:val="superscript"/>
          <w:lang w:eastAsia="en-US"/>
        </w:rPr>
        <w:footnoteReference w:id="22"/>
      </w:r>
      <w:r w:rsidRPr="008E2C94">
        <w:t>. Inom sina respektive tillämpningsområden ska de senare förordningarna vara tillämpliga på behandling av personuppgifter enligt denna förordning</w:t>
      </w:r>
      <w:r w:rsidRPr="008E2C94">
        <w:rPr>
          <w:b/>
          <w:i/>
        </w:rPr>
        <w:t xml:space="preserve">, även med tanke på att personuppgifter som behandlas för statistiska ändamål av allmänt intresse är insynsskyddade statistiska uppgifter som omfattas av principen om insynsskydd för statistiska uppgifter. Sådana uppgifter bör därför endast användas för statistiska ändamål och bör aldrig användas för åtgärder eller beslut som rör en viss fysisk person. Anonymiserade eller </w:t>
      </w:r>
      <w:proofErr w:type="spellStart"/>
      <w:r w:rsidRPr="008E2C94">
        <w:rPr>
          <w:b/>
          <w:i/>
        </w:rPr>
        <w:t>pseudonymiserade</w:t>
      </w:r>
      <w:proofErr w:type="spellEnd"/>
      <w:r w:rsidRPr="008E2C94">
        <w:rPr>
          <w:b/>
          <w:i/>
        </w:rPr>
        <w:t xml:space="preserve"> uppgifter bör företrädesvis användas för behandling, delning och arkivering av personuppgifter för statistiska ändamål enligt denna förordning för att garantera de skyddsåtgärder som antagits enligt artikel 89 i förordning (EU) 2016/679 och artikel 13 i förordning (EU) 2018/1725. Om personuppgifter behandlas i enlighet med förordning (EU) 2016/679 eller förordning (EU) 2018/1725 bör principerna om laglighet, korrekthet, öppenhet och riktighet, ändamålsbegränsning, </w:t>
      </w:r>
      <w:r w:rsidRPr="008E2C94">
        <w:rPr>
          <w:b/>
          <w:i/>
        </w:rPr>
        <w:lastRenderedPageBreak/>
        <w:t xml:space="preserve">uppgiftsminimering, lagringsminimering, integritet och </w:t>
      </w:r>
      <w:proofErr w:type="spellStart"/>
      <w:r w:rsidRPr="008E2C94">
        <w:rPr>
          <w:b/>
          <w:i/>
        </w:rPr>
        <w:t>konfidentialitet</w:t>
      </w:r>
      <w:proofErr w:type="spellEnd"/>
      <w:r w:rsidRPr="008E2C94">
        <w:rPr>
          <w:b/>
          <w:i/>
        </w:rPr>
        <w:t xml:space="preserve"> tillämpas fullt ut. På samma sätt bör de statistiska principer som anges i artikel 2 i förordning (EG) nr 223/2009 och som vidareutvecklas i riktlinjerna för europeisk statistik också tillämpas</w:t>
      </w:r>
      <w:r w:rsidRPr="008E2C94">
        <w:t>.</w:t>
      </w:r>
    </w:p>
    <w:p w:rsidR="008E2C94" w:rsidRPr="008E2C94" w:rsidRDefault="008E2C94" w:rsidP="008E2C94">
      <w:pPr>
        <w:widowControl/>
        <w:spacing w:before="120" w:after="120" w:line="360" w:lineRule="auto"/>
        <w:ind w:left="850" w:hanging="850"/>
        <w:rPr>
          <w:szCs w:val="24"/>
        </w:rPr>
      </w:pPr>
      <w:r w:rsidRPr="008E2C94">
        <w:t>(34)</w:t>
      </w:r>
      <w:r w:rsidRPr="008E2C94">
        <w:tab/>
        <w:t>Europeisk statistik om befolkning och bostäder bör utvecklas för att ta hänsyn till nya uppgiftsbehov till följd av förändrade politiska prioriteringar samt förändringar i den demografiska, migrationsrelaterade, sociala eller ekonomiska situationen i unionen. Kommissionen (Eurostat) bör vid behov genomföra pilot- och genomförbarhetsstudier för att bedöma om de berörda anpassningarna är genomförbara och bör beakta aspekter som kostnader och administrativa bördor för medlemsstaterna och tillgången till lämpliga uppgiftskällor.</w:t>
      </w:r>
      <w:r w:rsidRPr="008E2C94">
        <w:rPr>
          <w:b/>
          <w:i/>
        </w:rPr>
        <w:t xml:space="preserve"> När kommissionen utarbetar dessa studier bör den se till att studierna är representativa på unionsnivå och att de återspeglar nationella skillnader. Kommissionen bör utvärdera resultaten av studierna i samarbete med medlemsstaterna.</w:t>
      </w:r>
    </w:p>
    <w:p w:rsidR="008E2C94" w:rsidRPr="008E2C94" w:rsidRDefault="008E2C94" w:rsidP="008E2C94">
      <w:pPr>
        <w:widowControl/>
        <w:spacing w:before="120" w:after="120" w:line="360" w:lineRule="auto"/>
        <w:ind w:left="850" w:hanging="850"/>
        <w:rPr>
          <w:szCs w:val="24"/>
        </w:rPr>
      </w:pPr>
      <w:r w:rsidRPr="008E2C94">
        <w:t>(35)</w:t>
      </w:r>
      <w:r w:rsidRPr="008E2C94">
        <w:tab/>
        <w:t>I syfte att ta hänsyn till demografiska, ekonomiska och sociala trender</w:t>
      </w:r>
      <w:r w:rsidRPr="008E2C94">
        <w:rPr>
          <w:b/>
          <w:i/>
        </w:rPr>
        <w:t xml:space="preserve">, </w:t>
      </w:r>
      <w:r w:rsidRPr="008E2C94">
        <w:t>den tekniska utvecklingen</w:t>
      </w:r>
      <w:r w:rsidRPr="008E2C94">
        <w:rPr>
          <w:b/>
          <w:i/>
        </w:rPr>
        <w:t xml:space="preserve"> och behovet av att utforma välriktade strategier i god tid</w:t>
      </w:r>
      <w:r w:rsidRPr="008E2C94">
        <w:t xml:space="preserve"> bör befogenheten att anta akter i enlighet med artikel 290 i EUF-fördraget delegeras till kommissionen i syfte att ändra förteckningen, beskrivningen, periodiciteten och referenstiderna för specifika ämnen som omfattas av europeisk statistik om befolkning och bostäder, att uppdatera den periodicitet och de referenstider som anges i bilagan till denna förordning och att närmare ange den information som medlemsstaterna ska lämna på särskild basis.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8E2C94">
        <w:rPr>
          <w:szCs w:val="24"/>
          <w:vertAlign w:val="superscript"/>
          <w:lang w:eastAsia="en-US"/>
        </w:rPr>
        <w:footnoteReference w:id="23"/>
      </w:r>
      <w:r w:rsidRPr="008E2C94">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rsidR="008E2C94" w:rsidRPr="008E2C94" w:rsidRDefault="008E2C94" w:rsidP="008E2C94">
      <w:pPr>
        <w:widowControl/>
        <w:spacing w:before="120" w:after="120" w:line="360" w:lineRule="auto"/>
        <w:ind w:left="850" w:hanging="850"/>
        <w:rPr>
          <w:szCs w:val="24"/>
        </w:rPr>
      </w:pPr>
      <w:r w:rsidRPr="008E2C94">
        <w:rPr>
          <w:b/>
          <w:i/>
        </w:rPr>
        <w:t>(35a)</w:t>
      </w:r>
      <w:r w:rsidRPr="008E2C94">
        <w:tab/>
      </w:r>
      <w:r w:rsidRPr="008E2C94">
        <w:rPr>
          <w:b/>
          <w:i/>
        </w:rPr>
        <w:t xml:space="preserve">Betydelsen av europeisk statistik som en viktig del i evidensbaserat beslutsfattande återspeglas i den planerings- och finansieringsram som inrättats genom </w:t>
      </w:r>
      <w:r w:rsidRPr="008E2C94">
        <w:rPr>
          <w:b/>
          <w:i/>
        </w:rPr>
        <w:lastRenderedPageBreak/>
        <w:t>Europaparlamentets och rådets förordning (EU) 2021/690</w:t>
      </w:r>
      <w:r w:rsidRPr="008E2C94">
        <w:rPr>
          <w:b/>
          <w:i/>
          <w:szCs w:val="24"/>
          <w:vertAlign w:val="superscript"/>
          <w:lang w:eastAsia="en-US"/>
        </w:rPr>
        <w:footnoteReference w:id="24"/>
      </w:r>
      <w:r w:rsidRPr="008E2C94">
        <w:rPr>
          <w:b/>
          <w:i/>
        </w:rPr>
        <w:t xml:space="preserve"> för utveckling, framställning och spridning av europeisk statistik (programmet för den inre marknaden). Medlemsstaterna bör kunna ansöka om ekonomiskt stöd från programmet för den inre marknaden och från det instrument för tekniskt stöd som inrättats genom Europaparlamentets och rådets förordning (EU) 2021/240</w:t>
      </w:r>
      <w:r w:rsidRPr="008E2C94">
        <w:rPr>
          <w:b/>
          <w:i/>
          <w:szCs w:val="24"/>
          <w:vertAlign w:val="superscript"/>
          <w:lang w:eastAsia="en-US"/>
        </w:rPr>
        <w:footnoteReference w:id="25"/>
      </w:r>
      <w:r w:rsidRPr="008E2C94">
        <w:rPr>
          <w:b/>
          <w:i/>
        </w:rPr>
        <w:t xml:space="preserve"> i enlighet med målen och reglerna för dessa instrument, för att anpassa sina nationella statistiksystem, förbättra metoderna och datakvaliteten för statistiken samt planera och genomföra insamlingar av särskilda uppgifter enligt denna förordning.</w:t>
      </w:r>
    </w:p>
    <w:p w:rsidR="008E2C94" w:rsidRPr="008E2C94" w:rsidRDefault="008E2C94" w:rsidP="008E2C94">
      <w:pPr>
        <w:widowControl/>
        <w:spacing w:before="120" w:after="120" w:line="360" w:lineRule="auto"/>
        <w:ind w:left="850" w:hanging="850"/>
        <w:rPr>
          <w:szCs w:val="24"/>
        </w:rPr>
      </w:pPr>
      <w:r w:rsidRPr="008E2C94">
        <w:t>(36)</w:t>
      </w:r>
      <w:r w:rsidRPr="008E2C94">
        <w:tab/>
        <w:t>I enlighet med Europaparlamentets och rådets förordningar (EU, Euratom) 2018/1046</w:t>
      </w:r>
      <w:r w:rsidRPr="008E2C94">
        <w:rPr>
          <w:szCs w:val="24"/>
          <w:vertAlign w:val="superscript"/>
          <w:lang w:eastAsia="en-US"/>
        </w:rPr>
        <w:footnoteReference w:id="26"/>
      </w:r>
      <w:r w:rsidRPr="008E2C94">
        <w:t xml:space="preserve"> och (EU, Euratom) nr 883/2013</w:t>
      </w:r>
      <w:r w:rsidRPr="008E2C94">
        <w:rPr>
          <w:szCs w:val="24"/>
          <w:vertAlign w:val="superscript"/>
          <w:lang w:eastAsia="en-US"/>
        </w:rPr>
        <w:footnoteReference w:id="27"/>
      </w:r>
      <w:r w:rsidRPr="008E2C94">
        <w:t xml:space="preserve"> och med rådets förordningar (EG, Euratom) nr 2988/95</w:t>
      </w:r>
      <w:r w:rsidRPr="008E2C94">
        <w:rPr>
          <w:szCs w:val="24"/>
          <w:vertAlign w:val="superscript"/>
          <w:lang w:eastAsia="en-US"/>
        </w:rPr>
        <w:footnoteReference w:id="28"/>
      </w:r>
      <w:r w:rsidRPr="008E2C94">
        <w:t>, (Euratom, EG) nr 2185/96</w:t>
      </w:r>
      <w:r w:rsidRPr="008E2C94">
        <w:rPr>
          <w:szCs w:val="24"/>
          <w:vertAlign w:val="superscript"/>
          <w:lang w:eastAsia="en-US"/>
        </w:rPr>
        <w:footnoteReference w:id="29"/>
      </w:r>
      <w:r w:rsidRPr="008E2C94">
        <w:t xml:space="preserve"> och (EU) 2017/1939</w:t>
      </w:r>
      <w:r w:rsidRPr="008E2C94">
        <w:rPr>
          <w:szCs w:val="24"/>
          <w:vertAlign w:val="superscript"/>
          <w:lang w:eastAsia="en-US"/>
        </w:rPr>
        <w:footnoteReference w:id="30"/>
      </w:r>
      <w:r w:rsidRPr="008E2C94">
        <w:t xml:space="preserve"> ska unionens ekonomiska intressen skyddas genom proportionella åtgärder, inbegripet åtgärder avseende förebyggande, upptäckt, korrigering och </w:t>
      </w:r>
      <w:r w:rsidRPr="008E2C94">
        <w:lastRenderedPageBreak/>
        <w:t>utredning av oriktigheter, inklusive bedrägerier, avseende krav på återbetalning av medel som förlorats, betalats ut på felaktiga grunder eller använts felaktigt samt, när så är lämpligt, avseende påförande av administrativa sanktioner. I enlighet med förordningarna (Euratom, EG) nr 2185/96 och (EU, Euratom) nr 883/2013 har Europeiska byrån för bedrägeribekämpning (Olaf) befogenhet att göra administrativa utredningar, inklusive kontroller och inspektioner på platsen, i syfte att fastställa om det har förekommit bedrägerier, korruption eller annan olaglig verksamhet som riktar sig mot unionens ekonomiska intressen. I enlighet med förordning (EU) 2017/1939 har Europeiska åklagarmyndigheten (</w:t>
      </w:r>
      <w:proofErr w:type="spellStart"/>
      <w:r w:rsidRPr="008E2C94">
        <w:t>Eppo</w:t>
      </w:r>
      <w:proofErr w:type="spellEnd"/>
      <w:r w:rsidRPr="008E2C94">
        <w:t>) befogenhet att utreda och lagföra brott som skadar unionens ekonomiska intressen i enlighet med vad som föreskrivs i Europaparlamentets och rådets direktiv (EU) 2017/1371</w:t>
      </w:r>
      <w:r w:rsidRPr="008E2C94">
        <w:rPr>
          <w:szCs w:val="24"/>
          <w:vertAlign w:val="superscript"/>
          <w:lang w:eastAsia="en-US"/>
        </w:rPr>
        <w:footnoteReference w:id="31"/>
      </w:r>
      <w:r w:rsidRPr="008E2C94">
        <w:t xml:space="preserve">. I enlighet med förordning (EU, Euratom) 2018/1046 ska varje person eller enhet som mottar medel från unionen samarbeta till fullo för att skydda unionens ekonomiska intressen, bevilja kommissionen, Olaf, revisionsrätten och – när det gäller de medlemsstater som deltar i fördjupat samarbete enligt förordning (EU) 2017/1939 – </w:t>
      </w:r>
      <w:proofErr w:type="spellStart"/>
      <w:r w:rsidRPr="008E2C94">
        <w:t>Eppo</w:t>
      </w:r>
      <w:proofErr w:type="spellEnd"/>
      <w:r w:rsidRPr="008E2C94">
        <w:t xml:space="preserve"> de rättigheter och den tillgång som krävs och säkerställa att tredje parter som är involverade i förvaltningen av medel från unionen beviljar likvärdiga rättigheter.</w:t>
      </w:r>
    </w:p>
    <w:p w:rsidR="008E2C94" w:rsidRPr="008E2C94" w:rsidRDefault="008E2C94" w:rsidP="008E2C94">
      <w:pPr>
        <w:widowControl/>
        <w:spacing w:before="120" w:after="120" w:line="360" w:lineRule="auto"/>
        <w:ind w:left="850" w:hanging="850"/>
        <w:rPr>
          <w:szCs w:val="24"/>
        </w:rPr>
      </w:pPr>
      <w:r w:rsidRPr="008E2C94">
        <w:t>(37)</w:t>
      </w:r>
      <w:r w:rsidRPr="008E2C94">
        <w:tab/>
        <w:t>För att säkerställa enhetliga villkor för genomförandet av denna förordning när det gäller specificering av krav på data och metadata, tekniska format och förfaranden för tillhandahållande av data och metadata, kvalitetsrapporternas innehåll och struktur, bör kommissionen tilldelas genomförandebefogenheter. Dessa befogenheter bör utövas i enlighet med Europaparlamentets och rådets förordning (EU) nr 182/2011</w:t>
      </w:r>
      <w:r w:rsidRPr="008E2C94">
        <w:rPr>
          <w:szCs w:val="24"/>
          <w:vertAlign w:val="superscript"/>
          <w:lang w:eastAsia="en-US"/>
        </w:rPr>
        <w:footnoteReference w:id="32"/>
      </w:r>
      <w:r w:rsidRPr="008E2C94">
        <w:t>.</w:t>
      </w:r>
    </w:p>
    <w:p w:rsidR="008E2C94" w:rsidRPr="008E2C94" w:rsidRDefault="008E2C94" w:rsidP="008E2C94">
      <w:pPr>
        <w:widowControl/>
        <w:spacing w:before="120" w:after="120" w:line="360" w:lineRule="auto"/>
        <w:ind w:left="850" w:hanging="850"/>
        <w:rPr>
          <w:szCs w:val="24"/>
        </w:rPr>
      </w:pPr>
      <w:r w:rsidRPr="008E2C94">
        <w:t>(38)</w:t>
      </w:r>
      <w:r w:rsidRPr="008E2C94">
        <w:tab/>
        <w:t xml:space="preserve">Om genomförandet av denna förordning, eller av delegerade akter och </w:t>
      </w:r>
      <w:proofErr w:type="spellStart"/>
      <w:r w:rsidRPr="008E2C94">
        <w:t>genomförandeakter</w:t>
      </w:r>
      <w:proofErr w:type="spellEnd"/>
      <w:r w:rsidRPr="008E2C94">
        <w:t xml:space="preserve"> som antas enligt denna förordning, skulle kräva betydande anpassningar av en medlemsstats nationella statistiksystem för tillhandahållande av uppgifter med en periodicitet på mindre än tio år, bör kommissionen, i vederbörligen </w:t>
      </w:r>
      <w:r w:rsidRPr="008E2C94">
        <w:lastRenderedPageBreak/>
        <w:t>motiverade fall och under en begränsad tidsperiod, kunna bevilja den berörda medlemsstaten undantag.</w:t>
      </w:r>
    </w:p>
    <w:p w:rsidR="008E2C94" w:rsidRPr="008E2C94" w:rsidRDefault="008E2C94" w:rsidP="008E2C94">
      <w:pPr>
        <w:widowControl/>
        <w:spacing w:before="120" w:after="120" w:line="360" w:lineRule="auto"/>
        <w:ind w:left="850" w:hanging="850"/>
        <w:rPr>
          <w:szCs w:val="24"/>
        </w:rPr>
      </w:pPr>
      <w:r w:rsidRPr="008E2C94">
        <w:t>(39)</w:t>
      </w:r>
      <w:r w:rsidRPr="008E2C94">
        <w:tab/>
        <w:t>Eftersom målen för denna förordning, nämligen systematisk sammanställning av europeisk statistik om befolkning och bostäder, inte i tillräcklig utsträckning kan uppnås av medlemsstaterna utan snarare, på grund av konsekvens och jämförbarhet,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detta mål.</w:t>
      </w:r>
    </w:p>
    <w:p w:rsidR="008E2C94" w:rsidRPr="008E2C94" w:rsidRDefault="008E2C94" w:rsidP="008E2C94">
      <w:pPr>
        <w:widowControl/>
        <w:spacing w:before="120" w:after="120" w:line="360" w:lineRule="auto"/>
        <w:ind w:left="850" w:hanging="850"/>
        <w:rPr>
          <w:szCs w:val="24"/>
        </w:rPr>
      </w:pPr>
      <w:r w:rsidRPr="008E2C94">
        <w:t>(40)</w:t>
      </w:r>
      <w:r w:rsidRPr="008E2C94">
        <w:tab/>
        <w:t xml:space="preserve">Europeiska datatillsynsmannen har hörts i enlighet med artikel 42.1 i förordning (EU) 2018/1725 och avgav ett yttrande den </w:t>
      </w:r>
      <w:r w:rsidRPr="008E2C94">
        <w:rPr>
          <w:b/>
          <w:i/>
        </w:rPr>
        <w:t>16 mars 2023</w:t>
      </w:r>
      <w:r w:rsidRPr="008E2C94">
        <w:t>.</w:t>
      </w:r>
    </w:p>
    <w:p w:rsidR="008E2C94" w:rsidRPr="008E2C94" w:rsidRDefault="008E2C94" w:rsidP="008E2C94">
      <w:pPr>
        <w:widowControl/>
        <w:spacing w:before="120" w:after="120" w:line="360" w:lineRule="auto"/>
        <w:ind w:left="850" w:hanging="850"/>
        <w:rPr>
          <w:szCs w:val="24"/>
        </w:rPr>
      </w:pPr>
      <w:r w:rsidRPr="008E2C94">
        <w:t>(41)</w:t>
      </w:r>
      <w:r w:rsidRPr="008E2C94">
        <w:tab/>
        <w:t>Kommittén för det europeiska statistiksystemet har rådfrågats.</w:t>
      </w:r>
    </w:p>
    <w:p w:rsidR="008E2C94" w:rsidRPr="008E2C94" w:rsidRDefault="008E2C94" w:rsidP="008E2C94">
      <w:pPr>
        <w:keepNext/>
        <w:widowControl/>
        <w:spacing w:before="120" w:after="120" w:line="360" w:lineRule="auto"/>
        <w:rPr>
          <w:szCs w:val="24"/>
        </w:rPr>
      </w:pPr>
      <w:r w:rsidRPr="008E2C94">
        <w:t>HÄRIGENOM FÖRESKRIVS FÖLJANDE.</w:t>
      </w:r>
    </w:p>
    <w:p w:rsidR="008E2C94" w:rsidRPr="008E2C94" w:rsidRDefault="008E2C94" w:rsidP="008E2C94">
      <w:pPr>
        <w:widowControl/>
        <w:spacing w:before="120" w:after="120" w:line="360" w:lineRule="auto"/>
        <w:jc w:val="center"/>
        <w:rPr>
          <w:szCs w:val="24"/>
        </w:rPr>
      </w:pPr>
      <w:r w:rsidRPr="008E2C94">
        <w:br w:type="page"/>
      </w:r>
      <w:r w:rsidRPr="008E2C94">
        <w:lastRenderedPageBreak/>
        <w:t>Artikel 1</w:t>
      </w:r>
      <w:r w:rsidRPr="008E2C94">
        <w:br/>
        <w:t>Innehåll</w:t>
      </w:r>
    </w:p>
    <w:p w:rsidR="008E2C94" w:rsidRPr="008E2C94" w:rsidRDefault="008E2C94" w:rsidP="008E2C94">
      <w:pPr>
        <w:widowControl/>
        <w:spacing w:before="120" w:after="120" w:line="360" w:lineRule="auto"/>
        <w:rPr>
          <w:szCs w:val="24"/>
        </w:rPr>
      </w:pPr>
      <w:r w:rsidRPr="008E2C94">
        <w:t>Genom denna förordning fastställs en gemensam rättslig ram för utveckling, framställning och spridning av europeisk statistik över befolkning och bostäder.</w:t>
      </w:r>
    </w:p>
    <w:p w:rsidR="008E2C94" w:rsidRPr="008E2C94" w:rsidRDefault="008E2C94" w:rsidP="008E2C94">
      <w:pPr>
        <w:widowControl/>
        <w:spacing w:before="120" w:after="120" w:line="360" w:lineRule="auto"/>
        <w:jc w:val="center"/>
        <w:rPr>
          <w:szCs w:val="24"/>
        </w:rPr>
      </w:pPr>
      <w:r w:rsidRPr="008E2C94">
        <w:t>Artikel 2</w:t>
      </w:r>
      <w:r w:rsidRPr="008E2C94">
        <w:br/>
        <w:t>Definitioner</w:t>
      </w:r>
    </w:p>
    <w:p w:rsidR="008E2C94" w:rsidRPr="008E2C94" w:rsidRDefault="008E2C94" w:rsidP="008E2C94">
      <w:pPr>
        <w:widowControl/>
        <w:spacing w:before="120" w:after="120" w:line="360" w:lineRule="auto"/>
        <w:rPr>
          <w:szCs w:val="24"/>
        </w:rPr>
      </w:pPr>
      <w:r w:rsidRPr="008E2C94">
        <w:t>I denna förordning gäller följande definitioner:</w:t>
      </w:r>
    </w:p>
    <w:p w:rsidR="008E2C94" w:rsidRPr="008E2C94" w:rsidRDefault="008E2C94" w:rsidP="008E2C94">
      <w:pPr>
        <w:widowControl/>
        <w:spacing w:before="120" w:after="120" w:line="360" w:lineRule="auto"/>
        <w:ind w:left="850" w:hanging="850"/>
        <w:rPr>
          <w:szCs w:val="24"/>
        </w:rPr>
      </w:pPr>
      <w:r w:rsidRPr="008E2C94">
        <w:t>1.</w:t>
      </w:r>
      <w:r w:rsidRPr="008E2C94">
        <w:tab/>
      </w:r>
      <w:r w:rsidRPr="008E2C94">
        <w:rPr>
          <w:i/>
          <w:iCs/>
        </w:rPr>
        <w:t>medborgarskap</w:t>
      </w:r>
      <w:r w:rsidRPr="008E2C94">
        <w:t>: den särskilda rättsliga anknytning som finns mellan en fysisk person och en stat och som förvärvats vid födseln eller genom naturalisering, antingen genom förklaring, val, giftermål, adoption eller på annat sätt i enlighet med nationell rätt.</w:t>
      </w:r>
    </w:p>
    <w:p w:rsidR="008E2C94" w:rsidRPr="008E2C94" w:rsidRDefault="008E2C94" w:rsidP="008E2C94">
      <w:pPr>
        <w:widowControl/>
        <w:spacing w:before="120" w:after="120" w:line="360" w:lineRule="auto"/>
        <w:ind w:left="850" w:hanging="850"/>
        <w:rPr>
          <w:szCs w:val="24"/>
        </w:rPr>
      </w:pPr>
      <w:r w:rsidRPr="008E2C94">
        <w:t>2.</w:t>
      </w:r>
      <w:r w:rsidRPr="008E2C94">
        <w:tab/>
      </w:r>
      <w:r w:rsidRPr="008E2C94">
        <w:rPr>
          <w:i/>
          <w:iCs/>
        </w:rPr>
        <w:t>stadigvarande bosättning</w:t>
      </w:r>
      <w:r w:rsidRPr="008E2C94">
        <w:t>: den plats där en person normalt har sin dygnsvila, bortsett från tillfällig frånvaro för rekreation, semester, besök hos vänner och släktingar, affärer, läkarbehandling eller religiös pilgrimsfärd. Endast följande personer ska anses vara stadigvarande bosatta i ett visst geografiskt område:</w:t>
      </w:r>
    </w:p>
    <w:p w:rsidR="008E2C94" w:rsidRPr="008E2C94" w:rsidRDefault="008E2C94" w:rsidP="008E2C94">
      <w:pPr>
        <w:widowControl/>
        <w:spacing w:before="120" w:after="120" w:line="360" w:lineRule="auto"/>
        <w:ind w:left="1416" w:hanging="566"/>
        <w:rPr>
          <w:szCs w:val="24"/>
        </w:rPr>
      </w:pPr>
      <w:r w:rsidRPr="008E2C94">
        <w:t>a)</w:t>
      </w:r>
      <w:r w:rsidRPr="008E2C94">
        <w:tab/>
        <w:t>De som har bott på platsen för sin stadigvarande bosättning större delen av tiden under de 12 månaderna före och till och med referensdatumet.</w:t>
      </w:r>
    </w:p>
    <w:p w:rsidR="008E2C94" w:rsidRPr="008E2C94" w:rsidRDefault="008E2C94" w:rsidP="008E2C94">
      <w:pPr>
        <w:widowControl/>
        <w:spacing w:before="120" w:after="120" w:line="360" w:lineRule="auto"/>
        <w:ind w:left="1416" w:hanging="566"/>
        <w:rPr>
          <w:szCs w:val="24"/>
        </w:rPr>
      </w:pPr>
      <w:r w:rsidRPr="008E2C94">
        <w:t>b)</w:t>
      </w:r>
      <w:r w:rsidRPr="008E2C94">
        <w:tab/>
        <w:t>De som anlänt till platsen för sin stadigvarande bosättning under de 12 månaderna före och till och med referensdatumet, och som avser eller förväntas vistas där större delen av tiden i minst 12 månader efter ankomsten.</w:t>
      </w:r>
    </w:p>
    <w:p w:rsidR="008E2C94" w:rsidRPr="008E2C94" w:rsidRDefault="008E2C94" w:rsidP="008E2C94">
      <w:pPr>
        <w:widowControl/>
        <w:spacing w:before="120" w:after="120" w:line="360" w:lineRule="auto"/>
        <w:ind w:left="850" w:hanging="850"/>
        <w:rPr>
          <w:szCs w:val="24"/>
        </w:rPr>
      </w:pPr>
      <w:r w:rsidRPr="008E2C94">
        <w:t>3.</w:t>
      </w:r>
      <w:r w:rsidRPr="008E2C94">
        <w:tab/>
      </w:r>
      <w:r w:rsidRPr="008E2C94">
        <w:rPr>
          <w:i/>
          <w:iCs/>
        </w:rPr>
        <w:t>livstecken</w:t>
      </w:r>
      <w:r w:rsidRPr="008E2C94">
        <w:t>: all information som visar att en person faktiskt befinner sig och är stadigvarande bosatt på det berörda territoriet, inbegripet information som erhållits från lämpliga källor eller kombinationer av källor, inbegripet digitala spår av personen.</w:t>
      </w:r>
    </w:p>
    <w:p w:rsidR="008E2C94" w:rsidRPr="008E2C94" w:rsidRDefault="008E2C94" w:rsidP="008E2C94">
      <w:pPr>
        <w:widowControl/>
        <w:spacing w:before="120" w:after="120" w:line="360" w:lineRule="auto"/>
        <w:ind w:left="850" w:hanging="850"/>
        <w:rPr>
          <w:szCs w:val="24"/>
        </w:rPr>
      </w:pPr>
      <w:r w:rsidRPr="008E2C94">
        <w:t>4.</w:t>
      </w:r>
      <w:r w:rsidRPr="008E2C94">
        <w:tab/>
        <w:t>▌</w:t>
      </w:r>
    </w:p>
    <w:p w:rsidR="008E2C94" w:rsidRPr="008E2C94" w:rsidRDefault="008E2C94" w:rsidP="008E2C94">
      <w:pPr>
        <w:widowControl/>
        <w:spacing w:before="120" w:after="120" w:line="360" w:lineRule="auto"/>
        <w:ind w:left="850" w:hanging="850"/>
        <w:rPr>
          <w:szCs w:val="24"/>
        </w:rPr>
      </w:pPr>
      <w:r w:rsidRPr="008E2C94">
        <w:t>5.</w:t>
      </w:r>
      <w:r w:rsidRPr="008E2C94">
        <w:tab/>
      </w:r>
      <w:r w:rsidRPr="008E2C94">
        <w:rPr>
          <w:i/>
          <w:iCs/>
        </w:rPr>
        <w:t>internationell migration</w:t>
      </w:r>
      <w:r w:rsidRPr="008E2C94">
        <w:t>: när en person stadigvarande bosätter sig på en medlemsstats eller ett tredjelands territorium och tidigare har varit stadigvarande bosatt i en annan medlemsstat eller ett annat tredjeland.</w:t>
      </w:r>
    </w:p>
    <w:p w:rsidR="008E2C94" w:rsidRPr="008E2C94" w:rsidRDefault="008E2C94" w:rsidP="008E2C94">
      <w:pPr>
        <w:widowControl/>
        <w:spacing w:before="120" w:after="120" w:line="360" w:lineRule="auto"/>
        <w:ind w:left="850" w:hanging="850"/>
        <w:rPr>
          <w:szCs w:val="24"/>
        </w:rPr>
      </w:pPr>
      <w:r w:rsidRPr="008E2C94">
        <w:t>6.</w:t>
      </w:r>
      <w:r w:rsidRPr="008E2C94">
        <w:tab/>
      </w:r>
      <w:r w:rsidRPr="008E2C94">
        <w:rPr>
          <w:i/>
          <w:iCs/>
        </w:rPr>
        <w:t>invandrare</w:t>
      </w:r>
      <w:r w:rsidRPr="008E2C94">
        <w:t>: person som genom internationell migration under referensperioden stadigvarande har bosatt sig i det rapporterande landet.</w:t>
      </w:r>
    </w:p>
    <w:p w:rsidR="008E2C94" w:rsidRPr="008E2C94" w:rsidRDefault="008E2C94" w:rsidP="008E2C94">
      <w:pPr>
        <w:widowControl/>
        <w:spacing w:before="120" w:after="120" w:line="360" w:lineRule="auto"/>
        <w:ind w:left="850" w:hanging="850"/>
        <w:rPr>
          <w:szCs w:val="24"/>
        </w:rPr>
      </w:pPr>
      <w:r w:rsidRPr="008E2C94">
        <w:lastRenderedPageBreak/>
        <w:t>7.</w:t>
      </w:r>
      <w:r w:rsidRPr="008E2C94">
        <w:tab/>
      </w:r>
      <w:r w:rsidRPr="008E2C94">
        <w:rPr>
          <w:i/>
          <w:iCs/>
        </w:rPr>
        <w:t>utvandrare</w:t>
      </w:r>
      <w:r w:rsidRPr="008E2C94">
        <w:t>: person som, genom internationell migration under referensperioden, stadigvarande har bosatt sig utanför det rapporterande landet, och som tidigare har varit stadigvarande bosatt i det rapporterande landet.</w:t>
      </w:r>
    </w:p>
    <w:p w:rsidR="008E2C94" w:rsidRPr="008E2C94" w:rsidRDefault="008E2C94" w:rsidP="008E2C94">
      <w:pPr>
        <w:widowControl/>
        <w:spacing w:before="120" w:after="120" w:line="360" w:lineRule="auto"/>
        <w:ind w:left="850" w:hanging="850"/>
        <w:rPr>
          <w:szCs w:val="24"/>
        </w:rPr>
      </w:pPr>
      <w:r w:rsidRPr="008E2C94">
        <w:t>8.</w:t>
      </w:r>
      <w:r w:rsidRPr="008E2C94">
        <w:tab/>
      </w:r>
      <w:r w:rsidRPr="008E2C94">
        <w:rPr>
          <w:i/>
          <w:iCs/>
        </w:rPr>
        <w:t>intern migration</w:t>
      </w:r>
      <w:r w:rsidRPr="008E2C94">
        <w:t>: när en person byter sin stadigvarande bosättning inom det rapporterande landets territorium.</w:t>
      </w:r>
    </w:p>
    <w:p w:rsidR="008E2C94" w:rsidRPr="008E2C94" w:rsidRDefault="008E2C94" w:rsidP="008E2C94">
      <w:pPr>
        <w:widowControl/>
        <w:spacing w:before="120" w:after="120" w:line="360" w:lineRule="auto"/>
        <w:ind w:left="850" w:hanging="850"/>
        <w:rPr>
          <w:szCs w:val="24"/>
        </w:rPr>
      </w:pPr>
      <w:r w:rsidRPr="008E2C94">
        <w:rPr>
          <w:b/>
          <w:i/>
        </w:rPr>
        <w:t>8a.</w:t>
      </w:r>
      <w:r w:rsidRPr="008E2C94">
        <w:tab/>
      </w:r>
      <w:r w:rsidRPr="008E2C94">
        <w:rPr>
          <w:b/>
          <w:i/>
          <w:iCs/>
        </w:rPr>
        <w:t>befolkningsgrupper som är svåra att nå</w:t>
      </w:r>
      <w:r w:rsidRPr="008E2C94">
        <w:rPr>
          <w:b/>
          <w:i/>
        </w:rPr>
        <w:t>: grupper av personer som hindras eller upplever att de hindras från att vara fullständigt representerade eller identifierade i insamlingen av statistiska uppgifter, antingen på grund av bristande täckning av respektive grupp eller på grund av att det saknas särskilda karakteristikum för att identifiera dem.</w:t>
      </w:r>
    </w:p>
    <w:p w:rsidR="008E2C94" w:rsidRPr="008E2C94" w:rsidRDefault="008E2C94" w:rsidP="008E2C94">
      <w:pPr>
        <w:widowControl/>
        <w:spacing w:before="120" w:after="120" w:line="360" w:lineRule="auto"/>
        <w:ind w:left="850" w:hanging="850"/>
        <w:rPr>
          <w:szCs w:val="24"/>
        </w:rPr>
      </w:pPr>
      <w:r w:rsidRPr="008E2C94">
        <w:t>9.</w:t>
      </w:r>
      <w:r w:rsidRPr="008E2C94">
        <w:tab/>
      </w:r>
      <w:r w:rsidRPr="008E2C94">
        <w:rPr>
          <w:i/>
          <w:iCs/>
        </w:rPr>
        <w:t>bostadsutrymme</w:t>
      </w:r>
      <w:r w:rsidRPr="008E2C94">
        <w:t>: tillfällig eller permanent byggnad, skydd eller inkvarteringsplats där en eller flera personer bor, oavsett om bostadsutrymmet är utformat eller avsett för boende.</w:t>
      </w:r>
    </w:p>
    <w:p w:rsidR="008E2C94" w:rsidRPr="008E2C94" w:rsidRDefault="008E2C94" w:rsidP="008E2C94">
      <w:pPr>
        <w:widowControl/>
        <w:spacing w:before="120" w:after="120" w:line="360" w:lineRule="auto"/>
        <w:ind w:left="850" w:hanging="850"/>
        <w:rPr>
          <w:b/>
          <w:i/>
          <w:szCs w:val="24"/>
        </w:rPr>
      </w:pPr>
      <w:r w:rsidRPr="008E2C94">
        <w:t>10.</w:t>
      </w:r>
      <w:r w:rsidRPr="008E2C94">
        <w:tab/>
      </w:r>
      <w:r w:rsidRPr="008E2C94">
        <w:rPr>
          <w:b/>
          <w:i/>
        </w:rPr>
        <w:t>konventionella bostäder</w:t>
      </w:r>
      <w:r w:rsidRPr="008E2C94">
        <w:t xml:space="preserve">: </w:t>
      </w:r>
      <w:r w:rsidRPr="008E2C94">
        <w:rPr>
          <w:b/>
          <w:i/>
        </w:rPr>
        <w:t>strukturellt separata och oberoende konstruktioner</w:t>
      </w:r>
      <w:r w:rsidRPr="008E2C94">
        <w:t xml:space="preserve"> på </w:t>
      </w:r>
      <w:r w:rsidRPr="008E2C94">
        <w:rPr>
          <w:b/>
          <w:i/>
        </w:rPr>
        <w:t>fasta platser</w:t>
      </w:r>
      <w:r w:rsidRPr="008E2C94">
        <w:t xml:space="preserve"> som är </w:t>
      </w:r>
      <w:r w:rsidRPr="008E2C94">
        <w:rPr>
          <w:b/>
          <w:i/>
        </w:rPr>
        <w:t>avsedda</w:t>
      </w:r>
      <w:r w:rsidRPr="008E2C94">
        <w:t xml:space="preserve"> för varaktigt boende</w:t>
      </w:r>
      <w:r w:rsidRPr="008E2C94">
        <w:rPr>
          <w:b/>
          <w:i/>
        </w:rPr>
        <w:t xml:space="preserve">, och som på referensdagen </w:t>
      </w:r>
    </w:p>
    <w:p w:rsidR="008E2C94" w:rsidRPr="008E2C94" w:rsidRDefault="008E2C94" w:rsidP="008E2C94">
      <w:pPr>
        <w:widowControl/>
        <w:spacing w:before="120" w:after="120" w:line="360" w:lineRule="auto"/>
        <w:ind w:left="850"/>
        <w:rPr>
          <w:b/>
          <w:i/>
          <w:szCs w:val="24"/>
        </w:rPr>
      </w:pPr>
      <w:r w:rsidRPr="008E2C94">
        <w:rPr>
          <w:b/>
          <w:i/>
        </w:rPr>
        <w:t xml:space="preserve">a) används som stadigvarande bosättning, </w:t>
      </w:r>
    </w:p>
    <w:p w:rsidR="008E2C94" w:rsidRPr="008E2C94" w:rsidRDefault="008E2C94" w:rsidP="008E2C94">
      <w:pPr>
        <w:widowControl/>
        <w:spacing w:before="120" w:after="120" w:line="360" w:lineRule="auto"/>
        <w:ind w:left="850"/>
        <w:rPr>
          <w:b/>
          <w:i/>
          <w:szCs w:val="24"/>
        </w:rPr>
      </w:pPr>
      <w:r w:rsidRPr="008E2C94">
        <w:rPr>
          <w:b/>
          <w:i/>
        </w:rPr>
        <w:t xml:space="preserve">b) är obebodda eller </w:t>
      </w:r>
    </w:p>
    <w:p w:rsidR="008E2C94" w:rsidRPr="008E2C94" w:rsidRDefault="008E2C94" w:rsidP="008E2C94">
      <w:pPr>
        <w:widowControl/>
        <w:spacing w:before="120" w:after="120" w:line="360" w:lineRule="auto"/>
        <w:ind w:left="850"/>
        <w:rPr>
          <w:b/>
          <w:i/>
          <w:szCs w:val="24"/>
        </w:rPr>
      </w:pPr>
      <w:r w:rsidRPr="008E2C94">
        <w:rPr>
          <w:b/>
          <w:i/>
        </w:rPr>
        <w:t xml:space="preserve">c) används som fritidsbostad eller säsongsbostad. </w:t>
      </w:r>
    </w:p>
    <w:p w:rsidR="008E2C94" w:rsidRPr="008E2C94" w:rsidRDefault="008E2C94" w:rsidP="008E2C94">
      <w:pPr>
        <w:widowControl/>
        <w:spacing w:before="120" w:after="120" w:line="360" w:lineRule="auto"/>
        <w:ind w:left="851" w:hanging="851"/>
        <w:rPr>
          <w:b/>
          <w:i/>
          <w:szCs w:val="24"/>
        </w:rPr>
      </w:pPr>
      <w:r w:rsidRPr="008E2C94">
        <w:rPr>
          <w:b/>
          <w:i/>
        </w:rPr>
        <w:t>x</w:t>
      </w:r>
      <w:r w:rsidR="009B0BD4">
        <w:rPr>
          <w:b/>
          <w:i/>
        </w:rPr>
        <w:t>.</w:t>
      </w:r>
      <w:r w:rsidRPr="008E2C94">
        <w:rPr>
          <w:b/>
          <w:i/>
        </w:rPr>
        <w:tab/>
      </w:r>
      <w:r w:rsidRPr="008E2C94">
        <w:rPr>
          <w:b/>
          <w:i/>
          <w:iCs/>
        </w:rPr>
        <w:t>separata konstruktioner</w:t>
      </w:r>
      <w:r w:rsidRPr="008E2C94">
        <w:rPr>
          <w:b/>
          <w:i/>
        </w:rPr>
        <w:t>: konstruktioner med väggar och tak så att en eller flera personer kan bosätta sig där oberoende av andra.</w:t>
      </w:r>
    </w:p>
    <w:p w:rsidR="008E2C94" w:rsidRPr="008E2C94" w:rsidRDefault="008E2C94" w:rsidP="008E2C94">
      <w:pPr>
        <w:widowControl/>
        <w:spacing w:before="120" w:after="120" w:line="360" w:lineRule="auto"/>
        <w:ind w:left="851" w:hanging="851"/>
        <w:rPr>
          <w:szCs w:val="24"/>
        </w:rPr>
      </w:pPr>
      <w:r w:rsidRPr="008E2C94">
        <w:rPr>
          <w:b/>
          <w:i/>
        </w:rPr>
        <w:t>xx</w:t>
      </w:r>
      <w:r w:rsidR="009B0BD4">
        <w:rPr>
          <w:b/>
          <w:i/>
        </w:rPr>
        <w:t>.</w:t>
      </w:r>
      <w:r w:rsidRPr="008E2C94">
        <w:rPr>
          <w:b/>
          <w:i/>
        </w:rPr>
        <w:tab/>
      </w:r>
      <w:r w:rsidRPr="008E2C94">
        <w:rPr>
          <w:b/>
          <w:i/>
          <w:iCs/>
        </w:rPr>
        <w:t>oberoende konstruktioner</w:t>
      </w:r>
      <w:r w:rsidRPr="008E2C94">
        <w:rPr>
          <w:b/>
          <w:i/>
        </w:rPr>
        <w:t>: konstruktioner som kan nås direkt från en gata eller ett trapphus, en passage, en gång eller från marknivå.</w:t>
      </w:r>
    </w:p>
    <w:p w:rsidR="008E2C94" w:rsidRPr="008E2C94" w:rsidRDefault="008E2C94" w:rsidP="008E2C94">
      <w:pPr>
        <w:widowControl/>
        <w:spacing w:before="120" w:after="120" w:line="360" w:lineRule="auto"/>
        <w:ind w:left="850" w:hanging="850"/>
        <w:rPr>
          <w:szCs w:val="24"/>
        </w:rPr>
      </w:pPr>
      <w:r w:rsidRPr="008E2C94">
        <w:t>11.</w:t>
      </w:r>
      <w:r w:rsidRPr="008E2C94">
        <w:tab/>
      </w:r>
      <w:r w:rsidRPr="008E2C94">
        <w:rPr>
          <w:i/>
          <w:iCs/>
        </w:rPr>
        <w:t>bostadshus</w:t>
      </w:r>
      <w:r w:rsidRPr="008E2C94">
        <w:t>: permanent byggnad som består av en eller flera konventionella bostäder eller som är avsedd för institutionellt boende eller kollektivboende.</w:t>
      </w:r>
    </w:p>
    <w:p w:rsidR="008E2C94" w:rsidRPr="008E2C94" w:rsidRDefault="008E2C94" w:rsidP="008E2C94">
      <w:pPr>
        <w:widowControl/>
        <w:spacing w:before="120" w:after="120" w:line="360" w:lineRule="auto"/>
        <w:ind w:left="850" w:hanging="850"/>
        <w:rPr>
          <w:szCs w:val="24"/>
        </w:rPr>
      </w:pPr>
      <w:r w:rsidRPr="008E2C94">
        <w:t>12.</w:t>
      </w:r>
      <w:r w:rsidRPr="008E2C94">
        <w:tab/>
      </w:r>
      <w:r w:rsidRPr="008E2C94">
        <w:rPr>
          <w:i/>
          <w:iCs/>
        </w:rPr>
        <w:t>hushåll</w:t>
      </w:r>
      <w:r w:rsidRPr="008E2C94">
        <w:t>: grupp av två eller flera personer som delar bostadsutrymmen ▌eller en enskild person som inte ingår i något annat hushåll.</w:t>
      </w:r>
    </w:p>
    <w:p w:rsidR="008E2C94" w:rsidRPr="008E2C94" w:rsidRDefault="008E2C94" w:rsidP="008E2C94">
      <w:pPr>
        <w:widowControl/>
        <w:spacing w:before="120" w:after="120" w:line="360" w:lineRule="auto"/>
        <w:ind w:left="850" w:hanging="850"/>
        <w:rPr>
          <w:szCs w:val="24"/>
        </w:rPr>
      </w:pPr>
      <w:r w:rsidRPr="008E2C94">
        <w:rPr>
          <w:b/>
          <w:i/>
        </w:rPr>
        <w:t>12a.</w:t>
      </w:r>
      <w:r w:rsidRPr="008E2C94">
        <w:tab/>
      </w:r>
      <w:r w:rsidRPr="008E2C94">
        <w:rPr>
          <w:b/>
          <w:i/>
          <w:iCs/>
        </w:rPr>
        <w:t>institution</w:t>
      </w:r>
      <w:r w:rsidRPr="008E2C94">
        <w:rPr>
          <w:b/>
          <w:i/>
        </w:rPr>
        <w:t>: en kollektiv bostad för långtidsboende och tillhandahållande av tjänster som behövs för det dagliga livet för en grupp människor.</w:t>
      </w:r>
    </w:p>
    <w:p w:rsidR="008E2C94" w:rsidRPr="008E2C94" w:rsidRDefault="008E2C94" w:rsidP="008E2C94">
      <w:pPr>
        <w:widowControl/>
        <w:spacing w:before="120" w:after="120" w:line="360" w:lineRule="auto"/>
        <w:ind w:left="850" w:hanging="850"/>
        <w:rPr>
          <w:szCs w:val="24"/>
        </w:rPr>
      </w:pPr>
      <w:r w:rsidRPr="008E2C94">
        <w:t>13.</w:t>
      </w:r>
      <w:r w:rsidRPr="008E2C94">
        <w:tab/>
      </w:r>
      <w:r w:rsidRPr="008E2C94">
        <w:rPr>
          <w:i/>
          <w:iCs/>
        </w:rPr>
        <w:t>familj</w:t>
      </w:r>
      <w:r w:rsidRPr="008E2C94">
        <w:t xml:space="preserve">: grupp av två eller flera personer som </w:t>
      </w:r>
      <w:r w:rsidRPr="008E2C94">
        <w:rPr>
          <w:b/>
          <w:i/>
        </w:rPr>
        <w:t>under större delen av tiden</w:t>
      </w:r>
      <w:r w:rsidRPr="008E2C94">
        <w:t xml:space="preserve"> bor i samma hushåll och som är närstående genom föräldraskap eller genom äktenskap, registrerat partnerskap eller samboförhållande.</w:t>
      </w:r>
    </w:p>
    <w:p w:rsidR="008E2C94" w:rsidRPr="008E2C94" w:rsidRDefault="008E2C94" w:rsidP="008E2C94">
      <w:pPr>
        <w:widowControl/>
        <w:spacing w:before="120" w:after="120" w:line="360" w:lineRule="auto"/>
        <w:ind w:left="850" w:hanging="850"/>
        <w:rPr>
          <w:szCs w:val="24"/>
        </w:rPr>
      </w:pPr>
      <w:r w:rsidRPr="008E2C94">
        <w:lastRenderedPageBreak/>
        <w:t>14.</w:t>
      </w:r>
      <w:r w:rsidRPr="008E2C94">
        <w:tab/>
      </w:r>
      <w:r w:rsidRPr="008E2C94">
        <w:rPr>
          <w:i/>
          <w:iCs/>
        </w:rPr>
        <w:t>administrativa register</w:t>
      </w:r>
      <w:r w:rsidRPr="008E2C94">
        <w:t>: uppgifter som en icke-statistisk källa, oftast ett register som innehas av ett offentligt organ, tar fram utan att det huvudsakliga syftet är att tillhandahålla statistik.</w:t>
      </w:r>
    </w:p>
    <w:p w:rsidR="008E2C94" w:rsidRPr="008E2C94" w:rsidRDefault="008E2C94" w:rsidP="008E2C94">
      <w:pPr>
        <w:widowControl/>
        <w:spacing w:before="120" w:after="120" w:line="360" w:lineRule="auto"/>
        <w:ind w:left="850" w:hanging="850"/>
        <w:rPr>
          <w:szCs w:val="24"/>
        </w:rPr>
      </w:pPr>
      <w:r w:rsidRPr="008E2C94">
        <w:t>15.</w:t>
      </w:r>
      <w:r w:rsidRPr="008E2C94">
        <w:tab/>
      </w:r>
      <w:r w:rsidRPr="008E2C94">
        <w:rPr>
          <w:i/>
          <w:iCs/>
        </w:rPr>
        <w:t>område</w:t>
      </w:r>
      <w:r w:rsidRPr="008E2C94">
        <w:t>: en eller flera datauppsättningar som täcker särskilda ämnen.</w:t>
      </w:r>
    </w:p>
    <w:p w:rsidR="008E2C94" w:rsidRPr="008E2C94" w:rsidRDefault="008E2C94" w:rsidP="008E2C94">
      <w:pPr>
        <w:widowControl/>
        <w:spacing w:before="120" w:after="120" w:line="360" w:lineRule="auto"/>
        <w:ind w:left="850" w:hanging="850"/>
        <w:rPr>
          <w:szCs w:val="24"/>
        </w:rPr>
      </w:pPr>
      <w:r w:rsidRPr="008E2C94">
        <w:t>16.</w:t>
      </w:r>
      <w:r w:rsidRPr="008E2C94">
        <w:tab/>
      </w:r>
      <w:r w:rsidRPr="008E2C94">
        <w:rPr>
          <w:i/>
          <w:iCs/>
        </w:rPr>
        <w:t>ämne</w:t>
      </w:r>
      <w:r w:rsidRPr="008E2C94">
        <w:t>: det informationsinnehåll som ska samlas in om de statistiska enheterna, där varje ämne omfattar en rad specifika ämnen.</w:t>
      </w:r>
    </w:p>
    <w:p w:rsidR="008E2C94" w:rsidRPr="008E2C94" w:rsidRDefault="008E2C94" w:rsidP="008E2C94">
      <w:pPr>
        <w:widowControl/>
        <w:spacing w:before="120" w:after="120" w:line="360" w:lineRule="auto"/>
        <w:ind w:left="850" w:hanging="850"/>
        <w:rPr>
          <w:szCs w:val="24"/>
        </w:rPr>
      </w:pPr>
      <w:r w:rsidRPr="008E2C94">
        <w:t>17.</w:t>
      </w:r>
      <w:r w:rsidRPr="008E2C94">
        <w:tab/>
      </w:r>
      <w:r w:rsidRPr="008E2C94">
        <w:rPr>
          <w:i/>
          <w:iCs/>
        </w:rPr>
        <w:t>specifikt ämne</w:t>
      </w:r>
      <w:r w:rsidRPr="008E2C94">
        <w:t>: det detaljerade informationsinnehåll som ska samlas in om de statistiska enheter som rör ett ämne, där varje specifikt ämne omfattar en eller flera variabler.</w:t>
      </w:r>
    </w:p>
    <w:p w:rsidR="008E2C94" w:rsidRPr="008E2C94" w:rsidRDefault="008E2C94" w:rsidP="008E2C94">
      <w:pPr>
        <w:widowControl/>
        <w:spacing w:before="120" w:after="120" w:line="360" w:lineRule="auto"/>
        <w:ind w:left="850" w:hanging="850"/>
        <w:rPr>
          <w:szCs w:val="24"/>
        </w:rPr>
      </w:pPr>
      <w:r w:rsidRPr="008E2C94">
        <w:t>18.</w:t>
      </w:r>
      <w:r w:rsidRPr="008E2C94">
        <w:tab/>
      </w:r>
      <w:r w:rsidRPr="008E2C94">
        <w:rPr>
          <w:i/>
          <w:iCs/>
        </w:rPr>
        <w:t>datauppsättning</w:t>
      </w:r>
      <w:r w:rsidRPr="008E2C94">
        <w:t>: ▌en eller flera variabler som organiseras i strukturerad form.</w:t>
      </w:r>
    </w:p>
    <w:p w:rsidR="008E2C94" w:rsidRPr="008E2C94" w:rsidRDefault="008E2C94" w:rsidP="008E2C94">
      <w:pPr>
        <w:widowControl/>
        <w:spacing w:before="120" w:after="120" w:line="360" w:lineRule="auto"/>
        <w:ind w:left="850" w:hanging="850"/>
        <w:rPr>
          <w:szCs w:val="24"/>
        </w:rPr>
      </w:pPr>
      <w:r w:rsidRPr="008E2C94">
        <w:t>19.</w:t>
      </w:r>
      <w:r w:rsidRPr="008E2C94">
        <w:tab/>
      </w:r>
      <w:r w:rsidRPr="008E2C94">
        <w:rPr>
          <w:i/>
          <w:iCs/>
        </w:rPr>
        <w:t>folk- och bostadsräkning</w:t>
      </w:r>
      <w:r w:rsidRPr="008E2C94">
        <w:t>: de detaljerade datauppsättningar och metadata som vart tionde år ska tillhandahållas enligt denna förordning.</w:t>
      </w:r>
    </w:p>
    <w:p w:rsidR="008E2C94" w:rsidRPr="008E2C94" w:rsidRDefault="008E2C94" w:rsidP="008E2C94">
      <w:pPr>
        <w:widowControl/>
        <w:spacing w:before="120" w:after="120" w:line="360" w:lineRule="auto"/>
        <w:ind w:left="850" w:hanging="850"/>
        <w:rPr>
          <w:szCs w:val="24"/>
        </w:rPr>
      </w:pPr>
      <w:r w:rsidRPr="008E2C94">
        <w:t>20.</w:t>
      </w:r>
      <w:r w:rsidRPr="008E2C94">
        <w:tab/>
      </w:r>
      <w:r w:rsidRPr="008E2C94">
        <w:rPr>
          <w:i/>
          <w:iCs/>
        </w:rPr>
        <w:t>statistisk enhet</w:t>
      </w:r>
      <w:r w:rsidRPr="008E2C94">
        <w:t>: ett element i en population av enheter, nämligen personer, föremål eller händelser om vilka uppgifter samlas in och statistik ▌sammanställs.</w:t>
      </w:r>
    </w:p>
    <w:p w:rsidR="008E2C94" w:rsidRPr="008E2C94" w:rsidRDefault="008E2C94" w:rsidP="008E2C94">
      <w:pPr>
        <w:widowControl/>
        <w:spacing w:before="120" w:after="120" w:line="360" w:lineRule="auto"/>
        <w:ind w:left="850" w:hanging="850"/>
        <w:rPr>
          <w:szCs w:val="24"/>
        </w:rPr>
      </w:pPr>
      <w:r w:rsidRPr="008E2C94">
        <w:t>21.</w:t>
      </w:r>
      <w:r w:rsidRPr="008E2C94">
        <w:tab/>
      </w:r>
      <w:r w:rsidRPr="008E2C94">
        <w:rPr>
          <w:i/>
          <w:iCs/>
        </w:rPr>
        <w:t>variabel</w:t>
      </w:r>
      <w:r w:rsidRPr="008E2C94">
        <w:t>: ett karakteristikum för en statistisk enhet som kan anta fler än ett värde i en uppsättning värden.</w:t>
      </w:r>
    </w:p>
    <w:p w:rsidR="008E2C94" w:rsidRPr="008E2C94" w:rsidRDefault="008E2C94" w:rsidP="008E2C94">
      <w:pPr>
        <w:widowControl/>
        <w:spacing w:before="120" w:after="120" w:line="360" w:lineRule="auto"/>
        <w:ind w:left="850" w:hanging="850"/>
        <w:rPr>
          <w:szCs w:val="24"/>
        </w:rPr>
      </w:pPr>
      <w:r w:rsidRPr="008E2C94">
        <w:t>22.</w:t>
      </w:r>
      <w:r w:rsidRPr="008E2C94">
        <w:tab/>
      </w:r>
      <w:r w:rsidRPr="008E2C94">
        <w:rPr>
          <w:i/>
          <w:iCs/>
        </w:rPr>
        <w:t>uppdelning</w:t>
      </w:r>
      <w:r w:rsidRPr="008E2C94">
        <w:t>: en i förväg definierad diskret, uttömmande och ömsesidigt uteslutande uppsättning värden som kan hänföras till en variabel som karakteriserar statistiska enheter.</w:t>
      </w:r>
    </w:p>
    <w:p w:rsidR="008E2C94" w:rsidRPr="008E2C94" w:rsidRDefault="008E2C94" w:rsidP="008E2C94">
      <w:pPr>
        <w:widowControl/>
        <w:spacing w:before="120" w:after="120" w:line="360" w:lineRule="auto"/>
        <w:ind w:left="850" w:hanging="850"/>
        <w:rPr>
          <w:szCs w:val="24"/>
        </w:rPr>
      </w:pPr>
      <w:r w:rsidRPr="008E2C94">
        <w:t>23.</w:t>
      </w:r>
      <w:r w:rsidRPr="008E2C94">
        <w:tab/>
      </w:r>
      <w:r w:rsidRPr="008E2C94">
        <w:rPr>
          <w:i/>
          <w:iCs/>
        </w:rPr>
        <w:t>nationell nivå</w:t>
      </w:r>
      <w:r w:rsidRPr="008E2C94">
        <w:t>: en medlemsstats territorium.</w:t>
      </w:r>
    </w:p>
    <w:p w:rsidR="008E2C94" w:rsidRPr="008E2C94" w:rsidRDefault="008E2C94" w:rsidP="008E2C94">
      <w:pPr>
        <w:widowControl/>
        <w:spacing w:before="120" w:after="120" w:line="360" w:lineRule="auto"/>
        <w:ind w:left="850" w:hanging="850"/>
        <w:rPr>
          <w:szCs w:val="24"/>
        </w:rPr>
      </w:pPr>
      <w:r w:rsidRPr="008E2C94">
        <w:t>24.</w:t>
      </w:r>
      <w:r w:rsidRPr="008E2C94">
        <w:tab/>
      </w:r>
      <w:r w:rsidRPr="008E2C94">
        <w:rPr>
          <w:i/>
          <w:iCs/>
        </w:rPr>
        <w:t>regional nivå</w:t>
      </w:r>
      <w:r w:rsidRPr="008E2C94">
        <w:t xml:space="preserve">: </w:t>
      </w:r>
      <w:proofErr w:type="spellStart"/>
      <w:r w:rsidRPr="008E2C94">
        <w:t>Nuts</w:t>
      </w:r>
      <w:proofErr w:type="spellEnd"/>
      <w:r w:rsidRPr="008E2C94">
        <w:t xml:space="preserve"> 3-nivån enligt förordning (EG) nr 1059/2003.</w:t>
      </w:r>
    </w:p>
    <w:p w:rsidR="008E2C94" w:rsidRPr="008E2C94" w:rsidRDefault="008E2C94" w:rsidP="008E2C94">
      <w:pPr>
        <w:widowControl/>
        <w:spacing w:before="120" w:after="120" w:line="360" w:lineRule="auto"/>
        <w:ind w:left="850" w:hanging="850"/>
        <w:rPr>
          <w:szCs w:val="24"/>
        </w:rPr>
      </w:pPr>
      <w:r w:rsidRPr="008E2C94">
        <w:t>25.</w:t>
      </w:r>
      <w:r w:rsidRPr="008E2C94">
        <w:tab/>
      </w:r>
      <w:r w:rsidRPr="008E2C94">
        <w:rPr>
          <w:i/>
          <w:iCs/>
        </w:rPr>
        <w:t>lokal nivå</w:t>
      </w:r>
      <w:r w:rsidRPr="008E2C94">
        <w:t>: nivån för lokal administrativ enhet ▌enligt förordning (EG) nr 1059/2003.</w:t>
      </w:r>
    </w:p>
    <w:p w:rsidR="008E2C94" w:rsidRPr="008E2C94" w:rsidRDefault="008E2C94" w:rsidP="008E2C94">
      <w:pPr>
        <w:widowControl/>
        <w:spacing w:before="120" w:after="120" w:line="360" w:lineRule="auto"/>
        <w:ind w:left="850" w:hanging="850"/>
        <w:rPr>
          <w:szCs w:val="24"/>
        </w:rPr>
      </w:pPr>
      <w:r w:rsidRPr="008E2C94">
        <w:t>26.</w:t>
      </w:r>
      <w:r w:rsidRPr="008E2C94">
        <w:tab/>
      </w:r>
      <w:r w:rsidRPr="008E2C94">
        <w:rPr>
          <w:i/>
          <w:iCs/>
        </w:rPr>
        <w:t>rutnätsnivå</w:t>
      </w:r>
      <w:r w:rsidRPr="008E2C94">
        <w:t>: statistiskt rutnät enligt förordning (EG) nr 1059/2003.</w:t>
      </w:r>
    </w:p>
    <w:p w:rsidR="008E2C94" w:rsidRPr="008E2C94" w:rsidRDefault="008E2C94" w:rsidP="008E2C94">
      <w:pPr>
        <w:widowControl/>
        <w:spacing w:before="120" w:after="120" w:line="360" w:lineRule="auto"/>
        <w:ind w:left="850" w:hanging="850"/>
        <w:rPr>
          <w:szCs w:val="24"/>
        </w:rPr>
      </w:pPr>
      <w:r w:rsidRPr="008E2C94">
        <w:t>27.</w:t>
      </w:r>
      <w:r w:rsidRPr="008E2C94">
        <w:tab/>
      </w:r>
      <w:r w:rsidRPr="008E2C94">
        <w:rPr>
          <w:i/>
          <w:iCs/>
        </w:rPr>
        <w:t>ramar</w:t>
      </w:r>
      <w:r w:rsidRPr="008E2C94">
        <w:t>: varje förteckning, material eller anordning som avgränsar och identifierar element i målpopulationen och som, beroende på användningen, kan ge tillgång till eller tillhandahålla ytterligare karakteristikum av elementen.</w:t>
      </w:r>
    </w:p>
    <w:p w:rsidR="008E2C94" w:rsidRPr="008E2C94" w:rsidRDefault="008E2C94" w:rsidP="008E2C94">
      <w:pPr>
        <w:widowControl/>
        <w:spacing w:before="120" w:after="120" w:line="360" w:lineRule="auto"/>
        <w:ind w:left="850" w:hanging="850"/>
        <w:rPr>
          <w:szCs w:val="24"/>
        </w:rPr>
      </w:pPr>
      <w:r w:rsidRPr="008E2C94">
        <w:t>28.</w:t>
      </w:r>
      <w:r w:rsidRPr="008E2C94">
        <w:tab/>
      </w:r>
      <w:r w:rsidRPr="008E2C94">
        <w:rPr>
          <w:i/>
          <w:iCs/>
        </w:rPr>
        <w:t>referensdatum</w:t>
      </w:r>
      <w:r w:rsidRPr="008E2C94">
        <w:t>: den tidpunkt som statistiken avser.</w:t>
      </w:r>
    </w:p>
    <w:p w:rsidR="008E2C94" w:rsidRPr="008E2C94" w:rsidRDefault="008E2C94" w:rsidP="008E2C94">
      <w:pPr>
        <w:widowControl/>
        <w:spacing w:before="120" w:after="120" w:line="360" w:lineRule="auto"/>
        <w:ind w:left="850" w:hanging="850"/>
        <w:rPr>
          <w:szCs w:val="24"/>
        </w:rPr>
      </w:pPr>
      <w:r w:rsidRPr="008E2C94">
        <w:t>29.</w:t>
      </w:r>
      <w:r w:rsidRPr="008E2C94">
        <w:tab/>
      </w:r>
      <w:r w:rsidRPr="008E2C94">
        <w:rPr>
          <w:i/>
          <w:iCs/>
        </w:rPr>
        <w:t>referensperiod</w:t>
      </w:r>
      <w:r w:rsidRPr="008E2C94">
        <w:t>: det tidsintervall som statistiken om händelser avser.</w:t>
      </w:r>
    </w:p>
    <w:p w:rsidR="008E2C94" w:rsidRPr="008E2C94" w:rsidRDefault="008E2C94" w:rsidP="008E2C94">
      <w:pPr>
        <w:widowControl/>
        <w:spacing w:before="120" w:after="120" w:line="360" w:lineRule="auto"/>
        <w:ind w:left="850" w:hanging="850"/>
        <w:rPr>
          <w:szCs w:val="24"/>
        </w:rPr>
      </w:pPr>
      <w:r w:rsidRPr="008E2C94">
        <w:t>30.</w:t>
      </w:r>
      <w:r w:rsidRPr="008E2C94">
        <w:tab/>
      </w:r>
      <w:r w:rsidRPr="008E2C94">
        <w:rPr>
          <w:i/>
          <w:iCs/>
        </w:rPr>
        <w:t>referenstid</w:t>
      </w:r>
      <w:r w:rsidRPr="008E2C94">
        <w:t>: antingen referensdatum eller referensperiod, beroende på om statistiken avser händelser eller andra statistiska enheter.</w:t>
      </w:r>
    </w:p>
    <w:p w:rsidR="008E2C94" w:rsidRPr="008E2C94" w:rsidRDefault="008E2C94" w:rsidP="008E2C94">
      <w:pPr>
        <w:widowControl/>
        <w:spacing w:before="120" w:after="120" w:line="360" w:lineRule="auto"/>
        <w:ind w:left="850" w:hanging="850"/>
        <w:rPr>
          <w:szCs w:val="24"/>
        </w:rPr>
      </w:pPr>
      <w:r w:rsidRPr="008E2C94">
        <w:lastRenderedPageBreak/>
        <w:t>31.</w:t>
      </w:r>
      <w:r w:rsidRPr="008E2C94">
        <w:tab/>
      </w:r>
      <w:r w:rsidRPr="008E2C94">
        <w:rPr>
          <w:i/>
          <w:iCs/>
        </w:rPr>
        <w:t>metadata</w:t>
      </w:r>
      <w:r w:rsidRPr="008E2C94">
        <w:t>: information som behövs för att man ska kunna använda och tolka statistik och som beskriver datauppsättningar på ett strukturerat sätt.</w:t>
      </w:r>
    </w:p>
    <w:p w:rsidR="008E2C94" w:rsidRPr="008E2C94" w:rsidRDefault="008E2C94" w:rsidP="008E2C94">
      <w:pPr>
        <w:widowControl/>
        <w:spacing w:before="120" w:after="120" w:line="360" w:lineRule="auto"/>
        <w:ind w:left="850" w:hanging="850"/>
        <w:rPr>
          <w:szCs w:val="24"/>
        </w:rPr>
      </w:pPr>
      <w:r w:rsidRPr="008E2C94">
        <w:t>32.</w:t>
      </w:r>
      <w:r w:rsidRPr="008E2C94">
        <w:tab/>
      </w:r>
      <w:r w:rsidRPr="008E2C94">
        <w:rPr>
          <w:i/>
          <w:iCs/>
        </w:rPr>
        <w:t>förhandskontrollerade datauppsättningar</w:t>
      </w:r>
      <w:r w:rsidRPr="008E2C94">
        <w:t>: datauppsättningar som kontrollerats av medlemsstaterna på grundval av gemensamma valideringsregler.</w:t>
      </w:r>
    </w:p>
    <w:p w:rsidR="008E2C94" w:rsidRPr="008E2C94" w:rsidRDefault="008E2C94" w:rsidP="008E2C94">
      <w:pPr>
        <w:widowControl/>
        <w:spacing w:before="120" w:after="120" w:line="360" w:lineRule="auto"/>
        <w:ind w:left="850" w:hanging="850"/>
        <w:rPr>
          <w:szCs w:val="24"/>
        </w:rPr>
      </w:pPr>
      <w:r w:rsidRPr="008E2C94">
        <w:t>33.</w:t>
      </w:r>
      <w:r w:rsidRPr="008E2C94">
        <w:tab/>
      </w:r>
      <w:r w:rsidRPr="008E2C94">
        <w:rPr>
          <w:i/>
          <w:iCs/>
        </w:rPr>
        <w:t>kvalitetsrapport</w:t>
      </w:r>
      <w:r w:rsidRPr="008E2C94">
        <w:t>: en rapport som förmedlar information om statistiska produkters eller processers kvalitet.</w:t>
      </w:r>
    </w:p>
    <w:p w:rsidR="008E2C94" w:rsidRPr="008E2C94" w:rsidRDefault="008E2C94" w:rsidP="008E2C94">
      <w:pPr>
        <w:widowControl/>
        <w:spacing w:before="120" w:after="120" w:line="360" w:lineRule="auto"/>
        <w:jc w:val="center"/>
        <w:rPr>
          <w:szCs w:val="24"/>
        </w:rPr>
      </w:pPr>
      <w:r w:rsidRPr="008E2C94">
        <w:t>Artikel 3</w:t>
      </w:r>
      <w:r w:rsidRPr="008E2C94">
        <w:cr/>
        <w:t xml:space="preserve">Befolkningsunderlag </w:t>
      </w:r>
    </w:p>
    <w:p w:rsidR="008E2C94" w:rsidRPr="008E2C94" w:rsidRDefault="008E2C94" w:rsidP="008E2C94">
      <w:pPr>
        <w:widowControl/>
        <w:spacing w:before="120" w:after="120" w:line="360" w:lineRule="auto"/>
        <w:ind w:left="850" w:hanging="850"/>
        <w:rPr>
          <w:szCs w:val="24"/>
        </w:rPr>
      </w:pPr>
      <w:r w:rsidRPr="008E2C94">
        <w:t>1.</w:t>
      </w:r>
      <w:r w:rsidRPr="008E2C94">
        <w:tab/>
        <w:t>Vid tillämpningen av denna förordning består befolkningsunderlaget av alla personer vars stadigvarande bosättning på referensdatumet är belägen inom unionen i en viss territoriell enhet i en medlemsstat på nationell, regional eller lokal nivå eller på rutnätsnivå.</w:t>
      </w:r>
    </w:p>
    <w:p w:rsidR="008E2C94" w:rsidRPr="008E2C94" w:rsidRDefault="008E2C94" w:rsidP="008E2C94">
      <w:pPr>
        <w:widowControl/>
        <w:spacing w:before="120" w:after="120" w:line="360" w:lineRule="auto"/>
        <w:ind w:left="850" w:hanging="850"/>
        <w:rPr>
          <w:szCs w:val="24"/>
        </w:rPr>
      </w:pPr>
      <w:r w:rsidRPr="008E2C94">
        <w:t>2.</w:t>
      </w:r>
      <w:r w:rsidRPr="008E2C94">
        <w:tab/>
        <w:t>Befolkningsunderlaget ska omfatta alla stadigvarande bosatta personer, oavsett medborgarskap eller om personen är eller tidigare har varit statslös ▌.</w:t>
      </w:r>
    </w:p>
    <w:p w:rsidR="008E2C94" w:rsidRPr="008E2C94" w:rsidRDefault="008E2C94" w:rsidP="008E2C94">
      <w:pPr>
        <w:widowControl/>
        <w:spacing w:before="120" w:after="120" w:line="360" w:lineRule="auto"/>
        <w:ind w:left="850" w:hanging="850"/>
        <w:rPr>
          <w:szCs w:val="24"/>
        </w:rPr>
      </w:pPr>
      <w:r w:rsidRPr="008E2C94">
        <w:t>3.</w:t>
      </w:r>
      <w:r w:rsidRPr="008E2C94">
        <w:tab/>
        <w:t>Befolkningsunderlaget ska inte omfatta personer vars stadigvarande bosättning är belägen utanför medlemsstatens territorium, oavsett födelseort eller medborgarskap, och oberoende av eventuella familjeband, sociala, ekonomiska eller egendomsrelaterade band som personen kan ha med medlemsstaten.</w:t>
      </w:r>
    </w:p>
    <w:p w:rsidR="008E2C94" w:rsidRPr="008E2C94" w:rsidRDefault="008E2C94" w:rsidP="008E2C94">
      <w:pPr>
        <w:widowControl/>
        <w:spacing w:before="120" w:after="120" w:line="360" w:lineRule="auto"/>
        <w:ind w:left="850" w:hanging="850"/>
        <w:rPr>
          <w:szCs w:val="24"/>
        </w:rPr>
      </w:pPr>
      <w:r w:rsidRPr="008E2C94">
        <w:t>4.</w:t>
      </w:r>
      <w:r w:rsidRPr="008E2C94">
        <w:tab/>
        <w:t>Personer utan stadigvarande bosättning ska hänföras till den plats där de befinner sig på referensdatumet som plats för stadigvarande bosättning.</w:t>
      </w:r>
    </w:p>
    <w:p w:rsidR="008E2C94" w:rsidRPr="008E2C94" w:rsidRDefault="008E2C94" w:rsidP="008E2C94">
      <w:pPr>
        <w:widowControl/>
        <w:spacing w:before="120" w:after="120" w:line="360" w:lineRule="auto"/>
        <w:ind w:left="850" w:hanging="850"/>
        <w:rPr>
          <w:szCs w:val="24"/>
        </w:rPr>
      </w:pPr>
      <w:r w:rsidRPr="008E2C94">
        <w:t>5.</w:t>
      </w:r>
      <w:r w:rsidRPr="008E2C94">
        <w:tab/>
        <w:t>Medlemsstaterna ska tillämpa den definition av stadigvarande bosättning som föreskrivs i denna förordning på alla datauppsättningar som tillhandahålls kommissionen (Eurostat) enligt denna förordning och på nationell, regional och lokal nivå samt på rutnätsnivå.</w:t>
      </w:r>
    </w:p>
    <w:p w:rsidR="008E2C94" w:rsidRPr="008E2C94" w:rsidRDefault="008E2C94" w:rsidP="008E2C94">
      <w:pPr>
        <w:widowControl/>
        <w:spacing w:before="120" w:after="120" w:line="360" w:lineRule="auto"/>
        <w:ind w:left="850" w:hanging="850"/>
        <w:rPr>
          <w:szCs w:val="24"/>
        </w:rPr>
      </w:pPr>
      <w:r w:rsidRPr="008E2C94">
        <w:t>6.</w:t>
      </w:r>
      <w:r w:rsidRPr="008E2C94">
        <w:tab/>
        <w:t>Vid tillämpningen av definitionen av stadigvarande bosättning ska medlemsstaterna använda</w:t>
      </w:r>
    </w:p>
    <w:p w:rsidR="008E2C94" w:rsidRPr="008E2C94" w:rsidRDefault="008E2C94" w:rsidP="008E2C94">
      <w:pPr>
        <w:widowControl/>
        <w:spacing w:before="120" w:after="120" w:line="360" w:lineRule="auto"/>
        <w:ind w:left="1416" w:hanging="566"/>
        <w:rPr>
          <w:szCs w:val="24"/>
        </w:rPr>
      </w:pPr>
      <w:r w:rsidRPr="008E2C94">
        <w:t>a)</w:t>
      </w:r>
      <w:r w:rsidRPr="008E2C94">
        <w:tab/>
        <w:t>en eller en kombination av de uppgiftskällor som avses i artikel 9.1,</w:t>
      </w:r>
    </w:p>
    <w:p w:rsidR="008E2C94" w:rsidRPr="008E2C94" w:rsidRDefault="008E2C94" w:rsidP="008E2C94">
      <w:pPr>
        <w:widowControl/>
        <w:spacing w:before="120" w:after="120" w:line="360" w:lineRule="auto"/>
        <w:ind w:left="1416" w:hanging="566"/>
        <w:rPr>
          <w:szCs w:val="24"/>
        </w:rPr>
      </w:pPr>
      <w:r w:rsidRPr="008E2C94">
        <w:t>b)</w:t>
      </w:r>
      <w:r w:rsidRPr="008E2C94">
        <w:tab/>
        <w:t xml:space="preserve">skattningsmetoder som livstecken </w:t>
      </w:r>
      <w:r w:rsidRPr="008E2C94">
        <w:rPr>
          <w:b/>
          <w:i/>
        </w:rPr>
        <w:t>samt andra vetenskapligt baserade, väldokumenterade och allmänt tillgängliga statistiska skattningsmetoder</w:t>
      </w:r>
      <w:r w:rsidRPr="008E2C94">
        <w:t xml:space="preserve"> för att korrigera för faktisk närvaro på den förmodade platsen för stadigvarande bosättning under större delen av de 12 månader som slutar med </w:t>
      </w:r>
      <w:r w:rsidRPr="008E2C94">
        <w:lastRenderedPageBreak/>
        <w:t>referensdatumet, och ▌för att skatta antalet personer som avser eller förväntas stanna under större delen av de 12 månaderna efter ankomsten.</w:t>
      </w:r>
    </w:p>
    <w:p w:rsidR="008E2C94" w:rsidRPr="008E2C94" w:rsidRDefault="008E2C94" w:rsidP="008E2C94">
      <w:pPr>
        <w:widowControl/>
        <w:spacing w:before="120" w:after="120" w:line="360" w:lineRule="auto"/>
        <w:ind w:left="850" w:hanging="850"/>
        <w:rPr>
          <w:szCs w:val="24"/>
        </w:rPr>
      </w:pPr>
      <w:r w:rsidRPr="008E2C94">
        <w:rPr>
          <w:b/>
          <w:i/>
        </w:rPr>
        <w:t>6a.</w:t>
      </w:r>
      <w:r w:rsidRPr="008E2C94">
        <w:tab/>
      </w:r>
      <w:r w:rsidRPr="008E2C94">
        <w:rPr>
          <w:b/>
          <w:i/>
        </w:rPr>
        <w:t>För omröstning med kvalificerad majoritet i rådet ska kommissionen vid utgången av varje referensår informera rådet om den totala befolkningsmängd i medlemsstaterna som kommissionen (Eurostat) har tillgång till den 31 augusti det kalenderår som följer på referensåret.</w:t>
      </w:r>
    </w:p>
    <w:p w:rsidR="008E2C94" w:rsidRPr="008E2C94" w:rsidRDefault="008E2C94" w:rsidP="008E2C94">
      <w:pPr>
        <w:widowControl/>
        <w:spacing w:before="120" w:after="120" w:line="360" w:lineRule="auto"/>
        <w:jc w:val="center"/>
        <w:rPr>
          <w:szCs w:val="24"/>
        </w:rPr>
      </w:pPr>
      <w:r w:rsidRPr="008E2C94">
        <w:t>Artikel 4</w:t>
      </w:r>
      <w:r w:rsidRPr="008E2C94">
        <w:br/>
        <w:t>Statistiska enheter</w:t>
      </w:r>
    </w:p>
    <w:p w:rsidR="008E2C94" w:rsidRPr="008E2C94" w:rsidRDefault="008E2C94" w:rsidP="008E2C94">
      <w:pPr>
        <w:widowControl/>
        <w:spacing w:before="120" w:after="120" w:line="360" w:lineRule="auto"/>
        <w:rPr>
          <w:szCs w:val="24"/>
        </w:rPr>
      </w:pPr>
      <w:r w:rsidRPr="008E2C94">
        <w:t>Statistik enligt denna förordning ska sammanställas för följande statistiska enheter:</w:t>
      </w:r>
    </w:p>
    <w:p w:rsidR="008E2C94" w:rsidRPr="008E2C94" w:rsidRDefault="008E2C94" w:rsidP="008E2C94">
      <w:pPr>
        <w:widowControl/>
        <w:spacing w:before="120" w:after="120" w:line="360" w:lineRule="auto"/>
        <w:ind w:left="850" w:hanging="850"/>
        <w:rPr>
          <w:szCs w:val="24"/>
        </w:rPr>
      </w:pPr>
      <w:r w:rsidRPr="008E2C94">
        <w:t>a)</w:t>
      </w:r>
      <w:r w:rsidRPr="008E2C94">
        <w:tab/>
        <w:t>Personer.</w:t>
      </w:r>
    </w:p>
    <w:p w:rsidR="008E2C94" w:rsidRPr="008E2C94" w:rsidRDefault="008E2C94" w:rsidP="008E2C94">
      <w:pPr>
        <w:widowControl/>
        <w:spacing w:before="120" w:after="120" w:line="360" w:lineRule="auto"/>
        <w:ind w:left="850" w:hanging="850"/>
        <w:rPr>
          <w:szCs w:val="24"/>
        </w:rPr>
      </w:pPr>
      <w:r w:rsidRPr="008E2C94">
        <w:t>b)</w:t>
      </w:r>
      <w:r w:rsidRPr="008E2C94">
        <w:tab/>
        <w:t>Demografiska händelser.</w:t>
      </w:r>
    </w:p>
    <w:p w:rsidR="008E2C94" w:rsidRPr="008E2C94" w:rsidRDefault="008E2C94" w:rsidP="008E2C94">
      <w:pPr>
        <w:widowControl/>
        <w:spacing w:before="120" w:after="120" w:line="360" w:lineRule="auto"/>
        <w:ind w:left="850" w:hanging="850"/>
        <w:rPr>
          <w:szCs w:val="24"/>
        </w:rPr>
      </w:pPr>
      <w:r w:rsidRPr="008E2C94">
        <w:t>c)</w:t>
      </w:r>
      <w:r w:rsidRPr="008E2C94">
        <w:tab/>
        <w:t>Familjer.</w:t>
      </w:r>
    </w:p>
    <w:p w:rsidR="008E2C94" w:rsidRPr="008E2C94" w:rsidRDefault="008E2C94" w:rsidP="008E2C94">
      <w:pPr>
        <w:widowControl/>
        <w:spacing w:before="120" w:after="120" w:line="360" w:lineRule="auto"/>
        <w:ind w:left="850" w:hanging="850"/>
        <w:rPr>
          <w:szCs w:val="24"/>
        </w:rPr>
      </w:pPr>
      <w:r w:rsidRPr="008E2C94">
        <w:t>d)</w:t>
      </w:r>
      <w:r w:rsidRPr="008E2C94">
        <w:tab/>
        <w:t>Hushåll.</w:t>
      </w:r>
    </w:p>
    <w:p w:rsidR="008E2C94" w:rsidRPr="008E2C94" w:rsidRDefault="008E2C94" w:rsidP="008E2C94">
      <w:pPr>
        <w:widowControl/>
        <w:spacing w:before="120" w:after="120" w:line="360" w:lineRule="auto"/>
        <w:ind w:left="850" w:hanging="850"/>
        <w:rPr>
          <w:szCs w:val="24"/>
        </w:rPr>
      </w:pPr>
      <w:r w:rsidRPr="008E2C94">
        <w:t>e)</w:t>
      </w:r>
      <w:r w:rsidRPr="008E2C94">
        <w:tab/>
        <w:t xml:space="preserve">Bostadshus, bostadsutrymmen </w:t>
      </w:r>
      <w:r w:rsidRPr="008E2C94">
        <w:rPr>
          <w:b/>
          <w:i/>
        </w:rPr>
        <w:t>inklusive institutioner,</w:t>
      </w:r>
      <w:r w:rsidRPr="008E2C94">
        <w:t xml:space="preserve"> och konventionella bostäder.</w:t>
      </w:r>
    </w:p>
    <w:p w:rsidR="008E2C94" w:rsidRPr="008E2C94" w:rsidRDefault="008E2C94" w:rsidP="008E2C94">
      <w:pPr>
        <w:widowControl/>
        <w:spacing w:before="120" w:after="120" w:line="360" w:lineRule="auto"/>
        <w:jc w:val="center"/>
        <w:rPr>
          <w:szCs w:val="24"/>
        </w:rPr>
      </w:pPr>
      <w:r w:rsidRPr="008E2C94">
        <w:t>Artikel 5</w:t>
      </w:r>
      <w:r w:rsidRPr="008E2C94">
        <w:br/>
        <w:t>Krav avseende statistiken</w:t>
      </w:r>
    </w:p>
    <w:p w:rsidR="008E2C94" w:rsidRPr="008E2C94" w:rsidRDefault="008E2C94" w:rsidP="008E2C94">
      <w:pPr>
        <w:widowControl/>
        <w:spacing w:before="120" w:after="120" w:line="360" w:lineRule="auto"/>
        <w:ind w:left="850" w:hanging="850"/>
        <w:rPr>
          <w:szCs w:val="24"/>
        </w:rPr>
      </w:pPr>
      <w:r w:rsidRPr="008E2C94">
        <w:t>1.</w:t>
      </w:r>
      <w:r w:rsidRPr="008E2C94">
        <w:tab/>
        <w:t>Europeisk statistik om befolkning och bostäder ska omfatta följande områden:</w:t>
      </w:r>
    </w:p>
    <w:p w:rsidR="008E2C94" w:rsidRPr="008E2C94" w:rsidRDefault="008E2C94" w:rsidP="008E2C94">
      <w:pPr>
        <w:widowControl/>
        <w:spacing w:before="120" w:after="120" w:line="360" w:lineRule="auto"/>
        <w:ind w:left="1416" w:hanging="566"/>
        <w:rPr>
          <w:szCs w:val="24"/>
        </w:rPr>
      </w:pPr>
      <w:r w:rsidRPr="008E2C94">
        <w:t>a)</w:t>
      </w:r>
      <w:r w:rsidRPr="008E2C94">
        <w:tab/>
        <w:t>Demografi.</w:t>
      </w:r>
    </w:p>
    <w:p w:rsidR="008E2C94" w:rsidRPr="008E2C94" w:rsidRDefault="008E2C94" w:rsidP="008E2C94">
      <w:pPr>
        <w:widowControl/>
        <w:spacing w:before="120" w:after="120" w:line="360" w:lineRule="auto"/>
        <w:ind w:left="1416" w:hanging="566"/>
        <w:rPr>
          <w:szCs w:val="24"/>
        </w:rPr>
      </w:pPr>
      <w:r w:rsidRPr="008E2C94">
        <w:t>b)</w:t>
      </w:r>
      <w:r w:rsidRPr="008E2C94">
        <w:tab/>
        <w:t>Bostäder.</w:t>
      </w:r>
    </w:p>
    <w:p w:rsidR="008E2C94" w:rsidRPr="008E2C94" w:rsidRDefault="008E2C94" w:rsidP="008E2C94">
      <w:pPr>
        <w:widowControl/>
        <w:spacing w:before="120" w:after="120" w:line="360" w:lineRule="auto"/>
        <w:ind w:left="1416" w:hanging="566"/>
        <w:rPr>
          <w:szCs w:val="24"/>
        </w:rPr>
      </w:pPr>
      <w:r w:rsidRPr="008E2C94">
        <w:t>c)</w:t>
      </w:r>
      <w:r w:rsidRPr="008E2C94">
        <w:tab/>
        <w:t>Familjer och hushåll.</w:t>
      </w:r>
    </w:p>
    <w:p w:rsidR="008E2C94" w:rsidRPr="008E2C94" w:rsidRDefault="008E2C94" w:rsidP="008E2C94">
      <w:pPr>
        <w:widowControl/>
        <w:spacing w:before="120" w:after="120" w:line="360" w:lineRule="auto"/>
        <w:ind w:left="850" w:hanging="850"/>
        <w:rPr>
          <w:szCs w:val="24"/>
        </w:rPr>
      </w:pPr>
      <w:r w:rsidRPr="008E2C94">
        <w:t>2.</w:t>
      </w:r>
      <w:r w:rsidRPr="008E2C94">
        <w:tab/>
        <w:t>Statistik på de områden som förtecknas i punkt 1 i denna artikel ska organiseras i datauppsättningar enligt de ämnen och specifika ämnen som anges i bilagan.</w:t>
      </w:r>
      <w:r w:rsidRPr="008E2C94">
        <w:rPr>
          <w:b/>
          <w:i/>
        </w:rPr>
        <w:t xml:space="preserve"> Om den statistiska enheten är en person ska datauppsättningarna delas upp efter kön och ålder och, i förekommande fall, efter andra karakteristikum.</w:t>
      </w:r>
    </w:p>
    <w:p w:rsidR="008E2C94" w:rsidRPr="008E2C94" w:rsidRDefault="008E2C94" w:rsidP="008E2C94">
      <w:pPr>
        <w:widowControl/>
        <w:spacing w:before="120" w:after="120" w:line="360" w:lineRule="auto"/>
        <w:ind w:left="850" w:hanging="850"/>
        <w:rPr>
          <w:szCs w:val="24"/>
        </w:rPr>
      </w:pPr>
      <w:r w:rsidRPr="008E2C94">
        <w:t>3.</w:t>
      </w:r>
      <w:r w:rsidRPr="008E2C94">
        <w:tab/>
        <w:t>Kommissionen ges befogenhet att anta delegerade akter i enlighet med artikel 17 för att ändra den förteckning över specifika ämnen som anges i bilagan. Sådana delegerade akter ska antas senast tolv månader före det att den berörda referenstiden börjar.</w:t>
      </w:r>
    </w:p>
    <w:p w:rsidR="008E2C94" w:rsidRPr="008E2C94" w:rsidRDefault="008E2C94" w:rsidP="008E2C94">
      <w:pPr>
        <w:widowControl/>
        <w:spacing w:before="120" w:after="120" w:line="360" w:lineRule="auto"/>
        <w:ind w:left="850" w:hanging="850"/>
        <w:rPr>
          <w:szCs w:val="24"/>
        </w:rPr>
      </w:pPr>
      <w:r w:rsidRPr="008E2C94">
        <w:t>4.</w:t>
      </w:r>
      <w:r w:rsidRPr="008E2C94">
        <w:tab/>
        <w:t xml:space="preserve">När kommissionen utövar befogenheten att anta delegerade akter enligt punkt 3 i denna artikel ska den säkerställa att dessa akter inte medför en betydande och </w:t>
      </w:r>
      <w:r w:rsidRPr="008E2C94">
        <w:lastRenderedPageBreak/>
        <w:t>oproportionerlig börda för medlemsstaterna och uppgiftslämnarna. Varje nytt specifikt ämne ska bedömas med avseende på dess genomförbarhet genom pilotstudier som genomförs av kommissionen (Eurostat) och medlemsstaterna i enlighet med artikel 14.</w:t>
      </w:r>
    </w:p>
    <w:p w:rsidR="008E2C94" w:rsidRPr="008E2C94" w:rsidRDefault="008E2C94" w:rsidP="008E2C94">
      <w:pPr>
        <w:widowControl/>
        <w:spacing w:before="120" w:after="120" w:line="360" w:lineRule="auto"/>
        <w:ind w:left="850" w:hanging="850"/>
        <w:rPr>
          <w:szCs w:val="24"/>
        </w:rPr>
      </w:pPr>
      <w:r w:rsidRPr="008E2C94">
        <w:t>5.</w:t>
      </w:r>
      <w:r w:rsidRPr="008E2C94">
        <w:tab/>
        <w:t xml:space="preserve">Kommissionen ska anta </w:t>
      </w:r>
      <w:proofErr w:type="spellStart"/>
      <w:r w:rsidRPr="008E2C94">
        <w:t>genomförandeakter</w:t>
      </w:r>
      <w:proofErr w:type="spellEnd"/>
      <w:r w:rsidRPr="008E2C94">
        <w:t xml:space="preserve"> för att ange tekniska egenskaper för de datauppsättningar och metadata som ska tillhandahållas kommissionen (Eurostat). I dessa </w:t>
      </w:r>
      <w:proofErr w:type="spellStart"/>
      <w:r w:rsidRPr="008E2C94">
        <w:t>genomförandeakter</w:t>
      </w:r>
      <w:proofErr w:type="spellEnd"/>
      <w:r w:rsidRPr="008E2C94">
        <w:t xml:space="preserve"> ska vid behov följande tekniska aspekter anges:</w:t>
      </w:r>
    </w:p>
    <w:p w:rsidR="008E2C94" w:rsidRPr="008E2C94" w:rsidRDefault="008E2C94" w:rsidP="008E2C94">
      <w:pPr>
        <w:widowControl/>
        <w:spacing w:before="120" w:after="120" w:line="360" w:lineRule="auto"/>
        <w:ind w:left="1416" w:hanging="566"/>
        <w:rPr>
          <w:szCs w:val="24"/>
        </w:rPr>
      </w:pPr>
      <w:r w:rsidRPr="008E2C94">
        <w:t>a)</w:t>
      </w:r>
      <w:r w:rsidRPr="008E2C94">
        <w:tab/>
        <w:t>Variablernas benämningar, tekniska specifikationer och uppdelningar.</w:t>
      </w:r>
    </w:p>
    <w:p w:rsidR="008E2C94" w:rsidRPr="008E2C94" w:rsidRDefault="008E2C94" w:rsidP="008E2C94">
      <w:pPr>
        <w:widowControl/>
        <w:spacing w:before="120" w:after="120" w:line="360" w:lineRule="auto"/>
        <w:ind w:left="1416" w:hanging="566"/>
        <w:rPr>
          <w:szCs w:val="24"/>
        </w:rPr>
      </w:pPr>
      <w:r w:rsidRPr="008E2C94">
        <w:t>b)</w:t>
      </w:r>
      <w:r w:rsidRPr="008E2C94">
        <w:tab/>
        <w:t>Detaljerade specifikationer av de statistiska enheterna och metadata.</w:t>
      </w:r>
    </w:p>
    <w:p w:rsidR="008E2C94" w:rsidRPr="008E2C94" w:rsidRDefault="008E2C94" w:rsidP="008E2C94">
      <w:pPr>
        <w:widowControl/>
        <w:spacing w:before="120" w:after="120" w:line="360" w:lineRule="auto"/>
        <w:ind w:left="1416" w:hanging="566"/>
        <w:rPr>
          <w:szCs w:val="24"/>
        </w:rPr>
      </w:pPr>
      <w:r w:rsidRPr="008E2C94">
        <w:t>c)</w:t>
      </w:r>
      <w:r w:rsidRPr="008E2C94">
        <w:tab/>
        <w:t>Statistiska klassificeringar som ska användas.</w:t>
      </w:r>
    </w:p>
    <w:p w:rsidR="008E2C94" w:rsidRPr="008E2C94" w:rsidRDefault="008E2C94" w:rsidP="008E2C94">
      <w:pPr>
        <w:widowControl/>
        <w:spacing w:before="120" w:after="120" w:line="360" w:lineRule="auto"/>
        <w:ind w:left="1416" w:hanging="566"/>
        <w:rPr>
          <w:szCs w:val="24"/>
        </w:rPr>
      </w:pPr>
      <w:r w:rsidRPr="008E2C94">
        <w:t>d)</w:t>
      </w:r>
      <w:r w:rsidRPr="008E2C94">
        <w:tab/>
        <w:t>Tidsfrister för tillhandahållande.</w:t>
      </w:r>
    </w:p>
    <w:p w:rsidR="008E2C94" w:rsidRPr="008E2C94" w:rsidRDefault="008E2C94" w:rsidP="008E2C94">
      <w:pPr>
        <w:widowControl/>
        <w:spacing w:before="120" w:after="120" w:line="360" w:lineRule="auto"/>
        <w:ind w:left="1416" w:hanging="566"/>
        <w:rPr>
          <w:szCs w:val="24"/>
        </w:rPr>
      </w:pPr>
      <w:r w:rsidRPr="008E2C94">
        <w:t>e)</w:t>
      </w:r>
      <w:r w:rsidRPr="008E2C94">
        <w:tab/>
        <w:t>Tekniska format för tillhandahållandet av datauppsättningar och metadata.</w:t>
      </w:r>
    </w:p>
    <w:p w:rsidR="008E2C94" w:rsidRPr="008E2C94" w:rsidRDefault="008E2C94" w:rsidP="008E2C94">
      <w:pPr>
        <w:widowControl/>
        <w:spacing w:before="120" w:after="120" w:line="360" w:lineRule="auto"/>
        <w:ind w:left="1416" w:hanging="566"/>
        <w:rPr>
          <w:szCs w:val="24"/>
        </w:rPr>
      </w:pPr>
      <w:r w:rsidRPr="008E2C94">
        <w:t>f)</w:t>
      </w:r>
      <w:r w:rsidRPr="008E2C94">
        <w:tab/>
        <w:t>Kvalitetsrapporternas innehåll, struktur, periodicitet, former och tidsfrister för tillhandahållande samt ytterligare specifikationer när så behövs och motiveras.</w:t>
      </w:r>
    </w:p>
    <w:p w:rsidR="008E2C94" w:rsidRPr="008E2C94" w:rsidRDefault="008E2C94" w:rsidP="008E2C94">
      <w:pPr>
        <w:widowControl/>
        <w:spacing w:before="120" w:after="120" w:line="360" w:lineRule="auto"/>
        <w:ind w:left="850"/>
        <w:rPr>
          <w:szCs w:val="24"/>
        </w:rPr>
      </w:pPr>
      <w:r w:rsidRPr="008E2C94">
        <w:t xml:space="preserve">Dessa </w:t>
      </w:r>
      <w:proofErr w:type="spellStart"/>
      <w:r w:rsidRPr="008E2C94">
        <w:t>genomförandeakter</w:t>
      </w:r>
      <w:proofErr w:type="spellEnd"/>
      <w:r w:rsidRPr="008E2C94">
        <w:t xml:space="preserve"> ska antas i enlighet med det granskningsförfarande som avses i artikel 18.2 minst 12 månader före början av den berörda referenstiden, med undantag för </w:t>
      </w:r>
      <w:proofErr w:type="spellStart"/>
      <w:r w:rsidRPr="008E2C94">
        <w:t>genomförandeakter</w:t>
      </w:r>
      <w:proofErr w:type="spellEnd"/>
      <w:r w:rsidRPr="008E2C94">
        <w:t xml:space="preserve"> för folk- och bostadsräkningen som ska antas minst 24 månader före början av det år då referensdatumet infaller.</w:t>
      </w:r>
    </w:p>
    <w:p w:rsidR="008E2C94" w:rsidRPr="008E2C94" w:rsidRDefault="008E2C94" w:rsidP="008E2C94">
      <w:pPr>
        <w:widowControl/>
        <w:spacing w:before="120" w:after="120" w:line="360" w:lineRule="auto"/>
        <w:jc w:val="center"/>
        <w:rPr>
          <w:szCs w:val="24"/>
        </w:rPr>
      </w:pPr>
      <w:r w:rsidRPr="008E2C94">
        <w:t>Artikel 6</w:t>
      </w:r>
      <w:r w:rsidRPr="008E2C94">
        <w:br/>
        <w:t>Periodicitet och referenstider</w:t>
      </w:r>
    </w:p>
    <w:p w:rsidR="008E2C94" w:rsidRPr="008E2C94" w:rsidRDefault="008E2C94" w:rsidP="008E2C94">
      <w:pPr>
        <w:widowControl/>
        <w:spacing w:before="120" w:after="120" w:line="360" w:lineRule="auto"/>
        <w:ind w:left="850" w:hanging="850"/>
        <w:rPr>
          <w:szCs w:val="24"/>
        </w:rPr>
      </w:pPr>
      <w:r w:rsidRPr="008E2C94">
        <w:t>1.</w:t>
      </w:r>
      <w:r w:rsidRPr="008E2C94">
        <w:tab/>
        <w:t>Medlemsstaterna ska framställa europeisk statistik om befolkning och bostäder kvartalsvis, var sjätte månad, årligen och för en period om flera år, samt i en folk- och bostadsräkning vart tionde år.</w:t>
      </w:r>
    </w:p>
    <w:p w:rsidR="008E2C94" w:rsidRPr="008E2C94" w:rsidRDefault="008E2C94" w:rsidP="008E2C94">
      <w:pPr>
        <w:widowControl/>
        <w:spacing w:before="120" w:after="120" w:line="360" w:lineRule="auto"/>
        <w:ind w:left="850" w:hanging="850"/>
        <w:rPr>
          <w:szCs w:val="24"/>
        </w:rPr>
      </w:pPr>
      <w:r w:rsidRPr="008E2C94">
        <w:t>2.</w:t>
      </w:r>
      <w:r w:rsidRPr="008E2C94">
        <w:tab/>
        <w:t>De år som slutar med ”1” ska vara referensåren för folk- och bostadsräkningen vart tionde år.</w:t>
      </w:r>
    </w:p>
    <w:p w:rsidR="008E2C94" w:rsidRPr="008E2C94" w:rsidRDefault="008E2C94" w:rsidP="008E2C94">
      <w:pPr>
        <w:widowControl/>
        <w:spacing w:before="120" w:after="120" w:line="360" w:lineRule="auto"/>
        <w:ind w:left="850" w:hanging="850"/>
        <w:rPr>
          <w:szCs w:val="24"/>
        </w:rPr>
      </w:pPr>
      <w:r w:rsidRPr="008E2C94">
        <w:t>3.</w:t>
      </w:r>
      <w:r w:rsidRPr="008E2C94">
        <w:tab/>
        <w:t>De år som slutar med ”1”, ”5” och ”8” ska vara referensåren för statistik för en period om flera år.</w:t>
      </w:r>
    </w:p>
    <w:p w:rsidR="008E2C94" w:rsidRPr="008E2C94" w:rsidRDefault="008E2C94" w:rsidP="008E2C94">
      <w:pPr>
        <w:widowControl/>
        <w:spacing w:before="120" w:after="120" w:line="360" w:lineRule="auto"/>
        <w:ind w:left="850" w:hanging="850"/>
        <w:rPr>
          <w:szCs w:val="24"/>
        </w:rPr>
      </w:pPr>
      <w:r w:rsidRPr="008E2C94">
        <w:t>4.</w:t>
      </w:r>
      <w:r w:rsidRPr="008E2C94">
        <w:tab/>
        <w:t>Periodicitet och referenstid ▌för varje specifikt ämne ska vara de som anges i bilagan.</w:t>
      </w:r>
    </w:p>
    <w:p w:rsidR="008E2C94" w:rsidRPr="008E2C94" w:rsidRDefault="008E2C94" w:rsidP="008E2C94">
      <w:pPr>
        <w:widowControl/>
        <w:spacing w:before="120" w:after="120" w:line="360" w:lineRule="auto"/>
        <w:ind w:left="850" w:hanging="850"/>
        <w:rPr>
          <w:szCs w:val="24"/>
        </w:rPr>
      </w:pPr>
      <w:r w:rsidRPr="008E2C94">
        <w:lastRenderedPageBreak/>
        <w:t>5.</w:t>
      </w:r>
      <w:r w:rsidRPr="008E2C94">
        <w:tab/>
        <w:t>Det första referensdatum för vilket årlig statistik om ämnet befolkningsmängd ska tillhandahållas ska vara den 31 december 2025. Den första referenstid för vilken annan statistik enligt denna förordning ska tillhandahållas ska vara under 2026.</w:t>
      </w:r>
    </w:p>
    <w:p w:rsidR="008E2C94" w:rsidRPr="008E2C94" w:rsidRDefault="008E2C94" w:rsidP="008E2C94">
      <w:pPr>
        <w:widowControl/>
        <w:spacing w:before="120" w:after="120" w:line="360" w:lineRule="auto"/>
        <w:ind w:left="850" w:hanging="850"/>
        <w:rPr>
          <w:szCs w:val="24"/>
        </w:rPr>
      </w:pPr>
      <w:r w:rsidRPr="008E2C94">
        <w:t>6.</w:t>
      </w:r>
      <w:r w:rsidRPr="008E2C94">
        <w:tab/>
        <w:t>Kommissionen ges befogenhet att anta delegerade akter i enlighet med artikel 17 för att ändra bilagan genom att uppdatera periodicitet och referenstider.</w:t>
      </w:r>
    </w:p>
    <w:p w:rsidR="008E2C94" w:rsidRPr="008E2C94" w:rsidRDefault="008E2C94" w:rsidP="008E2C94">
      <w:pPr>
        <w:widowControl/>
        <w:spacing w:before="120" w:after="120" w:line="360" w:lineRule="auto"/>
        <w:jc w:val="center"/>
        <w:rPr>
          <w:szCs w:val="24"/>
        </w:rPr>
      </w:pPr>
      <w:r w:rsidRPr="008E2C94">
        <w:t>Artikel 7</w:t>
      </w:r>
      <w:r w:rsidRPr="008E2C94">
        <w:br/>
        <w:t>Krav avseende särskild statistik</w:t>
      </w:r>
    </w:p>
    <w:p w:rsidR="008E2C94" w:rsidRPr="008E2C94" w:rsidRDefault="008E2C94" w:rsidP="008E2C94">
      <w:pPr>
        <w:widowControl/>
        <w:spacing w:before="120" w:after="120" w:line="360" w:lineRule="auto"/>
        <w:ind w:left="850" w:hanging="850"/>
        <w:rPr>
          <w:szCs w:val="24"/>
        </w:rPr>
      </w:pPr>
      <w:r w:rsidRPr="008E2C94">
        <w:t>1.</w:t>
      </w:r>
      <w:r w:rsidRPr="008E2C94">
        <w:tab/>
        <w:t>Medlemsstaterna ska förse kommissionen (Eurostat) med särskilda datauppsättningar och metadata.</w:t>
      </w:r>
    </w:p>
    <w:p w:rsidR="008E2C94" w:rsidRPr="008E2C94" w:rsidRDefault="008E2C94" w:rsidP="008E2C94">
      <w:pPr>
        <w:widowControl/>
        <w:spacing w:before="120" w:after="120" w:line="360" w:lineRule="auto"/>
        <w:ind w:left="850" w:hanging="850"/>
        <w:rPr>
          <w:szCs w:val="24"/>
        </w:rPr>
      </w:pPr>
      <w:r w:rsidRPr="008E2C94">
        <w:t>2.</w:t>
      </w:r>
      <w:r w:rsidRPr="008E2C94">
        <w:tab/>
        <w:t xml:space="preserve">Kommissionen ges befogenhet att anta delegerade akter för att komplettera denna förordning i enlighet med artikel 17 genom att ange de datauppsättningar och metadata som medlemsstaterna ska tillhandahålla på särskild basis, om insamlingen av ytterligare statistik anses nödvändig för att tillgodose ytterligare statistiska behov enligt denna förordning, </w:t>
      </w:r>
      <w:r w:rsidRPr="008E2C94">
        <w:rPr>
          <w:b/>
          <w:i/>
        </w:rPr>
        <w:t>samtidigt som man prioriterar de administrativa uppgiftskällor och register som ska användas för insamlingen av begärda uppgifter</w:t>
      </w:r>
      <w:r w:rsidRPr="008E2C94">
        <w:t>.</w:t>
      </w:r>
    </w:p>
    <w:p w:rsidR="008E2C94" w:rsidRPr="008E2C94" w:rsidRDefault="008E2C94" w:rsidP="008E2C94">
      <w:pPr>
        <w:widowControl/>
        <w:spacing w:before="120" w:after="120" w:line="360" w:lineRule="auto"/>
        <w:ind w:left="850" w:hanging="850"/>
        <w:rPr>
          <w:szCs w:val="24"/>
        </w:rPr>
      </w:pPr>
      <w:r w:rsidRPr="008E2C94">
        <w:t>3.</w:t>
      </w:r>
      <w:r w:rsidRPr="008E2C94">
        <w:tab/>
        <w:t>I de delegerade akter som avses i punkt 2 ska följande anges:</w:t>
      </w:r>
    </w:p>
    <w:p w:rsidR="008E2C94" w:rsidRPr="008E2C94" w:rsidRDefault="008E2C94" w:rsidP="008E2C94">
      <w:pPr>
        <w:widowControl/>
        <w:spacing w:before="120" w:after="120" w:line="360" w:lineRule="auto"/>
        <w:ind w:left="1416" w:hanging="566"/>
        <w:rPr>
          <w:szCs w:val="24"/>
        </w:rPr>
      </w:pPr>
      <w:r w:rsidRPr="008E2C94">
        <w:t>a)</w:t>
      </w:r>
      <w:r w:rsidRPr="008E2C94">
        <w:tab/>
        <w:t>De specifika ämnen som ska tillhandahållas i de särskilda datauppsättningarna och skälen till att denna ytterligare statistisk behövs.</w:t>
      </w:r>
    </w:p>
    <w:p w:rsidR="008E2C94" w:rsidRPr="008E2C94" w:rsidRDefault="008E2C94" w:rsidP="008E2C94">
      <w:pPr>
        <w:widowControl/>
        <w:spacing w:before="120" w:after="120" w:line="360" w:lineRule="auto"/>
        <w:ind w:left="1416" w:hanging="566"/>
        <w:rPr>
          <w:szCs w:val="24"/>
        </w:rPr>
      </w:pPr>
      <w:r w:rsidRPr="008E2C94">
        <w:t>b)</w:t>
      </w:r>
      <w:r w:rsidRPr="008E2C94">
        <w:tab/>
        <w:t>Referenstiderna.</w:t>
      </w:r>
    </w:p>
    <w:p w:rsidR="008E2C94" w:rsidRPr="008E2C94" w:rsidRDefault="008E2C94" w:rsidP="008E2C94">
      <w:pPr>
        <w:widowControl/>
        <w:spacing w:before="120" w:after="120" w:line="360" w:lineRule="auto"/>
        <w:ind w:left="850" w:hanging="850"/>
        <w:rPr>
          <w:szCs w:val="24"/>
        </w:rPr>
      </w:pPr>
      <w:r w:rsidRPr="008E2C94">
        <w:t>4.</w:t>
      </w:r>
      <w:r w:rsidRPr="008E2C94">
        <w:tab/>
        <w:t>Kommissionen ges befogenhet att anta sådana delegerade akter som avses i punkt 2 från och med referensåret 2027 och med minst två år mellan varje särskild insamling.</w:t>
      </w:r>
    </w:p>
    <w:p w:rsidR="008E2C94" w:rsidRPr="008E2C94" w:rsidRDefault="008E2C94" w:rsidP="008E2C94">
      <w:pPr>
        <w:widowControl/>
        <w:spacing w:before="120" w:after="120" w:line="360" w:lineRule="auto"/>
        <w:ind w:left="850" w:hanging="850"/>
        <w:rPr>
          <w:szCs w:val="24"/>
        </w:rPr>
      </w:pPr>
      <w:r w:rsidRPr="008E2C94">
        <w:t>5.</w:t>
      </w:r>
      <w:r w:rsidRPr="008E2C94">
        <w:tab/>
        <w:t xml:space="preserve">Kommissionen ska anta </w:t>
      </w:r>
      <w:proofErr w:type="spellStart"/>
      <w:r w:rsidRPr="008E2C94">
        <w:t>genomförandeakter</w:t>
      </w:r>
      <w:proofErr w:type="spellEnd"/>
      <w:r w:rsidRPr="008E2C94">
        <w:t xml:space="preserve"> för att ange de tekniska egenskaperna hos de särskilda datauppsättningar och metadata som avses i punkt 2. I dessa </w:t>
      </w:r>
      <w:proofErr w:type="spellStart"/>
      <w:r w:rsidRPr="008E2C94">
        <w:t>genomförandeakter</w:t>
      </w:r>
      <w:proofErr w:type="spellEnd"/>
      <w:r w:rsidRPr="008E2C94">
        <w:t xml:space="preserve"> ska vid behov följande tekniska aspekter anges:</w:t>
      </w:r>
    </w:p>
    <w:p w:rsidR="008E2C94" w:rsidRPr="008E2C94" w:rsidRDefault="008E2C94" w:rsidP="008E2C94">
      <w:pPr>
        <w:widowControl/>
        <w:spacing w:before="120" w:after="120" w:line="360" w:lineRule="auto"/>
        <w:ind w:left="1416" w:hanging="566"/>
        <w:rPr>
          <w:szCs w:val="24"/>
        </w:rPr>
      </w:pPr>
      <w:r w:rsidRPr="008E2C94">
        <w:t>a)</w:t>
      </w:r>
      <w:r w:rsidRPr="008E2C94">
        <w:tab/>
        <w:t>Variablernas benämningar, tekniska specifikationer och uppdelningar.</w:t>
      </w:r>
    </w:p>
    <w:p w:rsidR="008E2C94" w:rsidRPr="008E2C94" w:rsidRDefault="008E2C94" w:rsidP="008E2C94">
      <w:pPr>
        <w:widowControl/>
        <w:spacing w:before="120" w:after="120" w:line="360" w:lineRule="auto"/>
        <w:ind w:left="1416" w:hanging="566"/>
        <w:rPr>
          <w:szCs w:val="24"/>
        </w:rPr>
      </w:pPr>
      <w:r w:rsidRPr="008E2C94">
        <w:t>b)</w:t>
      </w:r>
      <w:r w:rsidRPr="008E2C94">
        <w:tab/>
        <w:t>Detaljerade specifikationer av de statistiska enheterna och metadata.</w:t>
      </w:r>
    </w:p>
    <w:p w:rsidR="008E2C94" w:rsidRPr="008E2C94" w:rsidRDefault="008E2C94" w:rsidP="008E2C94">
      <w:pPr>
        <w:widowControl/>
        <w:spacing w:before="120" w:after="120" w:line="360" w:lineRule="auto"/>
        <w:ind w:left="1416" w:hanging="566"/>
        <w:rPr>
          <w:szCs w:val="24"/>
        </w:rPr>
      </w:pPr>
      <w:r w:rsidRPr="008E2C94">
        <w:t>c)</w:t>
      </w:r>
      <w:r w:rsidRPr="008E2C94">
        <w:tab/>
        <w:t>Statistiska klassificeringar som ska användas.</w:t>
      </w:r>
    </w:p>
    <w:p w:rsidR="008E2C94" w:rsidRPr="008E2C94" w:rsidRDefault="008E2C94" w:rsidP="008E2C94">
      <w:pPr>
        <w:widowControl/>
        <w:spacing w:before="120" w:after="120" w:line="360" w:lineRule="auto"/>
        <w:ind w:left="1416" w:hanging="566"/>
        <w:rPr>
          <w:szCs w:val="24"/>
        </w:rPr>
      </w:pPr>
      <w:r w:rsidRPr="008E2C94">
        <w:t>d)</w:t>
      </w:r>
      <w:r w:rsidRPr="008E2C94">
        <w:tab/>
        <w:t>Tidsfrister för tillhandahållande.</w:t>
      </w:r>
    </w:p>
    <w:p w:rsidR="008E2C94" w:rsidRPr="008E2C94" w:rsidRDefault="008E2C94" w:rsidP="008E2C94">
      <w:pPr>
        <w:widowControl/>
        <w:spacing w:before="120" w:after="120" w:line="360" w:lineRule="auto"/>
        <w:ind w:left="850"/>
        <w:rPr>
          <w:szCs w:val="24"/>
        </w:rPr>
      </w:pPr>
      <w:r w:rsidRPr="008E2C94">
        <w:lastRenderedPageBreak/>
        <w:t xml:space="preserve">Dessa </w:t>
      </w:r>
      <w:proofErr w:type="spellStart"/>
      <w:r w:rsidRPr="008E2C94">
        <w:t>genomförandeakter</w:t>
      </w:r>
      <w:proofErr w:type="spellEnd"/>
      <w:r w:rsidRPr="008E2C94">
        <w:t xml:space="preserve"> ska antas i enlighet med det granskningsförfarande som avses i artikel 18.2 senast 12 månader före referenstidens början.</w:t>
      </w:r>
    </w:p>
    <w:p w:rsidR="008E2C94" w:rsidRPr="008E2C94" w:rsidRDefault="008E2C94" w:rsidP="008E2C94">
      <w:pPr>
        <w:widowControl/>
        <w:spacing w:before="120" w:after="120" w:line="360" w:lineRule="auto"/>
        <w:jc w:val="center"/>
        <w:rPr>
          <w:szCs w:val="24"/>
        </w:rPr>
      </w:pPr>
      <w:r w:rsidRPr="008E2C94">
        <w:t>Artikel 8</w:t>
      </w:r>
      <w:r w:rsidRPr="008E2C94">
        <w:br/>
        <w:t xml:space="preserve">Datauppsättningar och metadata som ska </w:t>
      </w:r>
      <w:r w:rsidRPr="008E2C94">
        <w:rPr>
          <w:b/>
          <w:i/>
        </w:rPr>
        <w:t>överföras till</w:t>
      </w:r>
      <w:r w:rsidRPr="008E2C94">
        <w:t xml:space="preserve"> kommissionen</w:t>
      </w:r>
    </w:p>
    <w:p w:rsidR="008E2C94" w:rsidRPr="008E2C94" w:rsidRDefault="008E2C94" w:rsidP="008E2C94">
      <w:pPr>
        <w:widowControl/>
        <w:spacing w:before="120" w:after="120" w:line="360" w:lineRule="auto"/>
        <w:ind w:left="850" w:hanging="850"/>
        <w:rPr>
          <w:szCs w:val="24"/>
        </w:rPr>
      </w:pPr>
      <w:r w:rsidRPr="008E2C94">
        <w:t>1.</w:t>
      </w:r>
      <w:r w:rsidRPr="008E2C94">
        <w:tab/>
        <w:t xml:space="preserve">Medlemsstaterna ska </w:t>
      </w:r>
      <w:r w:rsidRPr="008E2C94">
        <w:rPr>
          <w:b/>
          <w:i/>
        </w:rPr>
        <w:t>överföra</w:t>
      </w:r>
      <w:r w:rsidRPr="008E2C94">
        <w:t xml:space="preserve"> förhandskontrollerade datauppsättningar och metadata </w:t>
      </w:r>
      <w:r w:rsidRPr="008E2C94">
        <w:rPr>
          <w:b/>
          <w:i/>
        </w:rPr>
        <w:t>till kommissionen (Eurostat) i enlighet med bilagan</w:t>
      </w:r>
      <w:r w:rsidRPr="008E2C94">
        <w:t xml:space="preserve"> i ett tekniskt format som anges av kommissionen (Eurostat). Den centrala dataportalen ska användas för att </w:t>
      </w:r>
      <w:r w:rsidRPr="008E2C94">
        <w:rPr>
          <w:b/>
          <w:i/>
        </w:rPr>
        <w:t>överföra</w:t>
      </w:r>
      <w:r w:rsidRPr="008E2C94">
        <w:t xml:space="preserve"> datauppsättningarna och metadata till kommissionen (Eurostat).</w:t>
      </w:r>
    </w:p>
    <w:p w:rsidR="008E2C94" w:rsidRPr="008E2C94" w:rsidRDefault="008E2C94" w:rsidP="008E2C94">
      <w:pPr>
        <w:widowControl/>
        <w:spacing w:before="120" w:after="120" w:line="360" w:lineRule="auto"/>
        <w:ind w:left="850" w:hanging="850"/>
        <w:rPr>
          <w:szCs w:val="24"/>
        </w:rPr>
      </w:pPr>
      <w:r w:rsidRPr="008E2C94">
        <w:t>2.</w:t>
      </w:r>
      <w:r w:rsidRPr="008E2C94">
        <w:tab/>
        <w:t xml:space="preserve">Om medlemsstaterna offentliggör </w:t>
      </w:r>
      <w:r w:rsidRPr="008E2C94">
        <w:rPr>
          <w:b/>
          <w:i/>
        </w:rPr>
        <w:t>de uppgifter</w:t>
      </w:r>
      <w:r w:rsidRPr="008E2C94">
        <w:t xml:space="preserve"> som krävs enligt denna förordning på nationell nivå före de tidsfrister för </w:t>
      </w:r>
      <w:r w:rsidRPr="008E2C94">
        <w:rPr>
          <w:b/>
          <w:i/>
        </w:rPr>
        <w:t>överföring</w:t>
      </w:r>
      <w:r w:rsidRPr="008E2C94">
        <w:t xml:space="preserve"> som fastställs i enlighet med artiklarna 5 (5) d och artikel 7.5 d, ska de tillhandahålla dem till kommissionen (Eurostat) </w:t>
      </w:r>
      <w:r w:rsidRPr="008E2C94">
        <w:rPr>
          <w:b/>
          <w:i/>
        </w:rPr>
        <w:t>utan onödigt dröjsmål, senast 21 kalenderdagar efter det nationella offentliggörandet</w:t>
      </w:r>
      <w:r w:rsidRPr="008E2C94">
        <w:t>.</w:t>
      </w:r>
    </w:p>
    <w:p w:rsidR="008E2C94" w:rsidRPr="008E2C94" w:rsidRDefault="008E2C94" w:rsidP="008E2C94">
      <w:pPr>
        <w:widowControl/>
        <w:spacing w:before="120" w:after="120" w:line="360" w:lineRule="auto"/>
        <w:ind w:left="850" w:hanging="850"/>
        <w:rPr>
          <w:szCs w:val="24"/>
        </w:rPr>
      </w:pPr>
      <w:r w:rsidRPr="008E2C94">
        <w:t>3.</w:t>
      </w:r>
      <w:r w:rsidRPr="008E2C94">
        <w:tab/>
        <w:t xml:space="preserve">Medlemsstaterna ska till kommissionen (Eurostat) </w:t>
      </w:r>
      <w:r w:rsidRPr="008E2C94">
        <w:rPr>
          <w:b/>
          <w:i/>
        </w:rPr>
        <w:t>överföra</w:t>
      </w:r>
    </w:p>
    <w:p w:rsidR="008E2C94" w:rsidRPr="008E2C94" w:rsidRDefault="008E2C94" w:rsidP="008E2C94">
      <w:pPr>
        <w:widowControl/>
        <w:spacing w:before="120" w:after="120" w:line="360" w:lineRule="auto"/>
        <w:ind w:left="1416" w:hanging="566"/>
        <w:rPr>
          <w:szCs w:val="24"/>
        </w:rPr>
      </w:pPr>
      <w:r w:rsidRPr="008E2C94">
        <w:t>a)</w:t>
      </w:r>
      <w:r w:rsidRPr="008E2C94">
        <w:tab/>
        <w:t>reviderade datauppsättningar och metadata om en revidering görs efter det att de datauppsättningar som krävs enligt denna förordning tillhandahölls första gången,</w:t>
      </w:r>
    </w:p>
    <w:p w:rsidR="008E2C94" w:rsidRPr="008E2C94" w:rsidRDefault="008E2C94" w:rsidP="008E2C94">
      <w:pPr>
        <w:widowControl/>
        <w:spacing w:before="120" w:after="120" w:line="360" w:lineRule="auto"/>
        <w:ind w:left="1416" w:hanging="566"/>
        <w:rPr>
          <w:szCs w:val="24"/>
        </w:rPr>
      </w:pPr>
      <w:r w:rsidRPr="008E2C94">
        <w:t>b)</w:t>
      </w:r>
      <w:r w:rsidRPr="008E2C94">
        <w:tab/>
        <w:t xml:space="preserve">reviderade datauppsättningar och metadata för berörda tidsserier om en revidering görs av datauppsättningar som hade lämnats till kommissionen (Eurostat) innan denna förordning började tillämpas. </w:t>
      </w:r>
    </w:p>
    <w:p w:rsidR="008E2C94" w:rsidRPr="008E2C94" w:rsidRDefault="008E2C94" w:rsidP="008E2C94">
      <w:pPr>
        <w:widowControl/>
        <w:spacing w:before="120" w:after="120" w:line="360" w:lineRule="auto"/>
        <w:ind w:left="850"/>
        <w:rPr>
          <w:szCs w:val="24"/>
        </w:rPr>
      </w:pPr>
      <w:r w:rsidRPr="008E2C94">
        <w:t xml:space="preserve">De reviderade datauppsättningarna och metadata ska </w:t>
      </w:r>
      <w:r w:rsidRPr="008E2C94">
        <w:rPr>
          <w:b/>
          <w:i/>
        </w:rPr>
        <w:t>överföras</w:t>
      </w:r>
      <w:r w:rsidRPr="008E2C94">
        <w:t xml:space="preserve"> inom </w:t>
      </w:r>
      <w:r w:rsidRPr="008E2C94">
        <w:rPr>
          <w:b/>
          <w:i/>
        </w:rPr>
        <w:t>14 kalenderdagar efter revideringen</w:t>
      </w:r>
      <w:r w:rsidRPr="008E2C94">
        <w:t xml:space="preserve"> och kompletteras med kvalitetsrapporter i enlighet med artikel 12.</w:t>
      </w:r>
    </w:p>
    <w:p w:rsidR="008E2C94" w:rsidRPr="008E2C94" w:rsidRDefault="008E2C94" w:rsidP="008E2C94">
      <w:pPr>
        <w:widowControl/>
        <w:spacing w:before="120" w:after="120" w:line="360" w:lineRule="auto"/>
        <w:ind w:left="850" w:hanging="130"/>
        <w:rPr>
          <w:szCs w:val="24"/>
        </w:rPr>
      </w:pPr>
      <w:r w:rsidRPr="008E2C94">
        <w:rPr>
          <w:b/>
          <w:i/>
        </w:rPr>
        <w:t>Medlemsstaterna ska utan onödigt dröjsmål underrätta kommissionen om alla beslut att revidera datauppsättningar och metadata.</w:t>
      </w:r>
    </w:p>
    <w:p w:rsidR="008E2C94" w:rsidRPr="008E2C94" w:rsidRDefault="008E2C94" w:rsidP="008E2C94">
      <w:pPr>
        <w:widowControl/>
        <w:spacing w:before="120" w:after="120" w:line="360" w:lineRule="auto"/>
        <w:jc w:val="center"/>
        <w:rPr>
          <w:szCs w:val="24"/>
        </w:rPr>
      </w:pPr>
      <w:r w:rsidRPr="008E2C94">
        <w:t>Artikel 9</w:t>
      </w:r>
      <w:r w:rsidRPr="008E2C94">
        <w:br/>
        <w:t>Uppgiftskällor och metoder</w:t>
      </w:r>
    </w:p>
    <w:p w:rsidR="008E2C94" w:rsidRPr="008E2C94" w:rsidRDefault="008E2C94" w:rsidP="008E2C94">
      <w:pPr>
        <w:widowControl/>
        <w:spacing w:before="120" w:after="120" w:line="360" w:lineRule="auto"/>
        <w:ind w:left="850" w:hanging="850"/>
        <w:rPr>
          <w:szCs w:val="24"/>
        </w:rPr>
      </w:pPr>
      <w:r w:rsidRPr="008E2C94">
        <w:t>1.</w:t>
      </w:r>
      <w:r w:rsidRPr="008E2C94">
        <w:tab/>
        <w:t>Medlemsstaterna och kommissionen (Eurostat) ska använda en eller en kombination av följande uppgiftskällor, förutsatt att de gör det möjligt att framställa statistik som uppfyller kvalitetskraven i artikel 12:</w:t>
      </w:r>
    </w:p>
    <w:p w:rsidR="008E2C94" w:rsidRPr="008E2C94" w:rsidRDefault="008E2C94" w:rsidP="008E2C94">
      <w:pPr>
        <w:widowControl/>
        <w:spacing w:before="120" w:after="120" w:line="360" w:lineRule="auto"/>
        <w:ind w:left="1416" w:hanging="566"/>
        <w:rPr>
          <w:szCs w:val="24"/>
        </w:rPr>
      </w:pPr>
      <w:r w:rsidRPr="008E2C94">
        <w:t>a)</w:t>
      </w:r>
      <w:r w:rsidRPr="008E2C94">
        <w:tab/>
        <w:t>Administrativa uppgiftskällor.</w:t>
      </w:r>
    </w:p>
    <w:p w:rsidR="008E2C94" w:rsidRPr="008E2C94" w:rsidRDefault="008E2C94" w:rsidP="008E2C94">
      <w:pPr>
        <w:widowControl/>
        <w:spacing w:before="120" w:after="120" w:line="360" w:lineRule="auto"/>
        <w:ind w:left="1416" w:hanging="566"/>
        <w:rPr>
          <w:szCs w:val="24"/>
        </w:rPr>
      </w:pPr>
      <w:r w:rsidRPr="008E2C94">
        <w:lastRenderedPageBreak/>
        <w:t>b)</w:t>
      </w:r>
      <w:r w:rsidRPr="008E2C94">
        <w:tab/>
        <w:t>Statistiska undersökningar eller andra samlingar av statistiska uppgifter.</w:t>
      </w:r>
    </w:p>
    <w:p w:rsidR="008E2C94" w:rsidRPr="008E2C94" w:rsidRDefault="008E2C94" w:rsidP="008E2C94">
      <w:pPr>
        <w:widowControl/>
        <w:spacing w:before="120" w:after="120" w:line="360" w:lineRule="auto"/>
        <w:ind w:left="1416" w:hanging="566"/>
        <w:rPr>
          <w:szCs w:val="24"/>
        </w:rPr>
      </w:pPr>
      <w:r w:rsidRPr="008E2C94">
        <w:t>c)</w:t>
      </w:r>
      <w:r w:rsidRPr="008E2C94">
        <w:tab/>
        <w:t>Andra källor, inbegripet uppgifter som innehas privat.</w:t>
      </w:r>
    </w:p>
    <w:p w:rsidR="008E2C94" w:rsidRPr="008E2C94" w:rsidRDefault="008E2C94" w:rsidP="008E2C94">
      <w:pPr>
        <w:widowControl/>
        <w:spacing w:before="120" w:after="120" w:line="360" w:lineRule="auto"/>
        <w:ind w:left="1416" w:hanging="566"/>
        <w:rPr>
          <w:szCs w:val="24"/>
        </w:rPr>
      </w:pPr>
      <w:r w:rsidRPr="008E2C94">
        <w:t>d)</w:t>
      </w:r>
      <w:r w:rsidRPr="008E2C94">
        <w:tab/>
        <w:t>Vidareutnyttjande av uppgifter som härrör från datadelning mellan nationella statistikmyndigheter och kommissionen (Eurostat) inom ESS.</w:t>
      </w:r>
    </w:p>
    <w:p w:rsidR="008E2C94" w:rsidRPr="008E2C94" w:rsidRDefault="008E2C94" w:rsidP="008E2C94">
      <w:pPr>
        <w:widowControl/>
        <w:spacing w:before="120" w:after="120" w:line="360" w:lineRule="auto"/>
        <w:ind w:left="850" w:hanging="850"/>
        <w:rPr>
          <w:szCs w:val="24"/>
        </w:rPr>
      </w:pPr>
      <w:r w:rsidRPr="008E2C94">
        <w:t>2.</w:t>
      </w:r>
      <w:r w:rsidRPr="008E2C94">
        <w:tab/>
        <w:t>Medlemsstaterna ska bedöma och övervaka kvaliteten på sina uppgiftskällor, inbegripet administrativa register och andra lämpliga källor som används.</w:t>
      </w:r>
    </w:p>
    <w:p w:rsidR="008E2C94" w:rsidRPr="008E2C94" w:rsidRDefault="008E2C94" w:rsidP="008E2C94">
      <w:pPr>
        <w:widowControl/>
        <w:spacing w:before="120" w:after="120" w:line="360" w:lineRule="auto"/>
        <w:ind w:left="850" w:hanging="850"/>
        <w:rPr>
          <w:szCs w:val="24"/>
        </w:rPr>
      </w:pPr>
      <w:r w:rsidRPr="008E2C94">
        <w:t>3.</w:t>
      </w:r>
      <w:r w:rsidRPr="008E2C94">
        <w:tab/>
      </w:r>
      <w:r w:rsidRPr="008E2C94">
        <w:rPr>
          <w:b/>
          <w:i/>
        </w:rPr>
        <w:t xml:space="preserve">Medlemsstaterna ska sträva efter att kontinuerligt utveckla innovativa källor och metoder och använda dem för att förbättra den statistik som sammanställs enligt denna förordning, förutsatt att de gör det möjligt att framställa statistik som uppfyller kvalitetskraven i artikel 12. </w:t>
      </w:r>
      <w:r w:rsidRPr="008E2C94">
        <w:t>▌</w:t>
      </w:r>
    </w:p>
    <w:p w:rsidR="008E2C94" w:rsidRPr="008E2C94" w:rsidRDefault="008E2C94" w:rsidP="008E2C94">
      <w:pPr>
        <w:widowControl/>
        <w:spacing w:before="120" w:after="120" w:line="360" w:lineRule="auto"/>
        <w:ind w:left="850" w:hanging="850"/>
        <w:rPr>
          <w:szCs w:val="24"/>
        </w:rPr>
      </w:pPr>
      <w:r w:rsidRPr="008E2C94">
        <w:t>4.</w:t>
      </w:r>
      <w:r w:rsidRPr="008E2C94">
        <w:tab/>
        <w:t>Den statistik som sammanställs enligt denna förordning ska baseras på statistiskt sunda och väldokumenterade metoder som tar hänsyn till internationella rekommendationer och bästa praxis såsom livstecken ▌och andra vetenskapligt baserade statistiska skattningsmetoder som används för att sammanställa den stadigvarande bofasta befolkningen i medlemsstaterna.</w:t>
      </w:r>
    </w:p>
    <w:p w:rsidR="008E2C94" w:rsidRPr="008E2C94" w:rsidRDefault="008E2C94" w:rsidP="008E2C94">
      <w:pPr>
        <w:widowControl/>
        <w:spacing w:before="120" w:after="120" w:line="360" w:lineRule="auto"/>
        <w:ind w:left="850" w:hanging="850"/>
        <w:rPr>
          <w:szCs w:val="24"/>
        </w:rPr>
      </w:pPr>
      <w:r w:rsidRPr="008E2C94">
        <w:t>5.</w:t>
      </w:r>
      <w:r w:rsidRPr="008E2C94">
        <w:tab/>
        <w:t xml:space="preserve">På </w:t>
      </w:r>
      <w:r w:rsidRPr="008E2C94">
        <w:rPr>
          <w:b/>
          <w:i/>
        </w:rPr>
        <w:t xml:space="preserve">vederbörligen motiverad </w:t>
      </w:r>
      <w:r w:rsidRPr="008E2C94">
        <w:t xml:space="preserve">begäran </w:t>
      </w:r>
      <w:r w:rsidRPr="008E2C94">
        <w:rPr>
          <w:b/>
          <w:i/>
        </w:rPr>
        <w:t>av kommissionen (Eurostat)</w:t>
      </w:r>
      <w:r w:rsidRPr="008E2C94">
        <w:t xml:space="preserve"> ska medlemsstaterna förse kommissionen (Eurostat) med resultaten av bedömningen av uppgiftskällorna, dokumentationen av metoder och nödvändiga förtydliganden.</w:t>
      </w:r>
    </w:p>
    <w:p w:rsidR="008E2C94" w:rsidRPr="008E2C94" w:rsidRDefault="008E2C94" w:rsidP="008E2C94">
      <w:pPr>
        <w:widowControl/>
        <w:spacing w:before="120" w:after="120" w:line="360" w:lineRule="auto"/>
        <w:jc w:val="center"/>
        <w:rPr>
          <w:szCs w:val="24"/>
        </w:rPr>
      </w:pPr>
      <w:r w:rsidRPr="008E2C94">
        <w:t>Artikel 10</w:t>
      </w:r>
      <w:r w:rsidRPr="008E2C94">
        <w:br/>
        <w:t>Snabb tillgång till och vidareutnyttjande av administrativa uppgifter</w:t>
      </w:r>
    </w:p>
    <w:p w:rsidR="008E2C94" w:rsidRPr="008E2C94" w:rsidRDefault="008E2C94" w:rsidP="008E2C94">
      <w:pPr>
        <w:widowControl/>
        <w:spacing w:before="120" w:after="120" w:line="360" w:lineRule="auto"/>
        <w:ind w:left="850" w:hanging="850"/>
        <w:rPr>
          <w:szCs w:val="24"/>
        </w:rPr>
      </w:pPr>
      <w:r w:rsidRPr="008E2C94">
        <w:t>1.</w:t>
      </w:r>
      <w:r w:rsidRPr="008E2C94">
        <w:tab/>
      </w:r>
      <w:r w:rsidRPr="008E2C94">
        <w:rPr>
          <w:b/>
          <w:i/>
        </w:rPr>
        <w:t>I enlighet med artikel 17a i förordning (EG) nr 223/2009 ska</w:t>
      </w:r>
      <w:r w:rsidRPr="008E2C94">
        <w:t xml:space="preserve"> nationella myndigheter med ansvar för administrativa uppgiftskällor som är relevanta för tillämpningen av denna förordning ▌tillåta vidareutnyttjande av dessa uppgifter i tillräckligt god tid och med tillräcklig frekvens för att statistik ska kunna framställas och lämnas in inom tidsfristerna och i enlighet med de särskilda kvalitetskraven enligt denna förordning. </w:t>
      </w:r>
      <w:r w:rsidRPr="008E2C94">
        <w:rPr>
          <w:b/>
          <w:i/>
        </w:rPr>
        <w:t>De nationella statistikmyndigheterna och de nationella myndigheter som ansvarar för de administrativa registren</w:t>
      </w:r>
      <w:r w:rsidRPr="008E2C94">
        <w:t xml:space="preserve"> ska </w:t>
      </w:r>
      <w:r w:rsidRPr="008E2C94">
        <w:rPr>
          <w:b/>
          <w:i/>
        </w:rPr>
        <w:t>inrätta nödvändiga samarbetsmekanismer för snabb och kostnadsfri tillgång till dessa register</w:t>
      </w:r>
      <w:r w:rsidRPr="008E2C94">
        <w:t>.</w:t>
      </w:r>
    </w:p>
    <w:p w:rsidR="008E2C94" w:rsidRPr="008E2C94" w:rsidRDefault="008E2C94" w:rsidP="008E2C94">
      <w:pPr>
        <w:widowControl/>
        <w:spacing w:before="120" w:after="120" w:line="360" w:lineRule="auto"/>
        <w:ind w:left="850" w:hanging="850"/>
        <w:rPr>
          <w:szCs w:val="24"/>
        </w:rPr>
      </w:pPr>
      <w:r w:rsidRPr="008E2C94">
        <w:rPr>
          <w:b/>
          <w:i/>
        </w:rPr>
        <w:t>1a.</w:t>
      </w:r>
      <w:r w:rsidRPr="008E2C94">
        <w:tab/>
      </w:r>
      <w:r w:rsidRPr="008E2C94">
        <w:rPr>
          <w:b/>
          <w:i/>
        </w:rPr>
        <w:t xml:space="preserve">För att framställa statistik om det specifika ämnet energirelaterade karakteristikum hos byggnader ska de nationella statistikmyndigheterna i god tid och regelbundet ha tillgång till de nationella databaserna om byggnaders </w:t>
      </w:r>
      <w:r w:rsidRPr="008E2C94">
        <w:rPr>
          <w:b/>
          <w:i/>
        </w:rPr>
        <w:lastRenderedPageBreak/>
        <w:t>energiprestanda i enlighet med direktiv</w:t>
      </w:r>
      <w:r w:rsidR="00F45EAE">
        <w:rPr>
          <w:b/>
          <w:i/>
        </w:rPr>
        <w:t xml:space="preserve"> </w:t>
      </w:r>
      <w:r w:rsidR="0099407E">
        <w:rPr>
          <w:b/>
          <w:i/>
        </w:rPr>
        <w:t xml:space="preserve">(EU) </w:t>
      </w:r>
      <w:r w:rsidR="00F45EAE">
        <w:rPr>
          <w:b/>
          <w:i/>
        </w:rPr>
        <w:t>2024/1275</w:t>
      </w:r>
      <w:r w:rsidRPr="008E2C94">
        <w:rPr>
          <w:b/>
          <w:i/>
        </w:rPr>
        <w:t xml:space="preserve"> och ska ha rätt att vidareutnyttja administrativa uppgifter från dessa databaser.</w:t>
      </w:r>
    </w:p>
    <w:p w:rsidR="008E2C94" w:rsidRPr="008E2C94" w:rsidRDefault="008E2C94" w:rsidP="008E2C94">
      <w:pPr>
        <w:widowControl/>
        <w:spacing w:before="120" w:after="120" w:line="360" w:lineRule="auto"/>
        <w:ind w:left="850" w:hanging="850"/>
        <w:rPr>
          <w:szCs w:val="24"/>
        </w:rPr>
      </w:pPr>
      <w:r w:rsidRPr="008E2C94">
        <w:rPr>
          <w:b/>
          <w:i/>
        </w:rPr>
        <w:t>1b.</w:t>
      </w:r>
      <w:r w:rsidRPr="008E2C94">
        <w:tab/>
      </w:r>
      <w:r w:rsidRPr="008E2C94">
        <w:rPr>
          <w:b/>
          <w:i/>
        </w:rPr>
        <w:t>För att framställa uppdelningar av befolkningen enligt kön ska de nationella statistikbyråerna använda information som finns tillgänglig i nationella administrativa datakällor.</w:t>
      </w:r>
    </w:p>
    <w:p w:rsidR="008E2C94" w:rsidRPr="008E2C94" w:rsidRDefault="008E2C94" w:rsidP="008E2C94">
      <w:pPr>
        <w:widowControl/>
        <w:spacing w:before="120" w:after="120" w:line="360" w:lineRule="auto"/>
        <w:ind w:left="850" w:hanging="850"/>
        <w:rPr>
          <w:szCs w:val="24"/>
        </w:rPr>
      </w:pPr>
      <w:r w:rsidRPr="008E2C94">
        <w:t>2.</w:t>
      </w:r>
      <w:r w:rsidRPr="008E2C94">
        <w:tab/>
        <w:t xml:space="preserve">Vid tillämpningen av denna förordning ska kommissionen (Eurostat) på begäran ha rätt att i god tid få tillgång till och vidareutnyttja relevanta uppgifter och metadata från databaser och </w:t>
      </w:r>
      <w:proofErr w:type="spellStart"/>
      <w:r w:rsidRPr="008E2C94">
        <w:t>interoperabilitetssystem</w:t>
      </w:r>
      <w:proofErr w:type="spellEnd"/>
      <w:r w:rsidRPr="008E2C94">
        <w:t xml:space="preserve"> som upprätthålls av unionens organ och byråer, inbegripet enligt förordningarna (EU) nr 910/2014 och (EU) 2018/1724 och statistiska uppgifter som lagras i den centrala databasen för rapporter och statistik (CRRS)</w:t>
      </w:r>
      <w:r w:rsidRPr="008E2C94">
        <w:rPr>
          <w:b/>
          <w:i/>
        </w:rPr>
        <w:t xml:space="preserve">. I synnerhet ska kommissionen (Eurostat) ha åtkomst till data från de interoperabla stora </w:t>
      </w:r>
      <w:proofErr w:type="spellStart"/>
      <w:r w:rsidRPr="008E2C94">
        <w:rPr>
          <w:b/>
          <w:i/>
        </w:rPr>
        <w:t>it-systemen</w:t>
      </w:r>
      <w:proofErr w:type="spellEnd"/>
      <w:r w:rsidRPr="008E2C94">
        <w:rPr>
          <w:b/>
          <w:i/>
        </w:rPr>
        <w:t xml:space="preserve"> inom området frihet, säkerhet och rättvisa från CRRS</w:t>
      </w:r>
      <w:r w:rsidRPr="008E2C94">
        <w:t xml:space="preserve"> i enlighet med förordningarna (EU) 2019/817 och (EU) 2019/818 och förordningarna om inrättande av de system vars statistiska uppgifter lagras i CRRS. I detta syfte ska kommissionen (Eurostat) dessutom samarbeta med berörda unionsorgan och unionsbyråer i syfte att ange de skräddarsydda statistiska uppgifter och metadata som krävs, när så är möjligt enligt unionsrätten, för europeisk statistik om befolkning och bostäder, de operativa formerna för tillhandahållandet av sådan statistik och de åtföljande fysiska och logiska skyddsåtgärder som krävs.</w:t>
      </w:r>
    </w:p>
    <w:p w:rsidR="008E2C94" w:rsidRPr="008E2C94" w:rsidRDefault="008E2C94" w:rsidP="008E2C94">
      <w:pPr>
        <w:keepNext/>
        <w:keepLines/>
        <w:widowControl/>
        <w:spacing w:before="120" w:after="120" w:line="360" w:lineRule="auto"/>
        <w:jc w:val="center"/>
        <w:rPr>
          <w:szCs w:val="24"/>
        </w:rPr>
      </w:pPr>
      <w:r w:rsidRPr="008E2C94">
        <w:t>Artikel 11</w:t>
      </w:r>
      <w:r w:rsidRPr="008E2C94">
        <w:br/>
        <w:t>Förteckningar över länder och territorier</w:t>
      </w:r>
    </w:p>
    <w:p w:rsidR="008E2C94" w:rsidRPr="008E2C94" w:rsidRDefault="008E2C94" w:rsidP="008E2C94">
      <w:pPr>
        <w:widowControl/>
        <w:spacing w:before="120" w:after="120" w:line="360" w:lineRule="auto"/>
        <w:ind w:left="850" w:hanging="850"/>
        <w:rPr>
          <w:szCs w:val="24"/>
        </w:rPr>
      </w:pPr>
      <w:r w:rsidRPr="008E2C94">
        <w:t>1.</w:t>
      </w:r>
      <w:r w:rsidRPr="008E2C94">
        <w:tab/>
        <w:t>Om datauppsättningarna innehåller information per land eller territorium ska medlemsstaterna använda särskilda uppdelningar vid tillämpningen av denna förordning och förordning (EG) nr 862/2007.</w:t>
      </w:r>
    </w:p>
    <w:p w:rsidR="008E2C94" w:rsidRPr="008E2C94" w:rsidRDefault="008E2C94" w:rsidP="008E2C94">
      <w:pPr>
        <w:widowControl/>
        <w:spacing w:before="120" w:after="120" w:line="360" w:lineRule="auto"/>
        <w:ind w:left="850" w:hanging="850"/>
        <w:rPr>
          <w:szCs w:val="24"/>
        </w:rPr>
      </w:pPr>
      <w:r w:rsidRPr="008E2C94">
        <w:t>2.</w:t>
      </w:r>
      <w:r w:rsidRPr="008E2C94">
        <w:tab/>
        <w:t xml:space="preserve">Kommissionen ska anta </w:t>
      </w:r>
      <w:proofErr w:type="spellStart"/>
      <w:r w:rsidRPr="008E2C94">
        <w:t>genomförandeakter</w:t>
      </w:r>
      <w:proofErr w:type="spellEnd"/>
      <w:r w:rsidRPr="008E2C94">
        <w:t xml:space="preserve"> som fastställer eller uppdaterar de förteckningar över länder och </w:t>
      </w:r>
      <w:r w:rsidRPr="008E2C94">
        <w:rPr>
          <w:b/>
          <w:i/>
        </w:rPr>
        <w:t>territorier</w:t>
      </w:r>
      <w:r w:rsidRPr="008E2C94">
        <w:t xml:space="preserve"> som ska tillämpas på uppdelningar av statistik som sammanställs enligt denna förordning. Dessa </w:t>
      </w:r>
      <w:proofErr w:type="spellStart"/>
      <w:r w:rsidRPr="008E2C94">
        <w:t>genomförandeakter</w:t>
      </w:r>
      <w:proofErr w:type="spellEnd"/>
      <w:r w:rsidRPr="008E2C94">
        <w:t xml:space="preserve"> ska antas i enlighet med det granskningsförfarande som avses i artikel 18.2 i den här förordningen. ▌</w:t>
      </w:r>
    </w:p>
    <w:p w:rsidR="008E2C94" w:rsidRPr="008E2C94" w:rsidRDefault="008E2C94" w:rsidP="008E2C94">
      <w:pPr>
        <w:widowControl/>
        <w:spacing w:before="120" w:after="120" w:line="360" w:lineRule="auto"/>
        <w:ind w:left="850" w:hanging="850"/>
        <w:rPr>
          <w:szCs w:val="24"/>
        </w:rPr>
      </w:pPr>
      <w:r w:rsidRPr="008E2C94">
        <w:t>3.</w:t>
      </w:r>
      <w:r w:rsidRPr="008E2C94">
        <w:tab/>
      </w:r>
      <w:proofErr w:type="spellStart"/>
      <w:r w:rsidRPr="008E2C94">
        <w:t>Genomförandeakter</w:t>
      </w:r>
      <w:proofErr w:type="spellEnd"/>
      <w:r w:rsidRPr="008E2C94">
        <w:t xml:space="preserve"> som ändrar mer än en tredjedel av uppdelningskategorierna för länder eller territorier ska börja tillämpas tidigast 12 månader efter det att de har trätt i kraft.</w:t>
      </w:r>
    </w:p>
    <w:p w:rsidR="008E2C94" w:rsidRPr="008E2C94" w:rsidRDefault="008E2C94" w:rsidP="008E2C94">
      <w:pPr>
        <w:widowControl/>
        <w:spacing w:before="120" w:after="120" w:line="360" w:lineRule="auto"/>
        <w:jc w:val="center"/>
        <w:rPr>
          <w:szCs w:val="24"/>
        </w:rPr>
      </w:pPr>
      <w:r w:rsidRPr="008E2C94">
        <w:lastRenderedPageBreak/>
        <w:t>Artikel 12</w:t>
      </w:r>
      <w:r w:rsidRPr="008E2C94">
        <w:br/>
        <w:t>Kvalitetskrav och kvalitetsrapportering</w:t>
      </w:r>
    </w:p>
    <w:p w:rsidR="008E2C94" w:rsidRPr="008E2C94" w:rsidRDefault="008E2C94" w:rsidP="008E2C94">
      <w:pPr>
        <w:widowControl/>
        <w:spacing w:before="120" w:after="120" w:line="360" w:lineRule="auto"/>
        <w:ind w:left="850" w:hanging="850"/>
        <w:rPr>
          <w:szCs w:val="24"/>
        </w:rPr>
      </w:pPr>
      <w:r w:rsidRPr="008E2C94">
        <w:t>1.</w:t>
      </w:r>
      <w:r w:rsidRPr="008E2C94">
        <w:tab/>
        <w:t xml:space="preserve">Medlemsstaterna ska vidta nödvändiga åtgärder för att säkerställa kvaliteten på de datauppsättningar och metadata som </w:t>
      </w:r>
      <w:r w:rsidRPr="008E2C94">
        <w:rPr>
          <w:b/>
          <w:i/>
        </w:rPr>
        <w:t>överförs</w:t>
      </w:r>
      <w:r w:rsidRPr="008E2C94">
        <w:t>.</w:t>
      </w:r>
    </w:p>
    <w:p w:rsidR="008E2C94" w:rsidRPr="008E2C94" w:rsidRDefault="008E2C94" w:rsidP="008E2C94">
      <w:pPr>
        <w:widowControl/>
        <w:spacing w:before="120" w:after="120" w:line="360" w:lineRule="auto"/>
        <w:ind w:left="850" w:hanging="850"/>
        <w:rPr>
          <w:szCs w:val="24"/>
        </w:rPr>
      </w:pPr>
      <w:r w:rsidRPr="008E2C94">
        <w:t>2.</w:t>
      </w:r>
      <w:r w:rsidRPr="008E2C94">
        <w:tab/>
        <w:t>Medlemsstaterna ska vidta lämpliga och effektiva åtgärder för att</w:t>
      </w:r>
    </w:p>
    <w:p w:rsidR="008E2C94" w:rsidRPr="008E2C94" w:rsidRDefault="008E2C94" w:rsidP="008E2C94">
      <w:pPr>
        <w:widowControl/>
        <w:spacing w:before="120" w:after="120" w:line="360" w:lineRule="auto"/>
        <w:ind w:left="1416" w:hanging="566"/>
        <w:rPr>
          <w:szCs w:val="24"/>
        </w:rPr>
      </w:pPr>
      <w:r w:rsidRPr="008E2C94">
        <w:t>a)</w:t>
      </w:r>
      <w:r w:rsidRPr="008E2C94">
        <w:tab/>
        <w:t>genomföra de bestämmelser om befolkningsunderlaget som fastställs i artikel 3 på ett enhetligt sätt och oberoende av de uppgiftskällor som används,</w:t>
      </w:r>
    </w:p>
    <w:p w:rsidR="008E2C94" w:rsidRPr="008E2C94" w:rsidRDefault="008E2C94" w:rsidP="008E2C94">
      <w:pPr>
        <w:widowControl/>
        <w:spacing w:before="120" w:after="120" w:line="360" w:lineRule="auto"/>
        <w:ind w:left="1416" w:hanging="566"/>
        <w:rPr>
          <w:szCs w:val="24"/>
        </w:rPr>
      </w:pPr>
      <w:r w:rsidRPr="008E2C94">
        <w:t>b)</w:t>
      </w:r>
      <w:r w:rsidRPr="008E2C94">
        <w:tab/>
        <w:t>inkludera eller skatta befolkningsgrupper som är svåra att nå,</w:t>
      </w:r>
    </w:p>
    <w:p w:rsidR="008E2C94" w:rsidRPr="008E2C94" w:rsidRDefault="008E2C94" w:rsidP="008E2C94">
      <w:pPr>
        <w:widowControl/>
        <w:spacing w:before="120" w:after="120" w:line="360" w:lineRule="auto"/>
        <w:ind w:left="1416" w:hanging="566"/>
        <w:rPr>
          <w:szCs w:val="24"/>
        </w:rPr>
      </w:pPr>
      <w:r w:rsidRPr="008E2C94">
        <w:t>c)</w:t>
      </w:r>
      <w:r w:rsidRPr="008E2C94">
        <w:tab/>
        <w:t>kontrollera fullständigheten och korrektheten för den befolkning som omfattas i enlighet med artikel 3,</w:t>
      </w:r>
    </w:p>
    <w:p w:rsidR="008E2C94" w:rsidRPr="008E2C94" w:rsidRDefault="008E2C94" w:rsidP="008E2C94">
      <w:pPr>
        <w:widowControl/>
        <w:spacing w:before="120" w:after="120" w:line="360" w:lineRule="auto"/>
        <w:ind w:left="1416" w:hanging="566"/>
        <w:rPr>
          <w:szCs w:val="24"/>
        </w:rPr>
      </w:pPr>
      <w:r w:rsidRPr="008E2C94">
        <w:t>d)</w:t>
      </w:r>
      <w:r w:rsidRPr="008E2C94">
        <w:tab/>
        <w:t>fastställa ramar som är lämpliga för de syften som anges i denna förordning och i artikel 12 i förordning (EU) 2019/1700,</w:t>
      </w:r>
    </w:p>
    <w:p w:rsidR="008E2C94" w:rsidRPr="008E2C94" w:rsidRDefault="008E2C94" w:rsidP="008E2C94">
      <w:pPr>
        <w:widowControl/>
        <w:spacing w:before="120" w:after="120" w:line="360" w:lineRule="auto"/>
        <w:ind w:left="1416" w:hanging="566"/>
        <w:rPr>
          <w:szCs w:val="24"/>
        </w:rPr>
      </w:pPr>
      <w:r w:rsidRPr="008E2C94">
        <w:t>e)</w:t>
      </w:r>
      <w:r w:rsidRPr="008E2C94">
        <w:tab/>
        <w:t>undvika eventuella risker för underskattning eller dubbelräkning i samband med den fria rörligheten för personer i unionen, personers tillgång till gränsöverskridande tjänster i samband med demografiska händelser och personers rätt att köpa, äga och använda bostadsfastigheter över gränserna i hela unionen</w:t>
      </w:r>
      <w:r w:rsidRPr="008E2C94">
        <w:rPr>
          <w:b/>
          <w:i/>
        </w:rPr>
        <w:t>, såsom genom att införa gemensamma digitala identifierare</w:t>
      </w:r>
      <w:r w:rsidRPr="008E2C94">
        <w:t>,</w:t>
      </w:r>
    </w:p>
    <w:p w:rsidR="008E2C94" w:rsidRPr="008E2C94" w:rsidRDefault="008E2C94" w:rsidP="008E2C94">
      <w:pPr>
        <w:widowControl/>
        <w:spacing w:before="120" w:after="120" w:line="360" w:lineRule="auto"/>
        <w:ind w:left="1416" w:hanging="566"/>
        <w:rPr>
          <w:szCs w:val="24"/>
        </w:rPr>
      </w:pPr>
      <w:r w:rsidRPr="008E2C94">
        <w:t>f)</w:t>
      </w:r>
      <w:r w:rsidRPr="008E2C94">
        <w:tab/>
      </w:r>
      <w:r w:rsidRPr="008E2C94">
        <w:rPr>
          <w:b/>
          <w:i/>
        </w:rPr>
        <w:t>undvika eventuella risker för underskattning eller dubbelräkning och säkerställa bättre jämförbarhet avseende</w:t>
      </w:r>
      <w:r w:rsidRPr="008E2C94">
        <w:t xml:space="preserve"> migrationsströmmarna,</w:t>
      </w:r>
    </w:p>
    <w:p w:rsidR="008E2C94" w:rsidRPr="008E2C94" w:rsidRDefault="008E2C94" w:rsidP="008E2C94">
      <w:pPr>
        <w:widowControl/>
        <w:spacing w:before="120" w:after="120" w:line="360" w:lineRule="auto"/>
        <w:ind w:left="1416" w:hanging="566"/>
        <w:rPr>
          <w:szCs w:val="24"/>
        </w:rPr>
      </w:pPr>
      <w:r w:rsidRPr="008E2C94">
        <w:t>g)</w:t>
      </w:r>
      <w:r w:rsidRPr="008E2C94">
        <w:tab/>
        <w:t>lämna alla uppgifter till kommissionen (Eurostat) som behövs för att säkerställa att den offentliggjorda europeiska statistiken är fullständig.</w:t>
      </w:r>
    </w:p>
    <w:p w:rsidR="008E2C94" w:rsidRPr="008E2C94" w:rsidRDefault="008E2C94" w:rsidP="008E2C94">
      <w:pPr>
        <w:widowControl/>
        <w:spacing w:before="120" w:after="120" w:line="360" w:lineRule="auto"/>
        <w:ind w:left="851" w:hanging="851"/>
        <w:rPr>
          <w:szCs w:val="24"/>
        </w:rPr>
      </w:pPr>
      <w:r w:rsidRPr="008E2C94">
        <w:rPr>
          <w:b/>
          <w:i/>
        </w:rPr>
        <w:t>2a.</w:t>
      </w:r>
      <w:r w:rsidRPr="008E2C94">
        <w:tab/>
      </w:r>
      <w:r w:rsidRPr="008E2C94">
        <w:rPr>
          <w:b/>
          <w:i/>
        </w:rPr>
        <w:t>Kommissionen (Eurostat) ska bedöma kvaliteten på metadata om specifikationerna för uppgifterna bland annat i syfte att offentliggöra dem på ett användarvänligt sätt på kommissionens (Eurostats) webbplats.</w:t>
      </w:r>
    </w:p>
    <w:p w:rsidR="008E2C94" w:rsidRPr="008E2C94" w:rsidRDefault="008E2C94" w:rsidP="008E2C94">
      <w:pPr>
        <w:widowControl/>
        <w:spacing w:before="120" w:after="120" w:line="360" w:lineRule="auto"/>
        <w:ind w:left="850" w:hanging="850"/>
        <w:rPr>
          <w:szCs w:val="24"/>
        </w:rPr>
      </w:pPr>
      <w:r w:rsidRPr="008E2C94">
        <w:t>3.</w:t>
      </w:r>
      <w:r w:rsidRPr="008E2C94">
        <w:tab/>
        <w:t>Medlemsstaterna ska till kommissionen (Eurostat), första gången senast den 31 mars 2027 och därefter varje år som slutar med ”0”, ”3” eller ”7”, överföra en kvalitetsrapport som beskriver kvaliteten på den statistik som tillhandahålls och de statistiska processerna för de datauppsättningar som tillhandahållits under perioden</w:t>
      </w:r>
      <w:r w:rsidRPr="008E2C94">
        <w:rPr>
          <w:b/>
          <w:i/>
        </w:rPr>
        <w:t>. Dessa kvalitetsrapporter ska innehålla information</w:t>
      </w:r>
      <w:r w:rsidRPr="008E2C94">
        <w:t xml:space="preserve"> om de uppgiftskällor och metoder som använts, tillämpningen av begrepp och definitioner och därmed sammanhängande möjliga effekter på kvaliteten på de utvalda uppgiftskällorna, </w:t>
      </w:r>
      <w:r w:rsidRPr="008E2C94">
        <w:lastRenderedPageBreak/>
        <w:t xml:space="preserve">revideringar av uppgifter och deras orsaker och konsekvenser </w:t>
      </w:r>
      <w:r w:rsidRPr="008E2C94">
        <w:rPr>
          <w:b/>
          <w:i/>
        </w:rPr>
        <w:t>och</w:t>
      </w:r>
      <w:r w:rsidRPr="008E2C94">
        <w:t xml:space="preserve"> metoderna för kontroll av utlämnande av statistiska uppgifter</w:t>
      </w:r>
      <w:r w:rsidRPr="008E2C94">
        <w:rPr>
          <w:b/>
          <w:i/>
        </w:rPr>
        <w:t>. Kvalitetsrapporterna ska också redogöra för hur medlemsstaterna har tillämpat de åtgärder</w:t>
      </w:r>
      <w:r w:rsidRPr="008E2C94">
        <w:t xml:space="preserve"> som avses i punkt </w:t>
      </w:r>
      <w:r w:rsidRPr="008E2C94">
        <w:rPr>
          <w:b/>
          <w:i/>
        </w:rPr>
        <w:t>1 och hur de kvalitetskriterier</w:t>
      </w:r>
      <w:r w:rsidRPr="008E2C94">
        <w:t xml:space="preserve"> som avses i punkt </w:t>
      </w:r>
      <w:r w:rsidRPr="008E2C94">
        <w:rPr>
          <w:b/>
          <w:i/>
        </w:rPr>
        <w:t>2 har uppfyllts</w:t>
      </w:r>
      <w:r w:rsidRPr="008E2C94">
        <w:t>.</w:t>
      </w:r>
    </w:p>
    <w:p w:rsidR="008E2C94" w:rsidRPr="008E2C94" w:rsidRDefault="008E2C94" w:rsidP="008E2C94">
      <w:pPr>
        <w:widowControl/>
        <w:spacing w:before="120" w:after="120" w:line="360" w:lineRule="auto"/>
        <w:ind w:left="850" w:hanging="850"/>
        <w:rPr>
          <w:szCs w:val="24"/>
        </w:rPr>
      </w:pPr>
      <w:r w:rsidRPr="008E2C94">
        <w:t>4.</w:t>
      </w:r>
      <w:r w:rsidRPr="008E2C94">
        <w:tab/>
        <w:t xml:space="preserve">Kommissionen ska anta </w:t>
      </w:r>
      <w:proofErr w:type="spellStart"/>
      <w:r w:rsidRPr="008E2C94">
        <w:t>genomförandeakter</w:t>
      </w:r>
      <w:proofErr w:type="spellEnd"/>
      <w:r w:rsidRPr="008E2C94">
        <w:t xml:space="preserve"> som fastställer praktiska arrangemang för kvalitetsrapporterna och deras innehåll. </w:t>
      </w:r>
    </w:p>
    <w:p w:rsidR="008E2C94" w:rsidRPr="008E2C94" w:rsidRDefault="008E2C94" w:rsidP="008E2C94">
      <w:pPr>
        <w:widowControl/>
        <w:spacing w:before="120" w:after="120" w:line="360" w:lineRule="auto"/>
        <w:ind w:left="850" w:hanging="130"/>
        <w:rPr>
          <w:szCs w:val="24"/>
        </w:rPr>
      </w:pPr>
      <w:r w:rsidRPr="008E2C94">
        <w:t xml:space="preserve">Dessa </w:t>
      </w:r>
      <w:proofErr w:type="spellStart"/>
      <w:r w:rsidRPr="008E2C94">
        <w:t>genomförandeakter</w:t>
      </w:r>
      <w:proofErr w:type="spellEnd"/>
      <w:r w:rsidRPr="008E2C94">
        <w:t xml:space="preserve"> </w:t>
      </w:r>
      <w:r w:rsidRPr="008E2C94">
        <w:rPr>
          <w:b/>
          <w:i/>
        </w:rPr>
        <w:t>får inte medföra någon betydande ytterligare börda eller kostnader för medlemsstaterna.</w:t>
      </w:r>
      <w:r w:rsidRPr="008E2C94">
        <w:t xml:space="preserve"> </w:t>
      </w:r>
    </w:p>
    <w:p w:rsidR="008E2C94" w:rsidRPr="008E2C94" w:rsidRDefault="008E2C94" w:rsidP="008E2C94">
      <w:pPr>
        <w:widowControl/>
        <w:spacing w:before="120" w:after="120" w:line="360" w:lineRule="auto"/>
        <w:ind w:left="850" w:hanging="130"/>
        <w:rPr>
          <w:szCs w:val="24"/>
        </w:rPr>
      </w:pPr>
      <w:r w:rsidRPr="008E2C94">
        <w:rPr>
          <w:b/>
          <w:i/>
        </w:rPr>
        <w:t>De</w:t>
      </w:r>
      <w:r w:rsidRPr="008E2C94">
        <w:t xml:space="preserve"> ska antas i enlighet med det granskningsförfarande som avses i artikel 18.2.</w:t>
      </w:r>
    </w:p>
    <w:p w:rsidR="008E2C94" w:rsidRPr="008E2C94" w:rsidRDefault="008E2C94" w:rsidP="008E2C94">
      <w:pPr>
        <w:widowControl/>
        <w:spacing w:before="120" w:after="120" w:line="360" w:lineRule="auto"/>
        <w:ind w:left="850" w:hanging="850"/>
        <w:rPr>
          <w:szCs w:val="24"/>
        </w:rPr>
      </w:pPr>
      <w:r w:rsidRPr="008E2C94">
        <w:rPr>
          <w:b/>
          <w:i/>
        </w:rPr>
        <w:t>4a.</w:t>
      </w:r>
      <w:r w:rsidRPr="008E2C94">
        <w:tab/>
      </w:r>
      <w:r w:rsidRPr="008E2C94">
        <w:rPr>
          <w:b/>
          <w:i/>
        </w:rPr>
        <w:t xml:space="preserve">Större anpassningar som föreskrivs i sådana </w:t>
      </w:r>
      <w:proofErr w:type="spellStart"/>
      <w:r w:rsidRPr="008E2C94">
        <w:rPr>
          <w:b/>
          <w:i/>
        </w:rPr>
        <w:t>genomförandeakter</w:t>
      </w:r>
      <w:proofErr w:type="spellEnd"/>
      <w:r w:rsidRPr="008E2C94">
        <w:rPr>
          <w:b/>
          <w:i/>
        </w:rPr>
        <w:t xml:space="preserve"> får omfattas av ekonomiskt och tekniskt stöd i enlighet med artikel 15 eller ett undantag enligt artikel 19.1a.</w:t>
      </w:r>
    </w:p>
    <w:p w:rsidR="008E2C94" w:rsidRPr="008E2C94" w:rsidRDefault="008E2C94" w:rsidP="008E2C94">
      <w:pPr>
        <w:widowControl/>
        <w:spacing w:before="120" w:after="120" w:line="360" w:lineRule="auto"/>
        <w:ind w:left="850" w:hanging="850"/>
        <w:rPr>
          <w:szCs w:val="24"/>
        </w:rPr>
      </w:pPr>
      <w:r w:rsidRPr="008E2C94">
        <w:t>5.</w:t>
      </w:r>
      <w:r w:rsidRPr="008E2C94">
        <w:tab/>
        <w:t xml:space="preserve">Medlemsstaterna ska informera kommissionen (Eurostat) så snart som möjligt om alla relevanta upplysningar eller förändringar som rör genomförandet av denna förordning och som kan påverka kvaliteten på den statistik som tillhandahålls </w:t>
      </w:r>
      <w:r w:rsidRPr="008E2C94">
        <w:rPr>
          <w:b/>
          <w:i/>
        </w:rPr>
        <w:t>och ska vidta åtgärder för att lösa problemet utan onödigt dröjsmål</w:t>
      </w:r>
      <w:r w:rsidRPr="008E2C94">
        <w:t>.</w:t>
      </w:r>
    </w:p>
    <w:p w:rsidR="008E2C94" w:rsidRPr="008E2C94" w:rsidRDefault="008E2C94" w:rsidP="008E2C94">
      <w:pPr>
        <w:widowControl/>
        <w:spacing w:before="120" w:after="120" w:line="360" w:lineRule="auto"/>
        <w:ind w:left="850" w:hanging="850"/>
        <w:rPr>
          <w:szCs w:val="24"/>
        </w:rPr>
      </w:pPr>
      <w:r w:rsidRPr="008E2C94">
        <w:t>6.</w:t>
      </w:r>
      <w:r w:rsidRPr="008E2C94">
        <w:tab/>
        <w:t xml:space="preserve">På </w:t>
      </w:r>
      <w:r w:rsidRPr="008E2C94">
        <w:rPr>
          <w:b/>
          <w:i/>
        </w:rPr>
        <w:t>vederbörligen motiverad</w:t>
      </w:r>
      <w:r w:rsidRPr="008E2C94">
        <w:t xml:space="preserve"> begäran av kommissionen (Eurostat) ska medlemsstaterna utan onödigt dröjsmål tillhandahålla de kompletterande klargöranden som är nödvändiga för att utvärdera </w:t>
      </w:r>
      <w:r w:rsidRPr="008E2C94">
        <w:rPr>
          <w:b/>
          <w:i/>
        </w:rPr>
        <w:t>kvaliteten på de statistiska uppgifterna, såsom resultaten av bedömningarna av datakällorna och dokumentationen av metoder</w:t>
      </w:r>
      <w:r w:rsidRPr="008E2C94">
        <w:t>.</w:t>
      </w:r>
    </w:p>
    <w:p w:rsidR="008E2C94" w:rsidRPr="008E2C94" w:rsidRDefault="008E2C94" w:rsidP="008E2C94">
      <w:pPr>
        <w:widowControl/>
        <w:spacing w:before="120" w:after="120" w:line="360" w:lineRule="auto"/>
        <w:jc w:val="center"/>
        <w:rPr>
          <w:szCs w:val="24"/>
        </w:rPr>
      </w:pPr>
      <w:r w:rsidRPr="008E2C94">
        <w:t>Artikel 13</w:t>
      </w:r>
      <w:r w:rsidRPr="008E2C94">
        <w:br/>
        <w:t>Datadelning</w:t>
      </w:r>
    </w:p>
    <w:p w:rsidR="008E2C94" w:rsidRPr="008E2C94" w:rsidRDefault="008E2C94" w:rsidP="008E2C94">
      <w:pPr>
        <w:widowControl/>
        <w:spacing w:before="120" w:after="120" w:line="360" w:lineRule="auto"/>
        <w:ind w:left="850" w:hanging="850"/>
        <w:rPr>
          <w:szCs w:val="24"/>
        </w:rPr>
      </w:pPr>
      <w:r w:rsidRPr="008E2C94">
        <w:t>1.</w:t>
      </w:r>
      <w:r w:rsidRPr="008E2C94">
        <w:tab/>
      </w:r>
      <w:r w:rsidRPr="008E2C94">
        <w:rPr>
          <w:b/>
          <w:i/>
        </w:rPr>
        <w:t>Syftet med datadelning mellan nationella statistikbyråer och andra</w:t>
      </w:r>
      <w:r w:rsidRPr="008E2C94">
        <w:t xml:space="preserve"> nationella </w:t>
      </w:r>
      <w:r w:rsidRPr="008E2C94">
        <w:rPr>
          <w:b/>
          <w:i/>
        </w:rPr>
        <w:t>myndigheter i den förteckning som avses i artikel 5.2 i förordning (EG) nr 223/2009 (nationella statistikmyndigheter)</w:t>
      </w:r>
      <w:r w:rsidRPr="008E2C94">
        <w:t xml:space="preserve"> och mellan dessa </w:t>
      </w:r>
      <w:r w:rsidRPr="008E2C94">
        <w:rPr>
          <w:b/>
          <w:i/>
        </w:rPr>
        <w:t>nationella statistikmyndigheter</w:t>
      </w:r>
      <w:r w:rsidRPr="008E2C94">
        <w:t xml:space="preserve"> och kommissionen (Eurostat) </w:t>
      </w:r>
      <w:r w:rsidRPr="008E2C94">
        <w:rPr>
          <w:b/>
          <w:i/>
        </w:rPr>
        <w:t>ska uteslutande vara att</w:t>
      </w:r>
      <w:r w:rsidRPr="008E2C94">
        <w:t xml:space="preserve"> utveckla och framställa europeisk statistik som omfattas av denna förordning och att förbättra dess kvalitet.</w:t>
      </w:r>
    </w:p>
    <w:p w:rsidR="008E2C94" w:rsidRPr="008E2C94" w:rsidRDefault="008E2C94" w:rsidP="008E2C94">
      <w:pPr>
        <w:widowControl/>
        <w:spacing w:before="120" w:after="120" w:line="360" w:lineRule="auto"/>
        <w:ind w:left="850" w:hanging="850"/>
        <w:rPr>
          <w:szCs w:val="24"/>
        </w:rPr>
      </w:pPr>
      <w:r w:rsidRPr="008E2C94">
        <w:t>2.</w:t>
      </w:r>
      <w:r w:rsidRPr="008E2C94">
        <w:tab/>
        <w:t>För att åstadkomma en säker datadelning inom ESS ska alla nödvändiga skyddsåtgärder</w:t>
      </w:r>
      <w:r w:rsidRPr="008E2C94">
        <w:rPr>
          <w:b/>
          <w:i/>
        </w:rPr>
        <w:t>, inbegripet en säker infrastruktur för datadelning,</w:t>
      </w:r>
      <w:r w:rsidRPr="008E2C94">
        <w:t xml:space="preserve"> vidtas med avseende på det fysiska</w:t>
      </w:r>
      <w:r w:rsidRPr="008E2C94">
        <w:rPr>
          <w:b/>
          <w:i/>
        </w:rPr>
        <w:t>, tekniska</w:t>
      </w:r>
      <w:r w:rsidRPr="008E2C94">
        <w:t xml:space="preserve"> och logiska skyddet av uppgifter. Kommissionen </w:t>
      </w:r>
      <w:r w:rsidRPr="008E2C94">
        <w:lastRenderedPageBreak/>
        <w:t xml:space="preserve">(Eurostat) ska inrätta en säker infrastruktur för att underlätta den datadelning som avses i punkt 1. ▌Nationella </w:t>
      </w:r>
      <w:r w:rsidRPr="008E2C94">
        <w:rPr>
          <w:b/>
          <w:i/>
        </w:rPr>
        <w:t>statistikmyndigheter får använda denna säkra infrastruktur för datadelning för det ändamål som anges i punkt 1. Kommissionen (Eurostat) och de nationella statistikmyndigheter som</w:t>
      </w:r>
      <w:r w:rsidRPr="008E2C94">
        <w:t xml:space="preserve"> använder denna säkra infrastruktur för datadelning </w:t>
      </w:r>
      <w:r w:rsidRPr="008E2C94">
        <w:rPr>
          <w:b/>
          <w:i/>
        </w:rPr>
        <w:t>för behandling av personuppgifter i enlighet med</w:t>
      </w:r>
      <w:r w:rsidRPr="008E2C94">
        <w:t xml:space="preserve"> punkt </w:t>
      </w:r>
      <w:r w:rsidRPr="008E2C94">
        <w:rPr>
          <w:b/>
          <w:i/>
        </w:rPr>
        <w:t>3 ska betraktas som gemensamt personuppgiftsansvariga för behandlingen av personuppgifter i den säkra infrastrukturen för datadelning. Om de nationella statistikmyndigheterna använder en annan infrastruktur för datadelning ska de säkerställa att denna infrastruktur ger minst samma säkerhet som den som kommissionen (Eurostat) har inrättat</w:t>
      </w:r>
      <w:r w:rsidRPr="008E2C94">
        <w:t>.</w:t>
      </w:r>
    </w:p>
    <w:p w:rsidR="008E2C94" w:rsidRPr="008E2C94" w:rsidRDefault="008E2C94" w:rsidP="008E2C94">
      <w:pPr>
        <w:widowControl/>
        <w:spacing w:before="120" w:after="120" w:line="360" w:lineRule="auto"/>
        <w:ind w:left="850" w:hanging="850"/>
        <w:rPr>
          <w:szCs w:val="24"/>
        </w:rPr>
      </w:pPr>
      <w:r w:rsidRPr="008E2C94">
        <w:t>3.</w:t>
      </w:r>
      <w:r w:rsidRPr="008E2C94">
        <w:tab/>
        <w:t xml:space="preserve">Om de berörda uppgifterna är konfidentiella uppgifter i den mening som avses i artikel 3.7 i förordning (EG) nr 223/2009 eller personuppgifter enligt förordningarna (EU) 2016/679 och (EU) 2018/1725, </w:t>
      </w:r>
      <w:r w:rsidRPr="008E2C94">
        <w:rPr>
          <w:b/>
          <w:bCs/>
          <w:i/>
          <w:iCs/>
        </w:rPr>
        <w:t xml:space="preserve">får delning </w:t>
      </w:r>
      <w:r w:rsidRPr="008E2C94">
        <w:t xml:space="preserve">av sådana </w:t>
      </w:r>
      <w:r w:rsidRPr="008E2C94">
        <w:rPr>
          <w:b/>
          <w:bCs/>
          <w:i/>
          <w:iCs/>
        </w:rPr>
        <w:t>data</w:t>
      </w:r>
      <w:r w:rsidRPr="008E2C94">
        <w:t xml:space="preserve"> ske på frivillig basis, förutsatt att detta görs</w:t>
      </w:r>
    </w:p>
    <w:p w:rsidR="008E2C94" w:rsidRPr="008E2C94" w:rsidRDefault="008E2C94" w:rsidP="008E2C94">
      <w:pPr>
        <w:widowControl/>
        <w:spacing w:before="120" w:after="120" w:line="360" w:lineRule="auto"/>
        <w:ind w:left="1416" w:hanging="566"/>
        <w:rPr>
          <w:szCs w:val="24"/>
        </w:rPr>
      </w:pPr>
      <w:r w:rsidRPr="008E2C94">
        <w:t>a)</w:t>
      </w:r>
      <w:r w:rsidRPr="008E2C94">
        <w:tab/>
        <w:t>på grundval av en begäran som motiverar behovet av att utbyta uppgifterna i varje enskilt fall, särskilt när det gäller de kvalitetsfrågor som specifikt ska behandlas,</w:t>
      </w:r>
    </w:p>
    <w:p w:rsidR="008E2C94" w:rsidRPr="008E2C94" w:rsidRDefault="008E2C94" w:rsidP="008E2C94">
      <w:pPr>
        <w:widowControl/>
        <w:spacing w:before="120" w:after="120" w:line="360" w:lineRule="auto"/>
        <w:ind w:left="1416" w:hanging="566"/>
        <w:rPr>
          <w:szCs w:val="24"/>
        </w:rPr>
      </w:pPr>
      <w:r w:rsidRPr="008E2C94">
        <w:t>b)</w:t>
      </w:r>
      <w:r w:rsidRPr="008E2C94">
        <w:tab/>
        <w:t xml:space="preserve">▌på grundval av integritetsfrämjande teknik som är särskilt utformad för att genomföra principerna i förordningarna (EU) 2016/679 och (EU) 2018/1725, med särskild hänsyn till ändamålsbegränsning, uppgiftsminimering, lagringsbegränsning, integritet och </w:t>
      </w:r>
      <w:proofErr w:type="spellStart"/>
      <w:r w:rsidRPr="008E2C94">
        <w:t>konfidentialitet</w:t>
      </w:r>
      <w:proofErr w:type="spellEnd"/>
      <w:r w:rsidRPr="008E2C94">
        <w:t>.</w:t>
      </w:r>
    </w:p>
    <w:p w:rsidR="008E2C94" w:rsidRPr="008E2C94" w:rsidRDefault="008E2C94" w:rsidP="008E2C94">
      <w:pPr>
        <w:widowControl/>
        <w:spacing w:before="120" w:after="120" w:line="360" w:lineRule="auto"/>
        <w:ind w:left="1416" w:hanging="566"/>
        <w:rPr>
          <w:szCs w:val="24"/>
        </w:rPr>
      </w:pPr>
      <w:r w:rsidRPr="008E2C94">
        <w:t>c)</w:t>
      </w:r>
      <w:r w:rsidRPr="008E2C94">
        <w:tab/>
        <w:t>utan att det påverkar tillämpningen av kapitel V i förordning (EG) nr 223/2009.</w:t>
      </w:r>
    </w:p>
    <w:p w:rsidR="008E2C94" w:rsidRPr="008E2C94" w:rsidRDefault="008E2C94" w:rsidP="008E2C94">
      <w:pPr>
        <w:widowControl/>
        <w:spacing w:before="120" w:after="120" w:line="360" w:lineRule="auto"/>
        <w:ind w:left="1416" w:hanging="566"/>
        <w:rPr>
          <w:szCs w:val="24"/>
        </w:rPr>
      </w:pPr>
      <w:r w:rsidRPr="008E2C94">
        <w:rPr>
          <w:b/>
          <w:i/>
        </w:rPr>
        <w:t>3a.</w:t>
      </w:r>
      <w:r w:rsidRPr="008E2C94">
        <w:tab/>
      </w:r>
      <w:r w:rsidRPr="008E2C94">
        <w:rPr>
          <w:b/>
          <w:i/>
        </w:rPr>
        <w:t>För den datadelning som avses i punkt 1 ska icke-konfidentiella uppgifter delas mellan nationella statistikbyråer och andra nationella myndigheter i olika medlemsstater och mellan dessa nationella statistikmyndigheter och kommissionen (Eurostat).</w:t>
      </w:r>
    </w:p>
    <w:p w:rsidR="008E2C94" w:rsidRPr="008E2C94" w:rsidRDefault="008E2C94" w:rsidP="008E2C94">
      <w:pPr>
        <w:widowControl/>
        <w:spacing w:before="120" w:after="120" w:line="360" w:lineRule="auto"/>
        <w:ind w:left="850" w:hanging="850"/>
        <w:rPr>
          <w:szCs w:val="24"/>
        </w:rPr>
      </w:pPr>
      <w:r w:rsidRPr="008E2C94">
        <w:t>4.</w:t>
      </w:r>
      <w:r w:rsidRPr="008E2C94">
        <w:tab/>
        <w:t xml:space="preserve">Kommissionen (Eurostat) och medlemsstaterna ska genom pilotstudier testa och bedöma </w:t>
      </w:r>
      <w:r w:rsidRPr="008E2C94">
        <w:rPr>
          <w:b/>
          <w:i/>
        </w:rPr>
        <w:t>infrastrukturen för och</w:t>
      </w:r>
      <w:r w:rsidRPr="008E2C94">
        <w:t xml:space="preserve"> ändamålsenligheten hos relevant integritetsfrämjande teknik för datadelning.</w:t>
      </w:r>
    </w:p>
    <w:p w:rsidR="008E2C94" w:rsidRPr="008E2C94" w:rsidRDefault="008E2C94" w:rsidP="008E2C94">
      <w:pPr>
        <w:widowControl/>
        <w:spacing w:before="120" w:after="120" w:line="360" w:lineRule="auto"/>
        <w:ind w:left="850" w:hanging="850"/>
        <w:rPr>
          <w:szCs w:val="24"/>
        </w:rPr>
      </w:pPr>
      <w:r w:rsidRPr="008E2C94">
        <w:t>5.</w:t>
      </w:r>
      <w:r w:rsidRPr="008E2C94">
        <w:tab/>
        <w:t xml:space="preserve">Om de pilotstudier som genomförs enligt punkt 4 i denna artikel identifierar effektiva och säkra datadelningslösningar för de ändamål som avses i punkt 1 i denna artikel får kommissionen anta </w:t>
      </w:r>
      <w:proofErr w:type="spellStart"/>
      <w:r w:rsidRPr="008E2C94">
        <w:t>genomförandeakter</w:t>
      </w:r>
      <w:proofErr w:type="spellEnd"/>
      <w:r w:rsidRPr="008E2C94">
        <w:t xml:space="preserve"> för att fastställa tekniska specifikationer </w:t>
      </w:r>
      <w:r w:rsidRPr="008E2C94">
        <w:lastRenderedPageBreak/>
        <w:t xml:space="preserve">för datadelningen och åtgärder för informationens </w:t>
      </w:r>
      <w:proofErr w:type="spellStart"/>
      <w:r w:rsidRPr="008E2C94">
        <w:t>konfidentialitet</w:t>
      </w:r>
      <w:proofErr w:type="spellEnd"/>
      <w:r w:rsidRPr="008E2C94">
        <w:t xml:space="preserve"> och säkerhet. Dessa </w:t>
      </w:r>
      <w:proofErr w:type="spellStart"/>
      <w:r w:rsidRPr="008E2C94">
        <w:t>genomförandeakter</w:t>
      </w:r>
      <w:proofErr w:type="spellEnd"/>
      <w:r w:rsidRPr="008E2C94">
        <w:t xml:space="preserve"> ska antas i enlighet med det granskningsförfarande som avses i artikel 18.2.</w:t>
      </w:r>
    </w:p>
    <w:p w:rsidR="008E2C94" w:rsidRPr="008E2C94" w:rsidRDefault="008E2C94" w:rsidP="008E2C94">
      <w:pPr>
        <w:widowControl/>
        <w:spacing w:before="120" w:after="120" w:line="360" w:lineRule="auto"/>
        <w:jc w:val="center"/>
        <w:rPr>
          <w:szCs w:val="24"/>
        </w:rPr>
      </w:pPr>
      <w:r w:rsidRPr="008E2C94">
        <w:t>Artikel 14</w:t>
      </w:r>
      <w:r w:rsidRPr="008E2C94">
        <w:br/>
        <w:t>Pilot- och genomförbarhetsstudier</w:t>
      </w:r>
    </w:p>
    <w:p w:rsidR="008E2C94" w:rsidRPr="008E2C94" w:rsidRDefault="008E2C94" w:rsidP="008E2C94">
      <w:pPr>
        <w:widowControl/>
        <w:spacing w:before="120" w:after="120" w:line="360" w:lineRule="auto"/>
        <w:ind w:left="850" w:hanging="850"/>
        <w:rPr>
          <w:szCs w:val="24"/>
        </w:rPr>
      </w:pPr>
      <w:r w:rsidRPr="008E2C94">
        <w:t>1.</w:t>
      </w:r>
      <w:r w:rsidRPr="008E2C94">
        <w:tab/>
        <w:t>Kommissionen (Eurostat) ska, när så är nödvändigt och lämpligt för tillämpningen av denna förordning, inleda pilot- och genomförbarhetsstudier som syftar till att</w:t>
      </w:r>
    </w:p>
    <w:p w:rsidR="008E2C94" w:rsidRPr="008E2C94" w:rsidRDefault="008E2C94" w:rsidP="008E2C94">
      <w:pPr>
        <w:widowControl/>
        <w:spacing w:before="120" w:after="120" w:line="360" w:lineRule="auto"/>
        <w:ind w:left="1416" w:hanging="566"/>
        <w:rPr>
          <w:szCs w:val="24"/>
        </w:rPr>
      </w:pPr>
      <w:r w:rsidRPr="008E2C94">
        <w:t>a)</w:t>
      </w:r>
      <w:r w:rsidRPr="008E2C94">
        <w:tab/>
        <w:t>bedöma tillgången till uppgiftskällor och deras kvalitet, inbegripet uppgifter som innehas offentligt och privat i medlemsstaterna och på unionsnivå,</w:t>
      </w:r>
    </w:p>
    <w:p w:rsidR="008E2C94" w:rsidRPr="008E2C94" w:rsidRDefault="008E2C94" w:rsidP="008E2C94">
      <w:pPr>
        <w:widowControl/>
        <w:spacing w:before="120" w:after="120" w:line="360" w:lineRule="auto"/>
        <w:ind w:left="1416" w:hanging="566"/>
        <w:rPr>
          <w:szCs w:val="24"/>
        </w:rPr>
      </w:pPr>
      <w:r w:rsidRPr="008E2C94">
        <w:t>b)</w:t>
      </w:r>
      <w:r w:rsidRPr="008E2C94">
        <w:tab/>
        <w:t>utveckla och bedöma möjligheten att införa nya ▌specifika ämnen, statistiska enheter, variabler och uppdelningar av dessa,</w:t>
      </w:r>
    </w:p>
    <w:p w:rsidR="008E2C94" w:rsidRPr="008E2C94" w:rsidRDefault="008E2C94" w:rsidP="008E2C94">
      <w:pPr>
        <w:widowControl/>
        <w:spacing w:before="120" w:after="120" w:line="360" w:lineRule="auto"/>
        <w:ind w:left="1416" w:hanging="566"/>
        <w:rPr>
          <w:szCs w:val="24"/>
        </w:rPr>
      </w:pPr>
      <w:proofErr w:type="spellStart"/>
      <w:r w:rsidRPr="008E2C94">
        <w:rPr>
          <w:b/>
          <w:i/>
        </w:rPr>
        <w:t>ba</w:t>
      </w:r>
      <w:proofErr w:type="spellEnd"/>
      <w:r w:rsidRPr="008E2C94">
        <w:rPr>
          <w:b/>
          <w:i/>
        </w:rPr>
        <w:t>)</w:t>
      </w:r>
      <w:r w:rsidRPr="008E2C94">
        <w:tab/>
      </w:r>
      <w:r w:rsidRPr="008E2C94">
        <w:rPr>
          <w:b/>
          <w:i/>
        </w:rPr>
        <w:t>bedöma tillgången till datakällor och förbättra metoderna för att tillhandahålla statistik om personer med funktionsnedsättning och testa uppdelningar av statistik, inbegripet dess jämförbarhet, i enlighet med nationell lagstiftning och praxis för dataskydd och kontroll av utlämnande,</w:t>
      </w:r>
    </w:p>
    <w:p w:rsidR="008E2C94" w:rsidRPr="008E2C94" w:rsidRDefault="008E2C94" w:rsidP="008E2C94">
      <w:pPr>
        <w:widowControl/>
        <w:spacing w:before="120" w:after="120" w:line="360" w:lineRule="auto"/>
        <w:ind w:left="1416" w:hanging="566"/>
        <w:rPr>
          <w:szCs w:val="24"/>
        </w:rPr>
      </w:pPr>
      <w:r w:rsidRPr="008E2C94">
        <w:t>c)</w:t>
      </w:r>
      <w:r w:rsidRPr="008E2C94">
        <w:tab/>
        <w:t xml:space="preserve">utveckla nya metoder och statistiska tekniker för att höja kvaliteten </w:t>
      </w:r>
      <w:r w:rsidRPr="008E2C94">
        <w:rPr>
          <w:b/>
          <w:i/>
        </w:rPr>
        <w:t>och förbättra informationen om befolkningsgrupper som är svåra att nå</w:t>
      </w:r>
      <w:r w:rsidRPr="008E2C94">
        <w:t>,</w:t>
      </w:r>
    </w:p>
    <w:p w:rsidR="008E2C94" w:rsidRPr="008E2C94" w:rsidRDefault="008E2C94" w:rsidP="008E2C94">
      <w:pPr>
        <w:widowControl/>
        <w:spacing w:before="120" w:after="120" w:line="360" w:lineRule="auto"/>
        <w:ind w:left="1416" w:hanging="566"/>
        <w:rPr>
          <w:szCs w:val="24"/>
        </w:rPr>
      </w:pPr>
      <w:r w:rsidRPr="008E2C94">
        <w:t>d)</w:t>
      </w:r>
      <w:r w:rsidRPr="008E2C94">
        <w:tab/>
        <w:t xml:space="preserve">minska </w:t>
      </w:r>
      <w:r w:rsidRPr="008E2C94">
        <w:rPr>
          <w:b/>
          <w:i/>
        </w:rPr>
        <w:t xml:space="preserve">skillnaderna </w:t>
      </w:r>
      <w:r w:rsidRPr="008E2C94">
        <w:t xml:space="preserve">i </w:t>
      </w:r>
      <w:r w:rsidRPr="008E2C94">
        <w:rPr>
          <w:b/>
          <w:i/>
        </w:rPr>
        <w:t>uppgifter om migrationsströmmar och säkerställa bättre jämförbarhet för dem</w:t>
      </w:r>
      <w:r w:rsidRPr="008E2C94">
        <w:t>,</w:t>
      </w:r>
    </w:p>
    <w:p w:rsidR="008E2C94" w:rsidRPr="008E2C94" w:rsidRDefault="008E2C94" w:rsidP="008E2C94">
      <w:pPr>
        <w:widowControl/>
        <w:spacing w:before="120" w:after="120" w:line="360" w:lineRule="auto"/>
        <w:ind w:left="1416" w:hanging="566"/>
        <w:rPr>
          <w:szCs w:val="24"/>
        </w:rPr>
      </w:pPr>
      <w:r w:rsidRPr="008E2C94">
        <w:rPr>
          <w:b/>
          <w:i/>
        </w:rPr>
        <w:t>da)</w:t>
      </w:r>
      <w:r w:rsidRPr="008E2C94">
        <w:tab/>
      </w:r>
      <w:r w:rsidRPr="008E2C94">
        <w:rPr>
          <w:b/>
          <w:i/>
        </w:rPr>
        <w:t>minska eventuell underskattning eller dubbelräkning av personer,</w:t>
      </w:r>
    </w:p>
    <w:p w:rsidR="008E2C94" w:rsidRPr="008E2C94" w:rsidRDefault="008E2C94" w:rsidP="008E2C94">
      <w:pPr>
        <w:widowControl/>
        <w:spacing w:before="120" w:after="120" w:line="360" w:lineRule="auto"/>
        <w:ind w:left="1416" w:hanging="566"/>
        <w:rPr>
          <w:szCs w:val="24"/>
        </w:rPr>
      </w:pPr>
      <w:r w:rsidRPr="008E2C94">
        <w:t>e)</w:t>
      </w:r>
      <w:r w:rsidRPr="008E2C94">
        <w:tab/>
        <w:t xml:space="preserve">testa och bedöma </w:t>
      </w:r>
      <w:r w:rsidRPr="008E2C94">
        <w:rPr>
          <w:b/>
          <w:i/>
        </w:rPr>
        <w:t>infrastrukturen för och</w:t>
      </w:r>
      <w:r w:rsidRPr="008E2C94">
        <w:t xml:space="preserve"> ändamålsenligheten hos relevant integritetsfrämjande teknik för säker datadelning inom ESS i enlighet med artikel 13.4.</w:t>
      </w:r>
    </w:p>
    <w:p w:rsidR="008E2C94" w:rsidRPr="008E2C94" w:rsidRDefault="008E2C94" w:rsidP="008E2C94">
      <w:pPr>
        <w:widowControl/>
        <w:spacing w:before="120" w:after="120" w:line="360" w:lineRule="auto"/>
        <w:ind w:left="850" w:hanging="850"/>
        <w:rPr>
          <w:szCs w:val="24"/>
        </w:rPr>
      </w:pPr>
      <w:r w:rsidRPr="008E2C94">
        <w:t>2.</w:t>
      </w:r>
      <w:r w:rsidRPr="008E2C94">
        <w:tab/>
        <w:t>Medlemsstaterna får delta i dessa studier men ska tillsammans med kommissionen (Eurostat) säkerställa att dessa studier är representativa på unionsnivå.</w:t>
      </w:r>
    </w:p>
    <w:p w:rsidR="008E2C94" w:rsidRPr="008E2C94" w:rsidRDefault="008E2C94" w:rsidP="008E2C94">
      <w:pPr>
        <w:widowControl/>
        <w:spacing w:before="120" w:after="120" w:line="360" w:lineRule="auto"/>
        <w:ind w:left="850" w:hanging="850"/>
        <w:rPr>
          <w:szCs w:val="24"/>
        </w:rPr>
      </w:pPr>
      <w:r w:rsidRPr="008E2C94">
        <w:t>3.</w:t>
      </w:r>
      <w:r w:rsidRPr="008E2C94">
        <w:tab/>
        <w:t>Resultaten av dessa studier ska utvärderas av kommissionen (Eurostat) i samarbete med medlemsstaterna. Kommissionen (Eurostat) ska i samarbete med medlemsstaterna utarbeta rapporter om resultaten av dessa studier.</w:t>
      </w:r>
    </w:p>
    <w:p w:rsidR="008E2C94" w:rsidRPr="008E2C94" w:rsidRDefault="008E2C94" w:rsidP="008E2C94">
      <w:pPr>
        <w:widowControl/>
        <w:spacing w:before="120" w:after="120" w:line="360" w:lineRule="auto"/>
        <w:jc w:val="center"/>
        <w:rPr>
          <w:szCs w:val="24"/>
        </w:rPr>
      </w:pPr>
      <w:r w:rsidRPr="008E2C94">
        <w:t>Artikel 15</w:t>
      </w:r>
      <w:r w:rsidRPr="008E2C94">
        <w:br/>
        <w:t>Finansiering</w:t>
      </w:r>
    </w:p>
    <w:p w:rsidR="008E2C94" w:rsidRPr="008E2C94" w:rsidRDefault="008E2C94" w:rsidP="008E2C94">
      <w:pPr>
        <w:widowControl/>
        <w:spacing w:before="120" w:after="120" w:line="360" w:lineRule="auto"/>
        <w:ind w:left="850" w:hanging="850"/>
        <w:rPr>
          <w:szCs w:val="24"/>
        </w:rPr>
      </w:pPr>
      <w:r w:rsidRPr="008E2C94">
        <w:lastRenderedPageBreak/>
        <w:t>1.</w:t>
      </w:r>
      <w:r w:rsidRPr="008E2C94">
        <w:tab/>
      </w:r>
      <w:r w:rsidRPr="008E2C94">
        <w:rPr>
          <w:b/>
          <w:i/>
        </w:rPr>
        <w:t>När det gäller genomförandet av denna förordning ska</w:t>
      </w:r>
      <w:r w:rsidRPr="008E2C94">
        <w:t xml:space="preserve"> finansiella bidrag från </w:t>
      </w:r>
      <w:r w:rsidRPr="008E2C94">
        <w:rPr>
          <w:b/>
          <w:i/>
        </w:rPr>
        <w:t>programmet för den inre marknaden, inrättat genom förordning (EU) 2021/690, i enlighet med förordning (EU, Euratom) 2018/1046 göras tillgängligt för de</w:t>
      </w:r>
      <w:r w:rsidRPr="008E2C94">
        <w:t xml:space="preserve"> nationella statistikmyndigheter som avses i artikel 5.2 i förordning (EG) nr 223/2009 för</w:t>
      </w:r>
    </w:p>
    <w:p w:rsidR="008E2C94" w:rsidRPr="008E2C94" w:rsidRDefault="008E2C94" w:rsidP="008E2C94">
      <w:pPr>
        <w:widowControl/>
        <w:spacing w:before="120" w:after="120" w:line="360" w:lineRule="auto"/>
        <w:ind w:left="1416" w:hanging="566"/>
        <w:rPr>
          <w:szCs w:val="24"/>
        </w:rPr>
      </w:pPr>
      <w:r w:rsidRPr="008E2C94">
        <w:t>a)</w:t>
      </w:r>
      <w:r w:rsidRPr="008E2C94">
        <w:tab/>
      </w:r>
      <w:r w:rsidRPr="008E2C94">
        <w:rPr>
          <w:b/>
          <w:i/>
        </w:rPr>
        <w:t>anpassning av den infrastruktur och utbildning inom det nationella statistiksystemet som krävs för</w:t>
      </w:r>
      <w:r w:rsidRPr="008E2C94">
        <w:t xml:space="preserve"> utvecklingen och införandet av nya eller förbättrade uppgiftskällor, metoder, datadelningar, statistiska enheter, ämnen, specifika ämnen, variabler och uppdelningar av dessa,</w:t>
      </w:r>
    </w:p>
    <w:p w:rsidR="008E2C94" w:rsidRPr="008E2C94" w:rsidRDefault="008E2C94" w:rsidP="008E2C94">
      <w:pPr>
        <w:widowControl/>
        <w:spacing w:before="120" w:after="120" w:line="360" w:lineRule="auto"/>
        <w:ind w:left="1416" w:hanging="566"/>
        <w:rPr>
          <w:szCs w:val="24"/>
        </w:rPr>
      </w:pPr>
      <w:proofErr w:type="spellStart"/>
      <w:r w:rsidRPr="008E2C94">
        <w:rPr>
          <w:b/>
          <w:i/>
        </w:rPr>
        <w:t>aa</w:t>
      </w:r>
      <w:proofErr w:type="spellEnd"/>
      <w:r w:rsidRPr="008E2C94">
        <w:rPr>
          <w:b/>
          <w:i/>
        </w:rPr>
        <w:t>)</w:t>
      </w:r>
      <w:r w:rsidRPr="008E2C94">
        <w:tab/>
      </w:r>
      <w:r w:rsidRPr="008E2C94">
        <w:rPr>
          <w:b/>
          <w:i/>
        </w:rPr>
        <w:t>förberedelse och genomförande av den insamling av särskilda data som avses i artikel 7,</w:t>
      </w:r>
    </w:p>
    <w:p w:rsidR="008E2C94" w:rsidRPr="008E2C94" w:rsidRDefault="008E2C94" w:rsidP="008E2C94">
      <w:pPr>
        <w:widowControl/>
        <w:spacing w:before="120" w:after="120" w:line="360" w:lineRule="auto"/>
        <w:ind w:left="1416" w:hanging="566"/>
        <w:rPr>
          <w:szCs w:val="24"/>
        </w:rPr>
      </w:pPr>
      <w:r w:rsidRPr="008E2C94">
        <w:t>b)</w:t>
      </w:r>
      <w:r w:rsidRPr="008E2C94">
        <w:tab/>
        <w:t>medlemsstaternas deltagande i de representativa pilot- och genomförbarhetsstudier som avses i artikel 14.</w:t>
      </w:r>
    </w:p>
    <w:p w:rsidR="008E2C94" w:rsidRPr="008E2C94" w:rsidRDefault="008E2C94" w:rsidP="008E2C94">
      <w:pPr>
        <w:widowControl/>
        <w:spacing w:before="120" w:after="120" w:line="360" w:lineRule="auto"/>
        <w:ind w:left="851" w:hanging="851"/>
        <w:rPr>
          <w:szCs w:val="24"/>
        </w:rPr>
      </w:pPr>
      <w:r w:rsidRPr="008E2C94">
        <w:rPr>
          <w:b/>
          <w:i/>
        </w:rPr>
        <w:t>1a.</w:t>
      </w:r>
      <w:r w:rsidRPr="008E2C94">
        <w:tab/>
      </w:r>
      <w:r w:rsidRPr="008E2C94">
        <w:rPr>
          <w:b/>
          <w:i/>
        </w:rPr>
        <w:t>Beloppet för unionens ekonomiska bidrag som gjorts tillgängligt i enlighet med denna artikel ska fastställas i enlighet med reglerna för programmet för den inre marknaden som en del av det årliga budgetförfarandet, under förutsättning att finansiering finns tillgänglig.</w:t>
      </w:r>
    </w:p>
    <w:p w:rsidR="008E2C94" w:rsidRPr="008E2C94" w:rsidRDefault="008E2C94" w:rsidP="008E2C94">
      <w:pPr>
        <w:widowControl/>
        <w:spacing w:before="120" w:after="120" w:line="360" w:lineRule="auto"/>
        <w:ind w:left="850"/>
        <w:rPr>
          <w:szCs w:val="24"/>
        </w:rPr>
      </w:pPr>
      <w:r w:rsidRPr="008E2C94">
        <w:rPr>
          <w:b/>
          <w:i/>
        </w:rPr>
        <w:t>Dessutom får nationella statistikmyndigheter som avses i artikel 5.2 i förordning (EG) nr 223/2009 ansöka om stöd från andra tillämpliga Europeiska unionens finansiella program i enlighet med reglerna för sådana program. Medlemsstaterna får också ansöka om stöd från instrumentet för tekniskt stöd för att förbättra statistikens kvalitet och för att utveckla metoder enligt kraven i denna förordning i enlighet med reglerna för instrumentet för tekniskt stöd och dess mål att främja framställning, tillhandahållande och kvalitetsövervakning av data och statistik.</w:t>
      </w:r>
    </w:p>
    <w:p w:rsidR="008E2C94" w:rsidRPr="008E2C94" w:rsidRDefault="008E2C94" w:rsidP="008E2C94">
      <w:pPr>
        <w:widowControl/>
        <w:spacing w:before="120" w:after="120" w:line="360" w:lineRule="auto"/>
        <w:ind w:left="850" w:hanging="850"/>
        <w:rPr>
          <w:szCs w:val="24"/>
        </w:rPr>
      </w:pPr>
      <w:r w:rsidRPr="008E2C94">
        <w:t>2.</w:t>
      </w:r>
      <w:r w:rsidRPr="008E2C94">
        <w:tab/>
        <w:t>Unionens ekonomiska bidrag får inte överstiga 90 % av de stödberättigande kostnaderna.</w:t>
      </w:r>
    </w:p>
    <w:p w:rsidR="008E2C94" w:rsidRPr="008E2C94" w:rsidRDefault="008E2C94" w:rsidP="008E2C94">
      <w:pPr>
        <w:widowControl/>
        <w:spacing w:before="120" w:after="120" w:line="360" w:lineRule="auto"/>
        <w:jc w:val="center"/>
        <w:rPr>
          <w:szCs w:val="24"/>
        </w:rPr>
      </w:pPr>
      <w:r w:rsidRPr="008E2C94">
        <w:t>Artikel 16</w:t>
      </w:r>
      <w:r w:rsidRPr="008E2C94">
        <w:br/>
        <w:t>Skydd av unionens ekonomiska intressen</w:t>
      </w:r>
    </w:p>
    <w:p w:rsidR="008E2C94" w:rsidRPr="008E2C94" w:rsidRDefault="008E2C94" w:rsidP="008E2C94">
      <w:pPr>
        <w:widowControl/>
        <w:spacing w:before="120" w:after="120" w:line="360" w:lineRule="auto"/>
        <w:rPr>
          <w:szCs w:val="24"/>
        </w:rPr>
      </w:pPr>
      <w:r w:rsidRPr="008E2C94">
        <w:t xml:space="preserve">Om ett tredjeland deltar i åtgärder som finansieras enligt denna förordning genom ett beslut antaget enligt ett internationellt avtal eller på grundval av något annat rättsligt instrument ska tredjelandet bevilja de rättigheter och den tillgång som krävs för att den behöriga utanordnaren, Europeiska byrån för bedrägeribekämpning (Olaf) och revisionsrätten ska </w:t>
      </w:r>
      <w:r w:rsidRPr="008E2C94">
        <w:lastRenderedPageBreak/>
        <w:t>kunna utöva sina respektive befogenheter på ett heltäckande sätt. När det gäller Olaf ska dessa rättigheter innefatta rätten att göra utredningar, inklusive kontroller och inspektioner på plats, i enlighet med förordning (EU, Euratom) nr 883/2013.</w:t>
      </w:r>
    </w:p>
    <w:p w:rsidR="008E2C94" w:rsidRPr="008E2C94" w:rsidRDefault="008E2C94" w:rsidP="008E2C94">
      <w:pPr>
        <w:widowControl/>
        <w:spacing w:before="120" w:after="120" w:line="360" w:lineRule="auto"/>
        <w:jc w:val="center"/>
        <w:rPr>
          <w:szCs w:val="24"/>
        </w:rPr>
      </w:pPr>
      <w:r w:rsidRPr="008E2C94">
        <w:t>Artikel 17</w:t>
      </w:r>
      <w:r w:rsidRPr="008E2C94">
        <w:br/>
        <w:t>Utövande av delegeringen</w:t>
      </w:r>
    </w:p>
    <w:p w:rsidR="008E2C94" w:rsidRPr="008E2C94" w:rsidRDefault="008E2C94" w:rsidP="008E2C94">
      <w:pPr>
        <w:widowControl/>
        <w:spacing w:before="120" w:after="120" w:line="360" w:lineRule="auto"/>
        <w:ind w:left="850" w:hanging="850"/>
        <w:rPr>
          <w:szCs w:val="24"/>
        </w:rPr>
      </w:pPr>
      <w:r w:rsidRPr="008E2C94">
        <w:t>1.</w:t>
      </w:r>
      <w:r w:rsidRPr="008E2C94">
        <w:tab/>
        <w:t>Befogenheten att anta delegerade akter ges till kommissionen med förbehåll för de villkor som anges i denna artikel.</w:t>
      </w:r>
    </w:p>
    <w:p w:rsidR="008E2C94" w:rsidRPr="008E2C94" w:rsidRDefault="008E2C94" w:rsidP="008E2C94">
      <w:pPr>
        <w:widowControl/>
        <w:spacing w:before="120" w:after="120" w:line="360" w:lineRule="auto"/>
        <w:ind w:left="850" w:hanging="850"/>
        <w:rPr>
          <w:szCs w:val="24"/>
        </w:rPr>
      </w:pPr>
      <w:r w:rsidRPr="008E2C94">
        <w:t>2.</w:t>
      </w:r>
      <w:r w:rsidRPr="008E2C94">
        <w:tab/>
        <w:t>Den befogenhet att anta delegerade akter som avses i artiklarna 5.3, 6.6 och 7.2 ges till kommissionen tills vidare från och med den [OP: för in dagen för denna förordnings ikraftträdande].</w:t>
      </w:r>
    </w:p>
    <w:p w:rsidR="008E2C94" w:rsidRPr="008E2C94" w:rsidRDefault="008E2C94" w:rsidP="008E2C94">
      <w:pPr>
        <w:widowControl/>
        <w:spacing w:before="120" w:after="120" w:line="360" w:lineRule="auto"/>
        <w:ind w:left="850" w:hanging="850"/>
        <w:rPr>
          <w:szCs w:val="24"/>
        </w:rPr>
      </w:pPr>
      <w:r w:rsidRPr="008E2C94">
        <w:t>3.</w:t>
      </w:r>
      <w:r w:rsidRPr="008E2C94">
        <w:tab/>
        <w:t xml:space="preserve">Den delegering av befogenhet som avses i artiklarna 5.3, 6.6 och 7.2 får när som helst återkallas av Europaparlamentet eller rådet. Ett beslut om återkallelse innebär att delegeringen av den befogenhet som anges i beslutet upphör att gälla. Beslutet får verkan dagen efter det att det offentliggörs i </w:t>
      </w:r>
      <w:r w:rsidRPr="008E2C94">
        <w:rPr>
          <w:i/>
          <w:iCs/>
        </w:rPr>
        <w:t>Europeiska unionens officiella tidning</w:t>
      </w:r>
      <w:r w:rsidRPr="008E2C94">
        <w:t>, eller vid ett senare i beslutet angivet datum. Det påverkar inte giltigheten av delegerade akter som redan har trätt i kraft.</w:t>
      </w:r>
    </w:p>
    <w:p w:rsidR="008E2C94" w:rsidRPr="008E2C94" w:rsidRDefault="008E2C94" w:rsidP="008E2C94">
      <w:pPr>
        <w:widowControl/>
        <w:spacing w:before="120" w:after="120" w:line="360" w:lineRule="auto"/>
        <w:ind w:left="850" w:hanging="850"/>
        <w:rPr>
          <w:szCs w:val="24"/>
        </w:rPr>
      </w:pPr>
      <w:r w:rsidRPr="008E2C94">
        <w:t>4.</w:t>
      </w:r>
      <w:r w:rsidRPr="008E2C94">
        <w:tab/>
        <w:t xml:space="preserve">Innan kommissionen antar en delegerad akt ska den samråda med experter som utsetts av varje medlemsstat i enlighet med principerna i det interinstitutionella avtalet av den 13 april 2016 om bättre lagstiftning </w:t>
      </w:r>
      <w:r w:rsidRPr="008E2C94">
        <w:rPr>
          <w:b/>
          <w:i/>
        </w:rPr>
        <w:t>och informera Europaparlamentet om sitt förberedande arbete</w:t>
      </w:r>
      <w:r w:rsidRPr="008E2C94">
        <w:t>.</w:t>
      </w:r>
    </w:p>
    <w:p w:rsidR="008E2C94" w:rsidRPr="008E2C94" w:rsidRDefault="008E2C94" w:rsidP="008E2C94">
      <w:pPr>
        <w:widowControl/>
        <w:spacing w:before="120" w:after="120" w:line="360" w:lineRule="auto"/>
        <w:ind w:left="850" w:hanging="850"/>
        <w:rPr>
          <w:szCs w:val="24"/>
        </w:rPr>
      </w:pPr>
      <w:r w:rsidRPr="008E2C94">
        <w:t>5.</w:t>
      </w:r>
      <w:r w:rsidRPr="008E2C94">
        <w:tab/>
        <w:t>Så snart kommissionen antar en delegerad akt ska den samtidigt delge Europaparlamentet och rådet denna.</w:t>
      </w:r>
    </w:p>
    <w:p w:rsidR="008E2C94" w:rsidRPr="008E2C94" w:rsidRDefault="008E2C94" w:rsidP="008E2C94">
      <w:pPr>
        <w:widowControl/>
        <w:spacing w:before="120" w:after="120" w:line="360" w:lineRule="auto"/>
        <w:ind w:left="850" w:hanging="850"/>
        <w:rPr>
          <w:szCs w:val="24"/>
        </w:rPr>
      </w:pPr>
      <w:r w:rsidRPr="008E2C94">
        <w:t>6.</w:t>
      </w:r>
      <w:r w:rsidRPr="008E2C94">
        <w:tab/>
        <w:t>En delegerad akt som antas enligt artiklarna 5.3, 6.6 eller 7.2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p w:rsidR="008E2C94" w:rsidRPr="008E2C94" w:rsidRDefault="008E2C94" w:rsidP="008E2C94">
      <w:pPr>
        <w:widowControl/>
        <w:spacing w:before="120" w:after="120" w:line="360" w:lineRule="auto"/>
        <w:jc w:val="center"/>
        <w:rPr>
          <w:szCs w:val="24"/>
        </w:rPr>
      </w:pPr>
      <w:r w:rsidRPr="008E2C94">
        <w:t>Artikel 18</w:t>
      </w:r>
      <w:r w:rsidRPr="008E2C94">
        <w:br/>
        <w:t>Kommittéförfarande</w:t>
      </w:r>
    </w:p>
    <w:p w:rsidR="008E2C94" w:rsidRPr="008E2C94" w:rsidRDefault="008E2C94" w:rsidP="008E2C94">
      <w:pPr>
        <w:widowControl/>
        <w:spacing w:before="120" w:after="120" w:line="360" w:lineRule="auto"/>
        <w:ind w:left="850" w:hanging="850"/>
        <w:rPr>
          <w:szCs w:val="24"/>
        </w:rPr>
      </w:pPr>
      <w:r w:rsidRPr="008E2C94">
        <w:lastRenderedPageBreak/>
        <w:t>1.</w:t>
      </w:r>
      <w:r w:rsidRPr="008E2C94">
        <w:tab/>
        <w:t>Kommissionen ska biträdas av kommittén för det europeiska statistiksystemet, som inrättats genom artikel 7 i förordning (EG) nr 223/2009. Denna kommitté ska vara en kommitté i den mening som avses i förordning (EU) nr 182/2011.</w:t>
      </w:r>
    </w:p>
    <w:p w:rsidR="008E2C94" w:rsidRPr="008E2C94" w:rsidRDefault="008E2C94" w:rsidP="008E2C94">
      <w:pPr>
        <w:widowControl/>
        <w:spacing w:before="120" w:after="120" w:line="360" w:lineRule="auto"/>
        <w:ind w:left="850" w:hanging="850"/>
        <w:rPr>
          <w:szCs w:val="24"/>
        </w:rPr>
      </w:pPr>
      <w:r w:rsidRPr="008E2C94">
        <w:t>2.</w:t>
      </w:r>
      <w:r w:rsidRPr="008E2C94">
        <w:tab/>
        <w:t>När det hänvisas till denna punkt ska artikel 5 i förordning (EU) nr 182/2011 tillämpas.</w:t>
      </w:r>
    </w:p>
    <w:p w:rsidR="008E2C94" w:rsidRPr="008E2C94" w:rsidRDefault="008E2C94" w:rsidP="008E2C94">
      <w:pPr>
        <w:widowControl/>
        <w:spacing w:before="120" w:after="120" w:line="360" w:lineRule="auto"/>
        <w:jc w:val="center"/>
        <w:rPr>
          <w:szCs w:val="24"/>
        </w:rPr>
      </w:pPr>
      <w:r w:rsidRPr="008E2C94">
        <w:t>Artikel 19</w:t>
      </w:r>
      <w:r w:rsidRPr="008E2C94">
        <w:br/>
        <w:t>Undantag</w:t>
      </w:r>
    </w:p>
    <w:p w:rsidR="008E2C94" w:rsidRPr="008E2C94" w:rsidRDefault="008E2C94" w:rsidP="008E2C94">
      <w:pPr>
        <w:widowControl/>
        <w:spacing w:before="120" w:after="120" w:line="360" w:lineRule="auto"/>
        <w:ind w:left="850" w:hanging="850"/>
        <w:rPr>
          <w:szCs w:val="24"/>
        </w:rPr>
      </w:pPr>
      <w:r w:rsidRPr="008E2C94">
        <w:t>1.</w:t>
      </w:r>
      <w:r w:rsidRPr="008E2C94">
        <w:tab/>
        <w:t xml:space="preserve">Om tillämpningen av denna förordning ▌kräver omfattande anpassningar av en medlemsstats nationella statistiksystem får kommissionen genom </w:t>
      </w:r>
      <w:proofErr w:type="spellStart"/>
      <w:r w:rsidRPr="008E2C94">
        <w:t>genomförandeakter</w:t>
      </w:r>
      <w:proofErr w:type="spellEnd"/>
      <w:r w:rsidRPr="008E2C94">
        <w:t xml:space="preserve"> bevilja </w:t>
      </w:r>
      <w:r w:rsidRPr="008E2C94">
        <w:rPr>
          <w:b/>
          <w:i/>
        </w:rPr>
        <w:t>den</w:t>
      </w:r>
      <w:r w:rsidRPr="008E2C94">
        <w:t xml:space="preserve"> medlemsstaten undantag för en period på högst </w:t>
      </w:r>
      <w:r w:rsidRPr="008E2C94">
        <w:rPr>
          <w:b/>
          <w:i/>
        </w:rPr>
        <w:t>sju</w:t>
      </w:r>
      <w:r w:rsidRPr="008E2C94">
        <w:t xml:space="preserve"> år.</w:t>
      </w:r>
    </w:p>
    <w:p w:rsidR="008E2C94" w:rsidRPr="008E2C94" w:rsidRDefault="008E2C94" w:rsidP="008E2C94">
      <w:pPr>
        <w:widowControl/>
        <w:spacing w:before="120" w:after="120" w:line="360" w:lineRule="auto"/>
        <w:ind w:left="850" w:hanging="850"/>
        <w:rPr>
          <w:szCs w:val="24"/>
        </w:rPr>
      </w:pPr>
      <w:r w:rsidRPr="008E2C94">
        <w:rPr>
          <w:b/>
          <w:i/>
        </w:rPr>
        <w:t>1a.</w:t>
      </w:r>
      <w:r w:rsidRPr="008E2C94">
        <w:tab/>
      </w:r>
      <w:r w:rsidRPr="008E2C94">
        <w:rPr>
          <w:b/>
          <w:i/>
        </w:rPr>
        <w:t xml:space="preserve">Om de delegerade akter eller </w:t>
      </w:r>
      <w:proofErr w:type="spellStart"/>
      <w:r w:rsidRPr="008E2C94">
        <w:rPr>
          <w:b/>
          <w:i/>
        </w:rPr>
        <w:t>genomförandeakter</w:t>
      </w:r>
      <w:proofErr w:type="spellEnd"/>
      <w:r w:rsidRPr="008E2C94">
        <w:rPr>
          <w:b/>
          <w:i/>
        </w:rPr>
        <w:t xml:space="preserve"> som antas i enlighet med denna förordning kräver omfattande anpassningar av en medlemsstats nationella statistiksystem, får kommissionen genom </w:t>
      </w:r>
      <w:proofErr w:type="spellStart"/>
      <w:r w:rsidRPr="008E2C94">
        <w:rPr>
          <w:b/>
          <w:i/>
        </w:rPr>
        <w:t>genomförandeakter</w:t>
      </w:r>
      <w:proofErr w:type="spellEnd"/>
      <w:r w:rsidRPr="008E2C94">
        <w:rPr>
          <w:b/>
          <w:i/>
        </w:rPr>
        <w:t xml:space="preserve"> bevilja den medlemsstaten undantag för en period på högst tre år. </w:t>
      </w:r>
    </w:p>
    <w:p w:rsidR="008E2C94" w:rsidRPr="008E2C94" w:rsidRDefault="008E2C94" w:rsidP="008E2C94">
      <w:pPr>
        <w:widowControl/>
        <w:spacing w:before="120" w:after="120" w:line="360" w:lineRule="auto"/>
        <w:ind w:left="850" w:hanging="850"/>
        <w:rPr>
          <w:szCs w:val="24"/>
        </w:rPr>
      </w:pPr>
      <w:r w:rsidRPr="008E2C94">
        <w:t>2.</w:t>
      </w:r>
      <w:r w:rsidRPr="008E2C94">
        <w:tab/>
        <w:t>När kommissionen beviljar undantag i enlighet med punkt 1 i denna artikel ska den ta hänsyn till jämförbarheten mellan medlemsstaternas statistik och till att de nödvändiga representativa och tillförlitliga europeiska aggregaten beräknas i tid. När kommissionen beviljar dessa undantag ska den också säkerställa att de krav avseende statistik, metadata och kvalitet som omfattas av denna förordning och som tidigare omfattades av förordning (EU) nr 1260/2013 eller artikel 3 i förordning (EG) nr 862/2007 fortsätter att gälla utan avbrott.</w:t>
      </w:r>
    </w:p>
    <w:p w:rsidR="008E2C94" w:rsidRPr="008E2C94" w:rsidRDefault="008E2C94" w:rsidP="008E2C94">
      <w:pPr>
        <w:widowControl/>
        <w:spacing w:before="120" w:after="120" w:line="360" w:lineRule="auto"/>
        <w:ind w:left="850" w:hanging="850"/>
        <w:rPr>
          <w:szCs w:val="24"/>
        </w:rPr>
      </w:pPr>
      <w:r w:rsidRPr="008E2C94">
        <w:t>3.</w:t>
      </w:r>
      <w:r w:rsidRPr="008E2C94">
        <w:tab/>
        <w:t>Medlemsstaten ska inom två månader från den dag då akten i fråga träder i kraft lämna in en vederbörligen motiverad begäran om undantag till kommissionen.</w:t>
      </w:r>
    </w:p>
    <w:p w:rsidR="008E2C94" w:rsidRPr="008E2C94" w:rsidRDefault="008E2C94" w:rsidP="008E2C94">
      <w:pPr>
        <w:widowControl/>
        <w:spacing w:before="120" w:after="120" w:line="360" w:lineRule="auto"/>
        <w:ind w:left="850" w:hanging="850"/>
        <w:rPr>
          <w:szCs w:val="24"/>
        </w:rPr>
      </w:pPr>
      <w:r w:rsidRPr="008E2C94">
        <w:t>4.</w:t>
      </w:r>
      <w:r w:rsidRPr="008E2C94">
        <w:tab/>
        <w:t xml:space="preserve">Kommissionen ska anta de </w:t>
      </w:r>
      <w:proofErr w:type="spellStart"/>
      <w:r w:rsidRPr="008E2C94">
        <w:t>genomförandeakter</w:t>
      </w:r>
      <w:proofErr w:type="spellEnd"/>
      <w:r w:rsidRPr="008E2C94">
        <w:t xml:space="preserve"> som avses i </w:t>
      </w:r>
      <w:r w:rsidRPr="008E2C94">
        <w:rPr>
          <w:b/>
          <w:i/>
        </w:rPr>
        <w:t>punkterna</w:t>
      </w:r>
      <w:r w:rsidRPr="008E2C94">
        <w:t xml:space="preserve"> 1</w:t>
      </w:r>
      <w:r w:rsidRPr="008E2C94">
        <w:rPr>
          <w:b/>
          <w:i/>
        </w:rPr>
        <w:t>, 1a och 3</w:t>
      </w:r>
      <w:r w:rsidRPr="008E2C94">
        <w:t xml:space="preserve"> i den här artikeln i enlighet med det granskningsförfarande som avses i artikel 18.2.</w:t>
      </w:r>
    </w:p>
    <w:p w:rsidR="008E2C94" w:rsidRPr="008E2C94" w:rsidRDefault="008E2C94" w:rsidP="008E2C94">
      <w:pPr>
        <w:widowControl/>
        <w:spacing w:before="120" w:after="120" w:line="360" w:lineRule="auto"/>
        <w:jc w:val="center"/>
        <w:rPr>
          <w:szCs w:val="24"/>
        </w:rPr>
      </w:pPr>
      <w:r w:rsidRPr="008E2C94">
        <w:t>Artikel 20</w:t>
      </w:r>
      <w:r w:rsidRPr="008E2C94">
        <w:br/>
        <w:t>Ändringar av förordning (EG) nr 862/2007</w:t>
      </w:r>
    </w:p>
    <w:p w:rsidR="008E2C94" w:rsidRPr="008E2C94" w:rsidRDefault="008E2C94" w:rsidP="008E2C94">
      <w:pPr>
        <w:widowControl/>
        <w:spacing w:before="120" w:after="120" w:line="360" w:lineRule="auto"/>
        <w:rPr>
          <w:szCs w:val="24"/>
        </w:rPr>
      </w:pPr>
      <w:r w:rsidRPr="008E2C94">
        <w:t>Förordning (EG) nr 862/2007 ska ändras på följande sätt:</w:t>
      </w:r>
    </w:p>
    <w:p w:rsidR="008E2C94" w:rsidRPr="008E2C94" w:rsidRDefault="008E2C94" w:rsidP="008E2C94">
      <w:pPr>
        <w:widowControl/>
        <w:spacing w:before="120" w:after="120" w:line="360" w:lineRule="auto"/>
        <w:ind w:left="850" w:hanging="850"/>
        <w:rPr>
          <w:szCs w:val="24"/>
        </w:rPr>
      </w:pPr>
      <w:r w:rsidRPr="008E2C94">
        <w:t>1.</w:t>
      </w:r>
      <w:r w:rsidRPr="008E2C94">
        <w:tab/>
        <w:t xml:space="preserve">Titeln ska ersättas med följande: ”Europaparlamentets och rådets förordning (EG) nr 862/2007 av den 11 juli 2007 om europeisk statistik över asyl och administrativa och juridiska förfaranden avseende immigrationslagstiftning och om upphävande av </w:t>
      </w:r>
      <w:r w:rsidRPr="008E2C94">
        <w:lastRenderedPageBreak/>
        <w:t>rådets förordning (EEG) nr 311/76 om utarbetande av statistik beträffande utländska arbetstagare”.</w:t>
      </w:r>
    </w:p>
    <w:p w:rsidR="008E2C94" w:rsidRPr="008E2C94" w:rsidRDefault="008E2C94" w:rsidP="008E2C94">
      <w:pPr>
        <w:widowControl/>
        <w:spacing w:before="120" w:after="120" w:line="360" w:lineRule="auto"/>
        <w:ind w:left="850" w:hanging="850"/>
        <w:rPr>
          <w:szCs w:val="24"/>
        </w:rPr>
      </w:pPr>
      <w:r w:rsidRPr="008E2C94">
        <w:t>2.</w:t>
      </w:r>
      <w:r w:rsidRPr="008E2C94">
        <w:tab/>
        <w:t>I artikel 1 ska leden a och b utgå.</w:t>
      </w:r>
    </w:p>
    <w:p w:rsidR="008E2C94" w:rsidRPr="008E2C94" w:rsidRDefault="008E2C94" w:rsidP="008E2C94">
      <w:pPr>
        <w:widowControl/>
        <w:spacing w:before="120" w:after="120" w:line="360" w:lineRule="auto"/>
        <w:ind w:left="850" w:hanging="850"/>
        <w:rPr>
          <w:szCs w:val="24"/>
        </w:rPr>
      </w:pPr>
      <w:r w:rsidRPr="008E2C94">
        <w:t>3.</w:t>
      </w:r>
      <w:r w:rsidRPr="008E2C94">
        <w:tab/>
        <w:t>I artikel 2.1 ska leden a, b, c, f och g utgå.</w:t>
      </w:r>
    </w:p>
    <w:p w:rsidR="008E2C94" w:rsidRPr="008E2C94" w:rsidRDefault="008E2C94" w:rsidP="008E2C94">
      <w:pPr>
        <w:widowControl/>
        <w:spacing w:before="120" w:after="120" w:line="360" w:lineRule="auto"/>
        <w:ind w:left="850" w:hanging="850"/>
        <w:rPr>
          <w:b/>
          <w:i/>
          <w:szCs w:val="24"/>
        </w:rPr>
      </w:pPr>
      <w:r w:rsidRPr="008E2C94">
        <w:rPr>
          <w:b/>
          <w:i/>
        </w:rPr>
        <w:t>3a.</w:t>
      </w:r>
      <w:r w:rsidRPr="008E2C94">
        <w:tab/>
      </w:r>
      <w:r w:rsidRPr="008E2C94">
        <w:rPr>
          <w:b/>
          <w:i/>
        </w:rPr>
        <w:t xml:space="preserve">I artikel 2.1 ska led d ersättas med följande: </w:t>
      </w:r>
    </w:p>
    <w:p w:rsidR="008E2C94" w:rsidRPr="008E2C94" w:rsidRDefault="008E2C94" w:rsidP="008E2C94">
      <w:pPr>
        <w:widowControl/>
        <w:spacing w:before="120" w:after="120" w:line="360" w:lineRule="auto"/>
        <w:ind w:left="850"/>
        <w:rPr>
          <w:szCs w:val="24"/>
        </w:rPr>
      </w:pPr>
      <w:r w:rsidRPr="008E2C94">
        <w:rPr>
          <w:b/>
          <w:i/>
        </w:rPr>
        <w:t>”d)</w:t>
      </w:r>
      <w:r w:rsidRPr="008E2C94">
        <w:rPr>
          <w:b/>
          <w:i/>
        </w:rPr>
        <w:tab/>
      </w:r>
      <w:r w:rsidRPr="008E2C94">
        <w:rPr>
          <w:b/>
          <w:i/>
          <w:iCs/>
        </w:rPr>
        <w:t>medborgarskap</w:t>
      </w:r>
      <w:r w:rsidRPr="008E2C94">
        <w:rPr>
          <w:b/>
          <w:i/>
        </w:rPr>
        <w:t>: medborgarskap enligt definitionen i artikel 2.1 i Europaparlamentets och rådets förordning (EU) .../...</w:t>
      </w:r>
      <w:r w:rsidRPr="008E2C94">
        <w:rPr>
          <w:b/>
          <w:i/>
          <w:vertAlign w:val="superscript"/>
        </w:rPr>
        <w:t>*</w:t>
      </w:r>
      <w:r w:rsidRPr="008E2C94">
        <w:rPr>
          <w:noProof/>
          <w:w w:val="0"/>
          <w:szCs w:val="24"/>
          <w:vertAlign w:val="superscript"/>
          <w:lang w:eastAsia="en-US"/>
        </w:rPr>
        <w:footnoteReference w:customMarkFollows="1" w:id="33"/>
        <w:t>+</w:t>
      </w:r>
      <w:r w:rsidRPr="008E2C94">
        <w:rPr>
          <w:b/>
          <w:i/>
        </w:rPr>
        <w:t>.”.</w:t>
      </w:r>
    </w:p>
    <w:p w:rsidR="008E2C94" w:rsidRPr="008E2C94" w:rsidRDefault="008E2C94" w:rsidP="008E2C94">
      <w:pPr>
        <w:widowControl/>
        <w:spacing w:before="120" w:after="120" w:line="360" w:lineRule="auto"/>
        <w:ind w:left="850" w:hanging="850"/>
        <w:rPr>
          <w:szCs w:val="24"/>
        </w:rPr>
      </w:pPr>
      <w:r w:rsidRPr="008E2C94">
        <w:t>4.</w:t>
      </w:r>
      <w:r w:rsidRPr="008E2C94">
        <w:tab/>
        <w:t>Artikel 3 ska utgå.</w:t>
      </w:r>
    </w:p>
    <w:p w:rsidR="008E2C94" w:rsidRPr="008E2C94" w:rsidRDefault="008E2C94" w:rsidP="008E2C94">
      <w:pPr>
        <w:widowControl/>
        <w:spacing w:before="120" w:after="120" w:line="360" w:lineRule="auto"/>
        <w:ind w:left="850" w:hanging="850"/>
        <w:rPr>
          <w:szCs w:val="24"/>
        </w:rPr>
      </w:pPr>
      <w:r w:rsidRPr="008E2C94">
        <w:t>5.</w:t>
      </w:r>
      <w:r w:rsidRPr="008E2C94">
        <w:tab/>
        <w:t>Följande artikel ska läggas till:</w:t>
      </w:r>
    </w:p>
    <w:p w:rsidR="008E2C94" w:rsidRPr="008E2C94" w:rsidRDefault="008E2C94" w:rsidP="008E2C94">
      <w:pPr>
        <w:widowControl/>
        <w:spacing w:before="120" w:after="120" w:line="360" w:lineRule="auto"/>
        <w:ind w:left="850"/>
        <w:rPr>
          <w:szCs w:val="24"/>
        </w:rPr>
      </w:pPr>
      <w:r w:rsidRPr="008E2C94">
        <w:t>”Artikel 9c</w:t>
      </w:r>
    </w:p>
    <w:p w:rsidR="008E2C94" w:rsidRPr="008E2C94" w:rsidRDefault="008E2C94" w:rsidP="008E2C94">
      <w:pPr>
        <w:widowControl/>
        <w:spacing w:before="120" w:after="120" w:line="360" w:lineRule="auto"/>
        <w:ind w:left="850"/>
        <w:rPr>
          <w:szCs w:val="24"/>
        </w:rPr>
      </w:pPr>
      <w:r w:rsidRPr="008E2C94">
        <w:t>Snabb tillgång till och vidareutnyttjande av administrativa uppgifter</w:t>
      </w:r>
    </w:p>
    <w:p w:rsidR="008E2C94" w:rsidRPr="008E2C94" w:rsidRDefault="008E2C94" w:rsidP="008E2C94">
      <w:pPr>
        <w:widowControl/>
        <w:spacing w:before="120" w:after="120" w:line="360" w:lineRule="auto"/>
        <w:ind w:left="1416" w:hanging="566"/>
        <w:rPr>
          <w:szCs w:val="24"/>
        </w:rPr>
      </w:pPr>
      <w:r w:rsidRPr="008E2C94">
        <w:t>1.</w:t>
      </w:r>
      <w:r w:rsidRPr="008E2C94">
        <w:tab/>
      </w:r>
      <w:r w:rsidRPr="008E2C94">
        <w:rPr>
          <w:b/>
          <w:i/>
        </w:rPr>
        <w:t>I enlighet med artikel 17a i förordning (EG) nr 223/2009 ska</w:t>
      </w:r>
      <w:r w:rsidRPr="008E2C94">
        <w:t xml:space="preserve"> nationella myndigheter med ansvar för administrativa uppgiftskällor som är relevanta för tillämpningen av denna förordning ▌tillåta vidareutnyttjande av dessa uppgifter i tillräckligt god tid och med tillräcklig frekvens för att statistik ska kunna framställas och lämnas in inom tidsfristerna och i enlighet med de särskilda kvalitetskraven enligt denna förordning. </w:t>
      </w:r>
      <w:r w:rsidRPr="008E2C94">
        <w:rPr>
          <w:b/>
          <w:i/>
        </w:rPr>
        <w:t>De nationella statistikmyndigheterna och de nationella myndigheter som ansvarar för de administrativa registren</w:t>
      </w:r>
      <w:r w:rsidRPr="008E2C94">
        <w:t xml:space="preserve"> ska </w:t>
      </w:r>
      <w:r w:rsidRPr="008E2C94">
        <w:rPr>
          <w:b/>
          <w:i/>
        </w:rPr>
        <w:t>inrätta nödvändiga samarbetsmekanismer för snabb och kostnadsfri tillgång till dessa register</w:t>
      </w:r>
      <w:r w:rsidRPr="008E2C94">
        <w:t>.</w:t>
      </w:r>
    </w:p>
    <w:p w:rsidR="008E2C94" w:rsidRPr="008E2C94" w:rsidRDefault="008E2C94" w:rsidP="008E2C94">
      <w:pPr>
        <w:widowControl/>
        <w:spacing w:before="120" w:after="120" w:line="360" w:lineRule="auto"/>
        <w:ind w:left="1416" w:hanging="566"/>
        <w:rPr>
          <w:szCs w:val="24"/>
        </w:rPr>
      </w:pPr>
      <w:r w:rsidRPr="008E2C94">
        <w:t>2.</w:t>
      </w:r>
      <w:r w:rsidRPr="008E2C94">
        <w:tab/>
        <w:t xml:space="preserve">Vid tillämpningen av denna förordning ska kommissionen (Eurostat) på begäran ha rätt att i god tid få tillgång till och vidareutnyttja relevanta uppgifter och metadata från databaser och </w:t>
      </w:r>
      <w:proofErr w:type="spellStart"/>
      <w:r w:rsidRPr="008E2C94">
        <w:t>interoperabilitetssystem</w:t>
      </w:r>
      <w:proofErr w:type="spellEnd"/>
      <w:r w:rsidRPr="008E2C94">
        <w:t xml:space="preserve"> som upprätthålls av unionens organ och byråer, inbegripet enligt förordningarna (EU) nr 910/2014 och (EU) 2018/1724 och statistiska uppgifter som lagras i den centrala databasen för rapporter och statistik (CRRS)</w:t>
      </w:r>
      <w:r w:rsidRPr="008E2C94">
        <w:rPr>
          <w:b/>
          <w:i/>
        </w:rPr>
        <w:t xml:space="preserve">. I synnerhet ska kommissionen (Eurostat) ha åtkomst till data från de interoperabla stora </w:t>
      </w:r>
      <w:proofErr w:type="spellStart"/>
      <w:r w:rsidRPr="008E2C94">
        <w:rPr>
          <w:b/>
          <w:i/>
        </w:rPr>
        <w:t>it-systemen</w:t>
      </w:r>
      <w:proofErr w:type="spellEnd"/>
      <w:r w:rsidRPr="008E2C94">
        <w:rPr>
          <w:b/>
          <w:i/>
        </w:rPr>
        <w:t xml:space="preserve"> inom området frihet, säkerhet och rättvisa från CRRS</w:t>
      </w:r>
      <w:r w:rsidRPr="008E2C94">
        <w:t xml:space="preserve"> i enlighet med förordningarna (EU) 2019/817 och (EU) 2019/818 och förordningarna om </w:t>
      </w:r>
      <w:r w:rsidRPr="008E2C94">
        <w:lastRenderedPageBreak/>
        <w:t>inrättande av de system vars statistiska uppgifter lagras i CRRS. I detta syfte ska kommissionen (Eurostat) dessutom samarbeta med berörda unionsorgan och unionsbyråer i syfte att ange de skräddarsydda statistiska uppgifter och metadata som krävs, när så är möjligt enligt unionsrätten, för europeisk statistik om befolkning och bostäder, de operativa formerna för tillhandahållandet av sådan statistik och de åtföljande fysiska och logiska skyddsåtgärder som krävs.”.</w:t>
      </w:r>
    </w:p>
    <w:p w:rsidR="008E2C94" w:rsidRPr="008E2C94" w:rsidRDefault="008E2C94" w:rsidP="008E2C94">
      <w:pPr>
        <w:keepNext/>
        <w:keepLines/>
        <w:widowControl/>
        <w:spacing w:before="120" w:after="120" w:line="360" w:lineRule="auto"/>
        <w:ind w:left="851" w:hanging="850"/>
        <w:rPr>
          <w:szCs w:val="24"/>
        </w:rPr>
      </w:pPr>
      <w:r w:rsidRPr="008E2C94">
        <w:t>6.</w:t>
      </w:r>
      <w:r w:rsidRPr="008E2C94">
        <w:tab/>
        <w:t>Följande artikel ska läggas till:</w:t>
      </w:r>
    </w:p>
    <w:p w:rsidR="008E2C94" w:rsidRPr="008E2C94" w:rsidRDefault="008E2C94" w:rsidP="008E2C94">
      <w:pPr>
        <w:keepNext/>
        <w:keepLines/>
        <w:widowControl/>
        <w:spacing w:before="120" w:after="120" w:line="360" w:lineRule="auto"/>
        <w:ind w:left="851"/>
        <w:rPr>
          <w:szCs w:val="24"/>
        </w:rPr>
      </w:pPr>
      <w:r w:rsidRPr="008E2C94">
        <w:t>”Artikel 10a</w:t>
      </w:r>
    </w:p>
    <w:p w:rsidR="008E2C94" w:rsidRPr="008E2C94" w:rsidRDefault="008E2C94" w:rsidP="008E2C94">
      <w:pPr>
        <w:widowControl/>
        <w:spacing w:before="120" w:after="120" w:line="360" w:lineRule="auto"/>
        <w:ind w:left="850"/>
        <w:rPr>
          <w:szCs w:val="24"/>
        </w:rPr>
      </w:pPr>
      <w:r w:rsidRPr="008E2C94">
        <w:t>Förteckningar över länder och territorier</w:t>
      </w:r>
    </w:p>
    <w:p w:rsidR="008E2C94" w:rsidRPr="008E2C94" w:rsidRDefault="008E2C94" w:rsidP="008E2C94">
      <w:pPr>
        <w:widowControl/>
        <w:spacing w:before="120" w:after="120" w:line="360" w:lineRule="auto"/>
        <w:ind w:left="850"/>
        <w:rPr>
          <w:szCs w:val="24"/>
        </w:rPr>
      </w:pPr>
      <w:r w:rsidRPr="008E2C94">
        <w:t>De förteckningar över länder och territorier som avses i artikel 11 i förordning (EU) .../...</w:t>
      </w:r>
      <w:r w:rsidRPr="008E2C94">
        <w:rPr>
          <w:vertAlign w:val="superscript"/>
        </w:rPr>
        <w:t>*</w:t>
      </w:r>
      <w:r w:rsidRPr="008E2C94">
        <w:rPr>
          <w:noProof/>
          <w:w w:val="0"/>
          <w:szCs w:val="24"/>
          <w:vertAlign w:val="superscript"/>
          <w:lang w:eastAsia="en-US"/>
        </w:rPr>
        <w:footnoteReference w:customMarkFollows="1" w:id="34"/>
        <w:t>+</w:t>
      </w:r>
      <w:r w:rsidRPr="008E2C94">
        <w:t xml:space="preserve"> ska användas för sammanställning av statistik enligt denna förordning för att säkerställa jämförbarhet mellan särskilda uppgifter om länder och territorier i den europeiska statistiken. Medlemsstaterna ska använda dessa förteckningar för första gången för att sammanställa statistik som ska lämnas enligt denna förordning med början vid överföringen av uppgifter för referensåret 2026.</w:t>
      </w:r>
    </w:p>
    <w:p w:rsidR="008E2C94" w:rsidRPr="008E2C94" w:rsidRDefault="008E2C94" w:rsidP="008E2C94">
      <w:pPr>
        <w:widowControl/>
        <w:spacing w:before="120" w:after="120" w:line="360" w:lineRule="auto"/>
        <w:rPr>
          <w:szCs w:val="24"/>
        </w:rPr>
      </w:pPr>
      <w:r w:rsidRPr="008E2C94">
        <w:t>________</w:t>
      </w:r>
    </w:p>
    <w:p w:rsidR="008E2C94" w:rsidRPr="008E2C94" w:rsidRDefault="008E2C94" w:rsidP="008E2C94">
      <w:pPr>
        <w:widowControl/>
        <w:spacing w:before="120" w:after="120" w:line="360" w:lineRule="auto"/>
        <w:rPr>
          <w:szCs w:val="24"/>
        </w:rPr>
      </w:pPr>
      <w:r w:rsidRPr="008E2C94">
        <w:rPr>
          <w:vertAlign w:val="superscript"/>
        </w:rPr>
        <w:t>*</w:t>
      </w:r>
      <w:r w:rsidRPr="008E2C94">
        <w:tab/>
        <w:t>Europaparlamentets och rådets förordning (EU) .../... om europeisk statistik om befolkning och bostäder, om ändring av förordning (EG) nr 862/2007 och om upphävande av förordningarna (EG) nr 763/2008 och (EU) nr 1260/2013 (EUT ...).”.</w:t>
      </w:r>
    </w:p>
    <w:p w:rsidR="008E2C94" w:rsidRPr="008E2C94" w:rsidRDefault="008E2C94" w:rsidP="008E2C94">
      <w:pPr>
        <w:widowControl/>
        <w:spacing w:before="120" w:after="120" w:line="360" w:lineRule="auto"/>
        <w:rPr>
          <w:szCs w:val="24"/>
          <w:lang w:eastAsia="en-US"/>
        </w:rPr>
      </w:pPr>
    </w:p>
    <w:p w:rsidR="008E2C94" w:rsidRPr="008E2C94" w:rsidRDefault="008E2C94" w:rsidP="008E2C94">
      <w:pPr>
        <w:widowControl/>
        <w:spacing w:before="120" w:after="120" w:line="360" w:lineRule="auto"/>
        <w:jc w:val="center"/>
        <w:rPr>
          <w:szCs w:val="24"/>
        </w:rPr>
      </w:pPr>
      <w:r w:rsidRPr="008E2C94">
        <w:t>Artikel 21</w:t>
      </w:r>
      <w:r w:rsidRPr="008E2C94">
        <w:br/>
        <w:t>Upphävande</w:t>
      </w:r>
    </w:p>
    <w:p w:rsidR="008E2C94" w:rsidRPr="008E2C94" w:rsidRDefault="008E2C94" w:rsidP="008E2C94">
      <w:pPr>
        <w:widowControl/>
        <w:spacing w:before="120" w:after="120" w:line="360" w:lineRule="auto"/>
        <w:rPr>
          <w:szCs w:val="24"/>
        </w:rPr>
      </w:pPr>
      <w:r w:rsidRPr="008E2C94">
        <w:t>Förordningarna (EG) nr 763/2008 och (EU) nr 1260/2013 ska upphöra att gälla med verkan den 1 januari 2026, utan att det påverkar de skyldigheter i de rättsakterna som rör referensperioder som, helt eller delvis, infaller före detta datum.</w:t>
      </w:r>
    </w:p>
    <w:p w:rsidR="008E2C94" w:rsidRPr="008E2C94" w:rsidRDefault="008E2C94" w:rsidP="008E2C94">
      <w:pPr>
        <w:widowControl/>
        <w:spacing w:before="120" w:after="120" w:line="360" w:lineRule="auto"/>
        <w:rPr>
          <w:szCs w:val="24"/>
        </w:rPr>
      </w:pPr>
      <w:r w:rsidRPr="008E2C94">
        <w:t>Hänvisningar till de upphävda förordningarna ska anses som hänvisningar till den här förordningen.</w:t>
      </w:r>
    </w:p>
    <w:p w:rsidR="008E2C94" w:rsidRPr="008E2C94" w:rsidRDefault="008E2C94" w:rsidP="008E2C94">
      <w:pPr>
        <w:widowControl/>
        <w:spacing w:before="120" w:after="120" w:line="360" w:lineRule="auto"/>
        <w:jc w:val="center"/>
        <w:rPr>
          <w:szCs w:val="24"/>
        </w:rPr>
      </w:pPr>
      <w:r w:rsidRPr="008E2C94">
        <w:lastRenderedPageBreak/>
        <w:t>Artikel 22</w:t>
      </w:r>
      <w:r w:rsidRPr="008E2C94">
        <w:br/>
        <w:t>Ikraftträdande och tillämpning</w:t>
      </w:r>
    </w:p>
    <w:p w:rsidR="008E2C94" w:rsidRPr="008E2C94" w:rsidRDefault="008E2C94" w:rsidP="008E2C94">
      <w:pPr>
        <w:widowControl/>
        <w:spacing w:before="120" w:after="120" w:line="360" w:lineRule="auto"/>
        <w:rPr>
          <w:szCs w:val="24"/>
        </w:rPr>
      </w:pPr>
      <w:r w:rsidRPr="008E2C94">
        <w:t>Denna förordning träder i kraft den tjugonde dagen efter det att den har offentliggjorts i </w:t>
      </w:r>
      <w:r w:rsidRPr="008E2C94">
        <w:rPr>
          <w:i/>
          <w:iCs/>
        </w:rPr>
        <w:t>Europeiska unionens officiella tidning</w:t>
      </w:r>
      <w:r w:rsidRPr="008E2C94">
        <w:t>.</w:t>
      </w:r>
    </w:p>
    <w:p w:rsidR="008E2C94" w:rsidRPr="008E2C94" w:rsidRDefault="008E2C94" w:rsidP="008E2C94">
      <w:pPr>
        <w:widowControl/>
        <w:spacing w:before="120" w:after="120" w:line="360" w:lineRule="auto"/>
        <w:rPr>
          <w:szCs w:val="24"/>
        </w:rPr>
      </w:pPr>
      <w:r w:rsidRPr="008E2C94">
        <w:t>Den ska tillämpas från och med den 1 januari 2026.</w:t>
      </w:r>
    </w:p>
    <w:p w:rsidR="008E2C94" w:rsidRPr="008E2C94" w:rsidRDefault="008E2C94" w:rsidP="008E2C94">
      <w:pPr>
        <w:widowControl/>
        <w:spacing w:before="120" w:after="120" w:line="360" w:lineRule="auto"/>
        <w:rPr>
          <w:szCs w:val="24"/>
        </w:rPr>
      </w:pPr>
      <w:r w:rsidRPr="008E2C94">
        <w:t>Denna förordning är till alla delar bindande och direkt tillämplig i alla medlemsstater.</w:t>
      </w:r>
    </w:p>
    <w:p w:rsidR="008E2C94" w:rsidRPr="008E2C94" w:rsidRDefault="008E2C94" w:rsidP="008E2C94">
      <w:pPr>
        <w:keepNext/>
        <w:widowControl/>
        <w:spacing w:before="120" w:line="360" w:lineRule="auto"/>
        <w:rPr>
          <w:szCs w:val="24"/>
        </w:rPr>
      </w:pPr>
      <w:r w:rsidRPr="008E2C94">
        <w:t>Utfärdad i ...</w:t>
      </w:r>
      <w:r w:rsidR="00F45EAE">
        <w:t xml:space="preserve"> den ...</w:t>
      </w:r>
    </w:p>
    <w:p w:rsidR="008E2C94" w:rsidRPr="008E2C94" w:rsidRDefault="008E2C94" w:rsidP="008E2C94">
      <w:pPr>
        <w:keepNext/>
        <w:widowControl/>
        <w:tabs>
          <w:tab w:val="left" w:pos="4252"/>
        </w:tabs>
        <w:spacing w:before="720" w:after="100" w:line="360" w:lineRule="auto"/>
        <w:jc w:val="both"/>
        <w:rPr>
          <w:i/>
          <w:szCs w:val="24"/>
        </w:rPr>
      </w:pPr>
      <w:r w:rsidRPr="008E2C94">
        <w:rPr>
          <w:i/>
        </w:rPr>
        <w:t>På Europaparlamentets vägnar</w:t>
      </w:r>
      <w:r w:rsidRPr="008E2C94">
        <w:rPr>
          <w:i/>
        </w:rPr>
        <w:tab/>
        <w:t>På rådets vägnar</w:t>
      </w:r>
    </w:p>
    <w:p w:rsidR="008E2C94" w:rsidRPr="008E2C94" w:rsidRDefault="008E2C94" w:rsidP="008E2C94">
      <w:pPr>
        <w:widowControl/>
        <w:tabs>
          <w:tab w:val="left" w:pos="4252"/>
        </w:tabs>
        <w:spacing w:line="360" w:lineRule="auto"/>
        <w:rPr>
          <w:i/>
          <w:szCs w:val="24"/>
        </w:rPr>
      </w:pPr>
      <w:r w:rsidRPr="008E2C94">
        <w:rPr>
          <w:i/>
        </w:rPr>
        <w:t>Ordförande</w:t>
      </w:r>
      <w:r w:rsidRPr="008E2C94">
        <w:rPr>
          <w:i/>
        </w:rPr>
        <w:tab/>
      </w:r>
      <w:proofErr w:type="spellStart"/>
      <w:r w:rsidRPr="008E2C94">
        <w:rPr>
          <w:i/>
        </w:rPr>
        <w:t>Ordförande</w:t>
      </w:r>
      <w:proofErr w:type="spellEnd"/>
    </w:p>
    <w:p w:rsidR="008E2C94" w:rsidRPr="008E2C94" w:rsidRDefault="008E2C94" w:rsidP="008E2C94">
      <w:pPr>
        <w:widowControl/>
        <w:spacing w:before="120" w:after="120"/>
        <w:jc w:val="center"/>
        <w:rPr>
          <w:rFonts w:eastAsia="Calibri"/>
          <w:b/>
          <w:noProof/>
          <w:szCs w:val="22"/>
          <w:u w:val="single"/>
        </w:rPr>
      </w:pPr>
      <w:r w:rsidRPr="008E2C94">
        <w:br w:type="page"/>
      </w:r>
      <w:r w:rsidRPr="008E2C94">
        <w:rPr>
          <w:b/>
          <w:u w:val="single"/>
        </w:rPr>
        <w:lastRenderedPageBreak/>
        <w:t>BILAGA</w:t>
      </w:r>
    </w:p>
    <w:p w:rsidR="008E2C94" w:rsidRPr="008E2C94" w:rsidRDefault="008E2C94" w:rsidP="008E2C94">
      <w:pPr>
        <w:keepNext/>
        <w:widowControl/>
        <w:tabs>
          <w:tab w:val="left" w:pos="850"/>
        </w:tabs>
        <w:spacing w:before="120" w:after="120"/>
        <w:ind w:left="850" w:hanging="850"/>
        <w:jc w:val="center"/>
        <w:outlineLvl w:val="1"/>
        <w:rPr>
          <w:rFonts w:eastAsia="Calibri"/>
          <w:b/>
          <w:noProof/>
          <w:szCs w:val="22"/>
        </w:rPr>
      </w:pPr>
      <w:r w:rsidRPr="008E2C94">
        <w:rPr>
          <w:b/>
        </w:rPr>
        <w:t>Områden, ämnen och specifika ämnen med periodicitet och referenstid per specifikt ämne</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8E2C94" w:rsidRPr="008E2C94" w:rsidTr="008E2C94">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b/>
                <w:noProof/>
                <w:sz w:val="20"/>
                <w:szCs w:val="24"/>
              </w:rPr>
            </w:pPr>
            <w:r w:rsidRPr="008E2C94">
              <w:rPr>
                <w:b/>
                <w:sz w:val="20"/>
              </w:rPr>
              <w:t>Område</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b/>
                <w:noProof/>
                <w:sz w:val="20"/>
                <w:szCs w:val="24"/>
              </w:rPr>
            </w:pPr>
            <w:r w:rsidRPr="008E2C94">
              <w:rPr>
                <w:b/>
                <w:sz w:val="20"/>
              </w:rPr>
              <w:t>Ämne</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b/>
                <w:noProof/>
                <w:sz w:val="20"/>
                <w:szCs w:val="24"/>
              </w:rPr>
            </w:pPr>
            <w:r w:rsidRPr="008E2C94">
              <w:rPr>
                <w:b/>
                <w:sz w:val="20"/>
              </w:rPr>
              <w:t>Specifikt ämne</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b/>
                <w:noProof/>
                <w:sz w:val="20"/>
                <w:szCs w:val="24"/>
              </w:rPr>
            </w:pPr>
            <w:r w:rsidRPr="008E2C94">
              <w:rPr>
                <w:b/>
                <w:sz w:val="20"/>
              </w:rPr>
              <w:t xml:space="preserve">Periodicitet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b/>
                <w:noProof/>
                <w:sz w:val="20"/>
                <w:szCs w:val="24"/>
              </w:rPr>
            </w:pPr>
            <w:r w:rsidRPr="008E2C94">
              <w:rPr>
                <w:b/>
                <w:sz w:val="20"/>
              </w:rPr>
              <w:t>Referenstid (datum eller period)</w:t>
            </w:r>
          </w:p>
        </w:tc>
      </w:tr>
      <w:tr w:rsidR="008E2C94" w:rsidRPr="008E2C94" w:rsidTr="008E2C94">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rsidR="008E2C94" w:rsidRPr="008E2C94" w:rsidRDefault="008E2C94" w:rsidP="008E2C94">
            <w:pPr>
              <w:widowControl/>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8E2C94" w:rsidRPr="008E2C94" w:rsidRDefault="008E2C94" w:rsidP="008E2C94">
            <w:pPr>
              <w:widowControl/>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rsidR="008E2C94" w:rsidRPr="008E2C94" w:rsidRDefault="008E2C94" w:rsidP="008E2C94">
            <w:pPr>
              <w:widowControl/>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8E2C94" w:rsidRPr="008E2C94" w:rsidRDefault="008E2C94" w:rsidP="008E2C94">
            <w:pPr>
              <w:widowControl/>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rsidR="008E2C94" w:rsidRPr="008E2C94" w:rsidRDefault="008E2C94" w:rsidP="008E2C94">
            <w:pPr>
              <w:widowControl/>
              <w:spacing w:before="120" w:after="120" w:line="276" w:lineRule="auto"/>
              <w:rPr>
                <w:b/>
                <w:noProof/>
                <w:sz w:val="20"/>
                <w:szCs w:val="22"/>
              </w:rPr>
            </w:pPr>
          </w:p>
        </w:tc>
      </w:tr>
      <w:tr w:rsidR="008E2C94" w:rsidRPr="008E2C94" w:rsidTr="008E2C94">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Demografi</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Befolkningsantal</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Personens grundläggande karakteristikum</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30.06.ÅÅ och</w:t>
            </w:r>
          </w:p>
          <w:p w:rsidR="008E2C94" w:rsidRPr="008E2C94" w:rsidRDefault="008E2C94" w:rsidP="008E2C94">
            <w:pPr>
              <w:widowControl/>
              <w:spacing w:after="120" w:line="276" w:lineRule="auto"/>
              <w:rPr>
                <w:sz w:val="20"/>
              </w:rPr>
            </w:pPr>
            <w:r w:rsidRPr="008E2C94">
              <w:rPr>
                <w:sz w:val="20"/>
              </w:rPr>
              <w:t>31.12.ÅÅ</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31.12.ÅÅ</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31.12.ÅÅ</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31.12.ÅÅ</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Personens socioekonomiska karakteristikum</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before="120" w:after="120" w:line="360"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31.12.ÅÅ</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31.12.ÅÅ</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31.12.ÅÅ</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Fertilitet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Födslar</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Månad</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År</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Lagligt genomförda aborter</w:t>
            </w:r>
            <w:r w:rsidRPr="008E2C94">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År</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Mortalitet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Dödsfall</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Månad, Vecka</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År</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Dödsfall bland spädbarn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År</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Sena dödsfall hos foster</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År</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Partnerskap</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Äktenskap och registrerade partnerskap</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År</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8E2C94" w:rsidRPr="008E2C94" w:rsidRDefault="008E2C94" w:rsidP="008E2C94">
            <w:pPr>
              <w:widowControl/>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Karakteristikum för personer som ingår äktenskap eller registrerat partnerskap</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År</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8E2C94" w:rsidRPr="008E2C94" w:rsidRDefault="008E2C94" w:rsidP="008E2C94">
            <w:pPr>
              <w:widowControl/>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Skilsmässor och avslutade registrerade partnerskap</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År</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Migration</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Invandrare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Månad</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År</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Utvandrare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b/>
                <w:i/>
                <w:sz w:val="20"/>
              </w:rPr>
            </w:pPr>
            <w:r w:rsidRPr="008E2C94">
              <w:rPr>
                <w:b/>
                <w:i/>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b/>
                <w:i/>
                <w:sz w:val="20"/>
              </w:rPr>
            </w:pPr>
            <w:r w:rsidRPr="008E2C94">
              <w:rPr>
                <w:b/>
                <w:i/>
                <w:sz w:val="20"/>
              </w:rPr>
              <w:t>Månad</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År</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Intern migration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År</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 xml:space="preserve">Förvärv och förlust av </w:t>
            </w:r>
            <w:r w:rsidRPr="008E2C94">
              <w:rPr>
                <w:sz w:val="20"/>
              </w:rPr>
              <w:lastRenderedPageBreak/>
              <w:t>medborgarskap i EU:s medlemsstater och unionen</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lastRenderedPageBreak/>
              <w:t>Personer som förvärvat medborgarskap</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År</w:t>
            </w:r>
          </w:p>
        </w:tc>
      </w:tr>
      <w:tr w:rsidR="008E2C94" w:rsidRPr="008E2C94" w:rsidTr="008E2C94">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Personer som förlorat/avstått från medborgarskap</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År</w:t>
            </w:r>
          </w:p>
        </w:tc>
      </w:tr>
      <w:tr w:rsidR="008E2C94" w:rsidRPr="008E2C94" w:rsidTr="008E2C94">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Bostäder</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Bostadsutrymmen</w:t>
            </w:r>
          </w:p>
        </w:tc>
        <w:tc>
          <w:tcPr>
            <w:tcW w:w="3402"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Karakteristikum hos bostadsutrymmen</w:t>
            </w:r>
          </w:p>
        </w:tc>
        <w:tc>
          <w:tcPr>
            <w:tcW w:w="1276"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31.12.ÅÅ</w:t>
            </w:r>
          </w:p>
        </w:tc>
      </w:tr>
      <w:tr w:rsidR="008E2C94" w:rsidRPr="008E2C94" w:rsidTr="008E2C94">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Konventionella bostäder</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Grundläggande karakteristikum hos byggnader</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31.12.ÅÅ</w:t>
            </w:r>
          </w:p>
        </w:tc>
      </w:tr>
      <w:tr w:rsidR="008E2C94" w:rsidRPr="008E2C94" w:rsidTr="008E2C94">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31.12.ÅÅ</w:t>
            </w:r>
          </w:p>
        </w:tc>
      </w:tr>
      <w:tr w:rsidR="008E2C94" w:rsidRPr="008E2C94" w:rsidTr="008E2C94">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Energirelaterade karakteristikum hos byggnader</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MA</w:t>
            </w:r>
            <w:r w:rsidRPr="008E2C94">
              <w:rPr>
                <w:sz w:val="20"/>
              </w:rPr>
              <w:br/>
              <w:t>(A från och med 2031)</w:t>
            </w:r>
          </w:p>
        </w:tc>
        <w:tc>
          <w:tcPr>
            <w:tcW w:w="1559"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31.12.ÅÅ</w:t>
            </w:r>
          </w:p>
        </w:tc>
      </w:tr>
      <w:tr w:rsidR="008E2C94" w:rsidRPr="008E2C94" w:rsidTr="008E2C94">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31.12.ÅÅ</w:t>
            </w:r>
          </w:p>
        </w:tc>
      </w:tr>
      <w:tr w:rsidR="008E2C94" w:rsidRPr="008E2C94" w:rsidTr="008E2C94">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Bebodda konventionella bostäder</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Karakteristikum hos bebodda konventionella bostäder</w:t>
            </w:r>
          </w:p>
        </w:tc>
        <w:tc>
          <w:tcPr>
            <w:tcW w:w="1276"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31.12.ÅÅ</w:t>
            </w:r>
          </w:p>
        </w:tc>
      </w:tr>
      <w:tr w:rsidR="008E2C94" w:rsidRPr="008E2C94" w:rsidTr="008E2C94">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Användning av bebodda konventionella bostäder</w:t>
            </w:r>
          </w:p>
        </w:tc>
        <w:tc>
          <w:tcPr>
            <w:tcW w:w="1276"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31.12.ÅÅ</w:t>
            </w:r>
          </w:p>
        </w:tc>
      </w:tr>
      <w:tr w:rsidR="008E2C94" w:rsidRPr="008E2C94" w:rsidTr="008E2C94">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Familjer och hushåll</w:t>
            </w:r>
          </w:p>
        </w:tc>
        <w:tc>
          <w:tcPr>
            <w:tcW w:w="1701"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Familjer</w:t>
            </w:r>
          </w:p>
        </w:tc>
        <w:tc>
          <w:tcPr>
            <w:tcW w:w="3402"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Karakteristikum hos familjer</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31.12.ÅÅ</w:t>
            </w:r>
          </w:p>
        </w:tc>
      </w:tr>
      <w:tr w:rsidR="008E2C94" w:rsidRPr="008E2C94" w:rsidTr="008E2C94">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Hushåll</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Karakteristikum hos hushåll</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31.12.ÅÅ</w:t>
            </w:r>
          </w:p>
        </w:tc>
      </w:tr>
      <w:tr w:rsidR="008E2C94" w:rsidRPr="008E2C94" w:rsidTr="008E2C94">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31.12.ÅÅ</w:t>
            </w:r>
          </w:p>
        </w:tc>
      </w:tr>
      <w:tr w:rsidR="008E2C94" w:rsidRPr="008E2C94" w:rsidTr="008E2C94">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Personens hushållssituation</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31.12.ÅÅ</w:t>
            </w:r>
          </w:p>
        </w:tc>
      </w:tr>
      <w:tr w:rsidR="008E2C94" w:rsidRPr="008E2C94" w:rsidTr="008E2C94">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8E2C94" w:rsidRPr="008E2C94" w:rsidRDefault="008E2C94" w:rsidP="008E2C94">
            <w:pPr>
              <w:widowControl/>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31.12.ÅÅ</w:t>
            </w:r>
          </w:p>
        </w:tc>
      </w:tr>
      <w:tr w:rsidR="008E2C94" w:rsidRPr="008E2C94" w:rsidTr="008E2C94">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rPr>
              <w:t>_______________________________________</w:t>
            </w:r>
          </w:p>
        </w:tc>
      </w:tr>
      <w:tr w:rsidR="008E2C94" w:rsidRPr="008E2C94" w:rsidTr="008E2C94">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8E2C94" w:rsidRPr="008E2C94" w:rsidRDefault="008E2C94" w:rsidP="008E2C94">
            <w:pPr>
              <w:widowControl/>
              <w:spacing w:after="120" w:line="276" w:lineRule="auto"/>
              <w:rPr>
                <w:sz w:val="20"/>
                <w:lang w:eastAsia="en-US"/>
              </w:rPr>
            </w:pPr>
          </w:p>
        </w:tc>
      </w:tr>
      <w:tr w:rsidR="008E2C94" w:rsidRPr="008E2C94" w:rsidTr="008E2C94">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8E2C94" w:rsidRPr="008E2C94" w:rsidRDefault="008E2C94" w:rsidP="008E2C94">
            <w:pPr>
              <w:widowControl/>
              <w:spacing w:after="120" w:line="276" w:lineRule="auto"/>
              <w:rPr>
                <w:sz w:val="20"/>
              </w:rPr>
            </w:pPr>
            <w:r w:rsidRPr="008E2C94">
              <w:rPr>
                <w:sz w:val="20"/>
                <w:vertAlign w:val="superscript"/>
              </w:rPr>
              <w:t>1</w:t>
            </w:r>
            <w:r w:rsidRPr="008E2C94">
              <w:rPr>
                <w:sz w:val="20"/>
              </w:rPr>
              <w:t xml:space="preserve"> Tillhandahålls på frivillig basis.</w:t>
            </w:r>
          </w:p>
        </w:tc>
      </w:tr>
    </w:tbl>
    <w:p w:rsidR="008E2C94" w:rsidRPr="008E2C94" w:rsidRDefault="008E2C94" w:rsidP="008E2C94">
      <w:pPr>
        <w:widowControl/>
        <w:spacing w:before="120" w:after="120" w:line="360" w:lineRule="auto"/>
        <w:outlineLvl w:val="0"/>
        <w:rPr>
          <w:b/>
          <w:i/>
          <w:iCs/>
          <w:noProof/>
          <w:szCs w:val="24"/>
          <w:lang w:eastAsia="en-US"/>
        </w:rPr>
      </w:pPr>
    </w:p>
    <w:p w:rsidR="008E2C94" w:rsidRPr="008E2C94" w:rsidRDefault="008E2C94" w:rsidP="008E2C94">
      <w:pPr>
        <w:keepNext/>
        <w:widowControl/>
        <w:tabs>
          <w:tab w:val="left" w:pos="850"/>
        </w:tabs>
        <w:spacing w:before="120" w:after="120"/>
        <w:ind w:left="850" w:hanging="850"/>
        <w:jc w:val="both"/>
        <w:outlineLvl w:val="1"/>
        <w:rPr>
          <w:rFonts w:eastAsia="Calibri"/>
          <w:b/>
          <w:noProof/>
          <w:szCs w:val="22"/>
        </w:rPr>
      </w:pPr>
      <w:r w:rsidRPr="008E2C94">
        <w:rPr>
          <w:b/>
        </w:rPr>
        <w:lastRenderedPageBreak/>
        <w:t>Förklaring</w:t>
      </w:r>
    </w:p>
    <w:tbl>
      <w:tblPr>
        <w:tblW w:w="5660" w:type="dxa"/>
        <w:tblLook w:val="04A0" w:firstRow="1" w:lastRow="0" w:firstColumn="1" w:lastColumn="0" w:noHBand="0" w:noVBand="1"/>
      </w:tblPr>
      <w:tblGrid>
        <w:gridCol w:w="4644"/>
        <w:gridCol w:w="1016"/>
      </w:tblGrid>
      <w:tr w:rsidR="008E2C94" w:rsidRPr="008E2C94" w:rsidTr="008E2C94">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rsidR="008E2C94" w:rsidRPr="008E2C94" w:rsidRDefault="008E2C94" w:rsidP="008E2C94">
            <w:pPr>
              <w:keepNext/>
              <w:widowControl/>
              <w:tabs>
                <w:tab w:val="left" w:pos="850"/>
              </w:tabs>
              <w:spacing w:before="120" w:after="120"/>
              <w:ind w:left="850" w:hanging="850"/>
              <w:jc w:val="center"/>
              <w:outlineLvl w:val="1"/>
              <w:rPr>
                <w:rFonts w:eastAsia="Calibri"/>
                <w:b/>
                <w:noProof/>
                <w:sz w:val="20"/>
                <w:szCs w:val="22"/>
              </w:rPr>
            </w:pPr>
            <w:r w:rsidRPr="008E2C94">
              <w:rPr>
                <w:b/>
                <w:sz w:val="20"/>
              </w:rPr>
              <w:t>Periodicitet</w:t>
            </w:r>
          </w:p>
        </w:tc>
      </w:tr>
      <w:tr w:rsidR="008E2C94" w:rsidRPr="008E2C94" w:rsidTr="008E2C94">
        <w:tc>
          <w:tcPr>
            <w:tcW w:w="4644" w:type="dxa"/>
            <w:tcBorders>
              <w:top w:val="nil"/>
              <w:left w:val="single" w:sz="8" w:space="0" w:color="auto"/>
              <w:bottom w:val="single" w:sz="4" w:space="0" w:color="auto"/>
              <w:right w:val="single" w:sz="4" w:space="0" w:color="auto"/>
            </w:tcBorders>
            <w:shd w:val="clear" w:color="000000"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Kvartalsvis</w:t>
            </w:r>
          </w:p>
        </w:tc>
        <w:tc>
          <w:tcPr>
            <w:tcW w:w="1016" w:type="dxa"/>
            <w:tcBorders>
              <w:top w:val="nil"/>
              <w:left w:val="nil"/>
              <w:bottom w:val="single" w:sz="4" w:space="0" w:color="auto"/>
              <w:right w:val="single" w:sz="8" w:space="0" w:color="auto"/>
            </w:tcBorders>
            <w:shd w:val="clear" w:color="000000"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Q</w:t>
            </w:r>
          </w:p>
        </w:tc>
      </w:tr>
      <w:tr w:rsidR="008E2C94" w:rsidRPr="008E2C94" w:rsidTr="008E2C94">
        <w:tc>
          <w:tcPr>
            <w:tcW w:w="4644" w:type="dxa"/>
            <w:tcBorders>
              <w:top w:val="nil"/>
              <w:left w:val="single" w:sz="8" w:space="0" w:color="auto"/>
              <w:bottom w:val="single" w:sz="4" w:space="0" w:color="auto"/>
              <w:right w:val="single" w:sz="4" w:space="0" w:color="auto"/>
            </w:tcBorders>
            <w:shd w:val="clear" w:color="000000"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Var sjätte månad</w:t>
            </w:r>
          </w:p>
        </w:tc>
        <w:tc>
          <w:tcPr>
            <w:tcW w:w="1016" w:type="dxa"/>
            <w:tcBorders>
              <w:top w:val="nil"/>
              <w:left w:val="nil"/>
              <w:bottom w:val="single" w:sz="4" w:space="0" w:color="auto"/>
              <w:right w:val="single" w:sz="8" w:space="0" w:color="auto"/>
            </w:tcBorders>
            <w:shd w:val="clear" w:color="000000"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6M</w:t>
            </w:r>
          </w:p>
        </w:tc>
      </w:tr>
      <w:tr w:rsidR="008E2C94" w:rsidRPr="008E2C94" w:rsidTr="008E2C94">
        <w:tc>
          <w:tcPr>
            <w:tcW w:w="4644" w:type="dxa"/>
            <w:tcBorders>
              <w:top w:val="nil"/>
              <w:left w:val="single" w:sz="8" w:space="0" w:color="auto"/>
              <w:bottom w:val="single" w:sz="4" w:space="0" w:color="auto"/>
              <w:right w:val="single" w:sz="4" w:space="0" w:color="auto"/>
            </w:tcBorders>
            <w:shd w:val="clear" w:color="000000"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Årligen</w:t>
            </w:r>
          </w:p>
        </w:tc>
        <w:tc>
          <w:tcPr>
            <w:tcW w:w="1016" w:type="dxa"/>
            <w:tcBorders>
              <w:top w:val="nil"/>
              <w:left w:val="nil"/>
              <w:bottom w:val="single" w:sz="4" w:space="0" w:color="auto"/>
              <w:right w:val="single" w:sz="8" w:space="0" w:color="auto"/>
            </w:tcBorders>
            <w:shd w:val="clear" w:color="000000"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A</w:t>
            </w:r>
          </w:p>
        </w:tc>
      </w:tr>
      <w:tr w:rsidR="008E2C94" w:rsidRPr="008E2C94" w:rsidTr="008E2C94">
        <w:tc>
          <w:tcPr>
            <w:tcW w:w="4644" w:type="dxa"/>
            <w:tcBorders>
              <w:top w:val="nil"/>
              <w:left w:val="single" w:sz="8" w:space="0" w:color="auto"/>
              <w:bottom w:val="single" w:sz="4" w:space="0" w:color="auto"/>
              <w:right w:val="single" w:sz="4" w:space="0" w:color="auto"/>
            </w:tcBorders>
            <w:shd w:val="clear" w:color="000000"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Flerårig (år som slutar med ”1”, ”5”, ”8”)</w:t>
            </w:r>
          </w:p>
        </w:tc>
        <w:tc>
          <w:tcPr>
            <w:tcW w:w="1016" w:type="dxa"/>
            <w:tcBorders>
              <w:top w:val="nil"/>
              <w:left w:val="nil"/>
              <w:bottom w:val="single" w:sz="4" w:space="0" w:color="auto"/>
              <w:right w:val="single" w:sz="8" w:space="0" w:color="auto"/>
            </w:tcBorders>
            <w:shd w:val="clear" w:color="000000"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MA</w:t>
            </w:r>
          </w:p>
        </w:tc>
      </w:tr>
      <w:tr w:rsidR="008E2C94" w:rsidRPr="008E2C94" w:rsidTr="008E2C94">
        <w:tc>
          <w:tcPr>
            <w:tcW w:w="4644" w:type="dxa"/>
            <w:tcBorders>
              <w:top w:val="nil"/>
              <w:left w:val="single" w:sz="8" w:space="0" w:color="auto"/>
              <w:bottom w:val="single" w:sz="8" w:space="0" w:color="auto"/>
              <w:right w:val="single" w:sz="4" w:space="0" w:color="auto"/>
            </w:tcBorders>
            <w:shd w:val="clear" w:color="000000"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Vart tionde år (år som slutar med ”1”)</w:t>
            </w:r>
          </w:p>
        </w:tc>
        <w:tc>
          <w:tcPr>
            <w:tcW w:w="1016" w:type="dxa"/>
            <w:tcBorders>
              <w:top w:val="nil"/>
              <w:left w:val="nil"/>
              <w:bottom w:val="single" w:sz="8" w:space="0" w:color="auto"/>
              <w:right w:val="single" w:sz="8" w:space="0" w:color="auto"/>
            </w:tcBorders>
            <w:shd w:val="clear" w:color="000000" w:fill="FFFFFF"/>
            <w:vAlign w:val="center"/>
            <w:hideMark/>
          </w:tcPr>
          <w:p w:rsidR="008E2C94" w:rsidRPr="008E2C94" w:rsidRDefault="008E2C94" w:rsidP="008E2C94">
            <w:pPr>
              <w:widowControl/>
              <w:spacing w:before="120" w:after="120" w:line="360" w:lineRule="auto"/>
              <w:jc w:val="center"/>
              <w:rPr>
                <w:noProof/>
                <w:sz w:val="20"/>
                <w:szCs w:val="24"/>
              </w:rPr>
            </w:pPr>
            <w:r w:rsidRPr="008E2C94">
              <w:rPr>
                <w:sz w:val="20"/>
              </w:rPr>
              <w:t>D</w:t>
            </w:r>
          </w:p>
        </w:tc>
      </w:tr>
    </w:tbl>
    <w:p w:rsidR="008E2C94" w:rsidRPr="008E2C94" w:rsidRDefault="008E2C94" w:rsidP="008E2C94">
      <w:pPr>
        <w:widowControl/>
        <w:spacing w:before="120" w:after="120" w:line="360" w:lineRule="auto"/>
        <w:outlineLvl w:val="0"/>
        <w:rPr>
          <w:b/>
          <w:noProof/>
          <w:szCs w:val="24"/>
          <w:lang w:eastAsia="en-US"/>
        </w:rPr>
      </w:pPr>
    </w:p>
    <w:p w:rsidR="008E2C94" w:rsidRPr="008E2C94" w:rsidRDefault="008E2C94" w:rsidP="008E2C94">
      <w:pPr>
        <w:widowControl/>
        <w:spacing w:before="120" w:after="120" w:line="360" w:lineRule="auto"/>
        <w:outlineLvl w:val="0"/>
        <w:rPr>
          <w:b/>
          <w:i/>
          <w:iCs/>
          <w:noProof/>
          <w:szCs w:val="24"/>
          <w:lang w:eastAsia="en-US"/>
        </w:rPr>
      </w:pPr>
    </w:p>
    <w:p w:rsidR="008E2C94" w:rsidRPr="008E2C94" w:rsidRDefault="008E2C94" w:rsidP="008E2C94">
      <w:pPr>
        <w:widowControl/>
        <w:spacing w:before="120" w:after="120" w:line="360" w:lineRule="auto"/>
        <w:rPr>
          <w:szCs w:val="24"/>
          <w:lang w:eastAsia="en-US"/>
        </w:rPr>
      </w:pPr>
    </w:p>
    <w:p w:rsidR="00E07FB6" w:rsidRPr="004E616D" w:rsidRDefault="00E07FB6" w:rsidP="00E07FB6">
      <w:pPr>
        <w:widowControl/>
      </w:pPr>
      <w:bookmarkStart w:id="9" w:name="_GoBack"/>
      <w:bookmarkEnd w:id="9"/>
    </w:p>
    <w:sectPr w:rsidR="00E07FB6" w:rsidRPr="004E616D" w:rsidSect="004E616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EAE" w:rsidRPr="004E616D" w:rsidRDefault="00F45EAE">
      <w:r w:rsidRPr="004E616D">
        <w:separator/>
      </w:r>
    </w:p>
  </w:endnote>
  <w:endnote w:type="continuationSeparator" w:id="0">
    <w:p w:rsidR="00F45EAE" w:rsidRPr="004E616D" w:rsidRDefault="00F45EAE">
      <w:r w:rsidRPr="004E61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EAE" w:rsidRPr="004E616D" w:rsidRDefault="00F45EAE">
      <w:r w:rsidRPr="004E616D">
        <w:separator/>
      </w:r>
    </w:p>
  </w:footnote>
  <w:footnote w:type="continuationSeparator" w:id="0">
    <w:p w:rsidR="00F45EAE" w:rsidRPr="004E616D" w:rsidRDefault="00F45EAE">
      <w:r w:rsidRPr="004E616D">
        <w:continuationSeparator/>
      </w:r>
    </w:p>
  </w:footnote>
  <w:footnote w:id="1">
    <w:p w:rsidR="00F45EAE" w:rsidRPr="00F45EAE" w:rsidRDefault="00F45EAE" w:rsidP="003C400B">
      <w:pPr>
        <w:pStyle w:val="FootnoteText"/>
        <w:ind w:left="851" w:hanging="851"/>
        <w:rPr>
          <w:sz w:val="24"/>
          <w:szCs w:val="24"/>
          <w:lang w:val="sv-SE"/>
        </w:rPr>
      </w:pPr>
      <w:r w:rsidRPr="00F45EAE">
        <w:rPr>
          <w:rStyle w:val="FootnoteReference"/>
          <w:sz w:val="24"/>
          <w:szCs w:val="24"/>
        </w:rPr>
        <w:footnoteRef/>
      </w:r>
      <w:r w:rsidRPr="00F45EAE">
        <w:rPr>
          <w:sz w:val="24"/>
          <w:szCs w:val="24"/>
          <w:lang w:val="sv-SE"/>
        </w:rPr>
        <w:t xml:space="preserve"> </w:t>
      </w:r>
      <w:r w:rsidRPr="00F45EAE">
        <w:rPr>
          <w:sz w:val="24"/>
          <w:szCs w:val="24"/>
          <w:lang w:val="sv-SE"/>
        </w:rPr>
        <w:tab/>
        <w:t>EUT C 228, 29.6.2023, s. 148.</w:t>
      </w:r>
    </w:p>
  </w:footnote>
  <w:footnote w:id="2">
    <w:p w:rsidR="00F45EAE" w:rsidRPr="00BA42CF" w:rsidRDefault="00F45EAE" w:rsidP="00BA42CF">
      <w:pPr>
        <w:pStyle w:val="FootnoteText"/>
        <w:ind w:left="851" w:hanging="851"/>
        <w:rPr>
          <w:sz w:val="24"/>
          <w:szCs w:val="24"/>
          <w:lang w:val="sv-SE"/>
        </w:rPr>
      </w:pPr>
      <w:r w:rsidRPr="00BA42CF">
        <w:rPr>
          <w:rStyle w:val="FootnoteReference"/>
          <w:sz w:val="24"/>
          <w:szCs w:val="24"/>
          <w:lang w:val="sv-SE"/>
        </w:rPr>
        <w:t>*</w:t>
      </w:r>
      <w:r w:rsidRPr="00BA42CF">
        <w:rPr>
          <w:sz w:val="24"/>
          <w:szCs w:val="24"/>
          <w:lang w:val="sv-SE"/>
        </w:rPr>
        <w:tab/>
        <w:t>Ändringarna i texten är resultatet av</w:t>
      </w:r>
      <w:r w:rsidR="0099407E" w:rsidRPr="0099407E">
        <w:rPr>
          <w:sz w:val="24"/>
          <w:szCs w:val="24"/>
          <w:lang w:val="sv-SE"/>
        </w:rPr>
        <w:t xml:space="preserve"> antagandet av ändringsförslag 56</w:t>
      </w:r>
      <w:r w:rsidRPr="00BA42CF">
        <w:rPr>
          <w:sz w:val="24"/>
          <w:szCs w:val="24"/>
          <w:lang w:val="sv-SE"/>
        </w:rPr>
        <w:t>. Ny text eller text som ersätter tidigare text markeras med fetkursiv stil och strykningar med symbolen ▌.</w:t>
      </w:r>
    </w:p>
  </w:footnote>
  <w:footnote w:id="3">
    <w:p w:rsidR="00F45EAE" w:rsidRPr="00C7725D" w:rsidRDefault="00F45EAE" w:rsidP="003C400B">
      <w:pPr>
        <w:pStyle w:val="FootnoteTextForceStyle"/>
        <w:tabs>
          <w:tab w:val="left" w:pos="0"/>
        </w:tabs>
        <w:ind w:left="851" w:hanging="851"/>
        <w:rPr>
          <w:szCs w:val="24"/>
          <w:lang w:val="fr-FR"/>
        </w:rPr>
      </w:pPr>
      <w:r w:rsidRPr="00F45EAE">
        <w:rPr>
          <w:szCs w:val="24"/>
          <w:vertAlign w:val="superscript"/>
        </w:rPr>
        <w:footnoteRef/>
      </w:r>
      <w:r w:rsidRPr="00F45EAE">
        <w:rPr>
          <w:szCs w:val="24"/>
          <w:lang w:val="fr-FR"/>
        </w:rPr>
        <w:tab/>
        <w:t xml:space="preserve">EUT </w:t>
      </w:r>
      <w:proofErr w:type="gramStart"/>
      <w:r w:rsidRPr="00F45EAE">
        <w:rPr>
          <w:szCs w:val="24"/>
          <w:lang w:val="fr-FR"/>
        </w:rPr>
        <w:t>C ,</w:t>
      </w:r>
      <w:proofErr w:type="gramEnd"/>
      <w:r w:rsidRPr="00F45EAE">
        <w:rPr>
          <w:szCs w:val="24"/>
          <w:lang w:val="fr-FR"/>
        </w:rPr>
        <w:t xml:space="preserve"> , s. .</w:t>
      </w:r>
    </w:p>
  </w:footnote>
  <w:footnote w:id="4">
    <w:p w:rsidR="00F45EAE" w:rsidRPr="00C7725D" w:rsidRDefault="00F45EAE" w:rsidP="003C400B">
      <w:pPr>
        <w:pStyle w:val="FootnoteTextForceStyle"/>
        <w:tabs>
          <w:tab w:val="left" w:pos="0"/>
        </w:tabs>
        <w:ind w:left="851" w:hanging="851"/>
        <w:rPr>
          <w:szCs w:val="24"/>
          <w:lang w:val="fr-FR"/>
        </w:rPr>
      </w:pPr>
      <w:r w:rsidRPr="00F45EAE">
        <w:rPr>
          <w:szCs w:val="24"/>
          <w:vertAlign w:val="superscript"/>
        </w:rPr>
        <w:footnoteRef/>
      </w:r>
      <w:r w:rsidRPr="00F45EAE">
        <w:rPr>
          <w:szCs w:val="24"/>
          <w:lang w:val="fr-FR"/>
        </w:rPr>
        <w:tab/>
        <w:t xml:space="preserve">EUT </w:t>
      </w:r>
      <w:proofErr w:type="gramStart"/>
      <w:r w:rsidRPr="00F45EAE">
        <w:rPr>
          <w:szCs w:val="24"/>
          <w:lang w:val="fr-FR"/>
        </w:rPr>
        <w:t>C ,</w:t>
      </w:r>
      <w:proofErr w:type="gramEnd"/>
      <w:r w:rsidRPr="00F45EAE">
        <w:rPr>
          <w:szCs w:val="24"/>
          <w:lang w:val="fr-FR"/>
        </w:rPr>
        <w:t xml:space="preserve"> , s. .</w:t>
      </w:r>
    </w:p>
  </w:footnote>
  <w:footnote w:id="5">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förordning (EU) 2019/1700 av den 10 oktober 2019 om fastställande av en gemensam ram för europeisk statistik om personer och hushåll, som grundas på uppgifter på individnivå som samlas in genom urvalsundersökningar, om ändring av Europaparlamentets och rådets förordningar (EG) nr 808/2004, (EG) nr 452/2008 och (EG) nr 1338/2008 samt om upphävande av Europaparlamentets och rådets förordning (EG) nr 1177/2003 och rådets förordning (</w:t>
      </w:r>
      <w:r w:rsidRPr="00C7725D">
        <w:rPr>
          <w:szCs w:val="24"/>
        </w:rPr>
        <w:t>EG) nr 577/98 (EUT L 261I, 14.10.2019, s. 1).</w:t>
      </w:r>
    </w:p>
  </w:footnote>
  <w:footnote w:id="6">
    <w:p w:rsidR="00F45EAE" w:rsidRPr="00F45EAE"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förordning (EU) nr 1260/2013 av den 20 november 2013 om europeisk befolkningsstatistik (EUT L 330, 10.12.2013, s. 39).</w:t>
      </w:r>
    </w:p>
  </w:footnote>
  <w:footnote w:id="7">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förordning (EG) nr 223/2009 av den 11 mars 2009 om europeisk statistik och om upphävande av Europaparlamentets och rådets förordning (EG, Euratom) nr 1101/2008 om utlämnande av insynsskyddade statistiska uppgifter till Europeiska gemenskapernas statistikkontor, rådets förordning (EG</w:t>
      </w:r>
      <w:r w:rsidRPr="00C7725D">
        <w:rPr>
          <w:szCs w:val="24"/>
        </w:rPr>
        <w:t>) nr 322/97 om gemenskapsstatistik och rådets beslut 89/382/EEG, Euratom om inrättande av en kommitté för Europeiska gemenskapernas statistiska program (EUT L 87, 31.3.2009, s. 164).</w:t>
      </w:r>
    </w:p>
  </w:footnote>
  <w:footnote w:id="8">
    <w:p w:rsidR="00F45EAE" w:rsidRPr="00F45EAE"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SWD(2023)13.</w:t>
      </w:r>
    </w:p>
  </w:footnote>
  <w:footnote w:id="9">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förordning (EG) nr 862/2007 av den 11 juli 2007 om gemenskapsstatistik över migration och internationellt skydd och om upphävande av rådets förordning (EEG) nr 311/76 om utarbetande av statistik beträffande utländska arbetstagare (EUT L 199, 31.7.2007, s. 23).</w:t>
      </w:r>
    </w:p>
  </w:footnote>
  <w:footnote w:id="10">
    <w:p w:rsidR="00F45EAE" w:rsidRPr="00F45EAE"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förordning (EG) nr 763/2008 av den 9 juli 2008 om folk- och bostadsräkningar (EUT L 218, 13.8.2008, s. 14).</w:t>
      </w:r>
    </w:p>
  </w:footnote>
  <w:footnote w:id="11">
    <w:p w:rsidR="00F45EAE" w:rsidRPr="00F45EAE"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förordning (EG) nr 1059/2003 av den 26 maj 2003 om inrättande av en gemensam nomenklatur för statistiska territoriella enheter (NUTS) (EUT L 154, 21.6.2003, s. 1).</w:t>
      </w:r>
    </w:p>
  </w:footnote>
  <w:footnote w:id="12">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Kommissionens genomförandeförordning (EU) 2018/1799 av den 21 november 2018 om inrättande av en tillfällig direkt statistikåtgärd för spridning av utvalda variabler av folk- och bostadsräkningarna 2021 som geokodats till ett rutnät med 1 km</w:t>
      </w:r>
      <w:r w:rsidRPr="00F45EAE">
        <w:rPr>
          <w:szCs w:val="24"/>
          <w:vertAlign w:val="superscript"/>
        </w:rPr>
        <w:t>2</w:t>
      </w:r>
      <w:r w:rsidRPr="00C7725D">
        <w:rPr>
          <w:szCs w:val="24"/>
        </w:rPr>
        <w:t>-rutor (EUT L 296, 22.11.2018, s. 19).</w:t>
      </w:r>
    </w:p>
  </w:footnote>
  <w:footnote w:id="13">
    <w:p w:rsidR="00F45EAE" w:rsidRPr="00F45EAE"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direktiv 2007/2/EG av den 14 mars 2007 om upprättande av en infrastruktur för rumslig information i Europeiska gemenskapen (</w:t>
      </w:r>
      <w:proofErr w:type="spellStart"/>
      <w:r w:rsidRPr="00F45EAE">
        <w:rPr>
          <w:szCs w:val="24"/>
        </w:rPr>
        <w:t>Inspire</w:t>
      </w:r>
      <w:proofErr w:type="spellEnd"/>
      <w:r w:rsidRPr="00F45EAE">
        <w:rPr>
          <w:szCs w:val="24"/>
        </w:rPr>
        <w:t>) (</w:t>
      </w:r>
      <w:proofErr w:type="spellStart"/>
      <w:r w:rsidRPr="00F45EAE">
        <w:rPr>
          <w:szCs w:val="24"/>
        </w:rPr>
        <w:t>EUT</w:t>
      </w:r>
      <w:proofErr w:type="spellEnd"/>
      <w:r w:rsidRPr="00F45EAE">
        <w:rPr>
          <w:szCs w:val="24"/>
        </w:rPr>
        <w:t xml:space="preserve"> L 108, 25.4.2007, s. 1).</w:t>
      </w:r>
    </w:p>
  </w:footnote>
  <w:footnote w:id="14">
    <w:p w:rsidR="00F45EAE" w:rsidRPr="00F45EAE"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direktiv 2010/31/EU av den 19 maj 2010 om byggnaders energiprestanda (EUT L 153, 18.6.2010, s. 13).</w:t>
      </w:r>
    </w:p>
  </w:footnote>
  <w:footnote w:id="15">
    <w:p w:rsidR="00F45EAE" w:rsidRPr="00F45EAE" w:rsidRDefault="00F45EAE" w:rsidP="003C400B">
      <w:pPr>
        <w:pStyle w:val="FootnoteTextForceStyle"/>
        <w:tabs>
          <w:tab w:val="left" w:pos="0"/>
        </w:tabs>
        <w:ind w:left="851" w:hanging="851"/>
        <w:rPr>
          <w:szCs w:val="24"/>
        </w:rPr>
      </w:pPr>
      <w:r w:rsidRPr="00F45EAE">
        <w:rPr>
          <w:rStyle w:val="FootnoteReference"/>
          <w:szCs w:val="24"/>
        </w:rPr>
        <w:footnoteRef/>
      </w:r>
      <w:r w:rsidRPr="00F45EAE">
        <w:rPr>
          <w:szCs w:val="24"/>
        </w:rPr>
        <w:tab/>
        <w:t xml:space="preserve">Europaparlamentets och rådets direktiv (EU) </w:t>
      </w:r>
      <w:r w:rsidR="00C7725D" w:rsidRPr="00C7725D">
        <w:rPr>
          <w:szCs w:val="24"/>
        </w:rPr>
        <w:t>2024/1275</w:t>
      </w:r>
      <w:r w:rsidRPr="00F45EAE">
        <w:rPr>
          <w:szCs w:val="24"/>
        </w:rPr>
        <w:t xml:space="preserve"> av den </w:t>
      </w:r>
      <w:r w:rsidR="00C7725D">
        <w:rPr>
          <w:szCs w:val="24"/>
        </w:rPr>
        <w:t>24 april 2024</w:t>
      </w:r>
      <w:r w:rsidRPr="00F45EAE">
        <w:rPr>
          <w:szCs w:val="24"/>
        </w:rPr>
        <w:t xml:space="preserve"> om byggnaders energiprestanda (omarbetning) (EUT L</w:t>
      </w:r>
      <w:r w:rsidR="00C7725D">
        <w:rPr>
          <w:szCs w:val="24"/>
        </w:rPr>
        <w:t>,</w:t>
      </w:r>
      <w:r w:rsidRPr="00F45EAE">
        <w:rPr>
          <w:szCs w:val="24"/>
        </w:rPr>
        <w:t xml:space="preserve"> </w:t>
      </w:r>
      <w:r w:rsidR="00C7725D" w:rsidRPr="00C7725D">
        <w:rPr>
          <w:szCs w:val="24"/>
        </w:rPr>
        <w:t xml:space="preserve">2024/1275, 8.5.2024, ELI: </w:t>
      </w:r>
      <w:hyperlink r:id="rId1" w:history="1">
        <w:r w:rsidR="00C7725D" w:rsidRPr="00C7725D">
          <w:rPr>
            <w:rStyle w:val="Hyperlink"/>
            <w:szCs w:val="24"/>
          </w:rPr>
          <w:t>http://data.europa.eu/eli/dir/2024/1275/oj</w:t>
        </w:r>
      </w:hyperlink>
      <w:r w:rsidRPr="00F45EAE">
        <w:rPr>
          <w:szCs w:val="24"/>
        </w:rPr>
        <w:t>).</w:t>
      </w:r>
    </w:p>
  </w:footnote>
  <w:footnote w:id="16">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förordning (EU) nr 910/2014 av den 23 juli 2014 om elektronisk identifiering och betrodda tjänster för elektroniska transaktioner på den inre marknaden och om upphävande av direktiv 1999/93/EG (EUT L 257, 28.8.2014, s. 73).</w:t>
      </w:r>
    </w:p>
  </w:footnote>
  <w:footnote w:id="17">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förordning (EU) 2018/1724 av den 2 oktober 2018 om inrättande av en gemensam digital ingång för tillhandahållande av information, förfaranden samt hjälp- och problemlösningstjänster och om ändring av förordning (EU) nr 1024/2012 (EUT L 295, 21.11.2018, s. 1).</w:t>
      </w:r>
    </w:p>
  </w:footnote>
  <w:footnote w:id="18">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 xml:space="preserve">Europaparlamentets och rådets förordning (EU) 2019/817 av den 20 maj 2019 om inrättande av en ram för </w:t>
      </w:r>
      <w:proofErr w:type="spellStart"/>
      <w:r w:rsidRPr="00F45EAE">
        <w:rPr>
          <w:szCs w:val="24"/>
        </w:rPr>
        <w:t>interoperabilitet</w:t>
      </w:r>
      <w:proofErr w:type="spellEnd"/>
      <w:r w:rsidRPr="00F45EAE">
        <w:rPr>
          <w:szCs w:val="24"/>
        </w:rPr>
        <w:t xml:space="preserve"> mellan EU-informationssystem på området gränser och viseringar, och om ändring av Europaparlamentets och rådets förordningar (EG) nr 767/2008, (EU) 2016/399, (EU</w:t>
      </w:r>
      <w:r w:rsidRPr="00C7725D">
        <w:rPr>
          <w:szCs w:val="24"/>
        </w:rPr>
        <w:t>) 2017/2226, (EU) 2018/1240, (EU) 2018/1726 och (EU) 2018/1861 samt rådets beslut 2004/512/EG och 2008/633/RIF (EUT L 135, 22.5.2019, s. 27).</w:t>
      </w:r>
    </w:p>
  </w:footnote>
  <w:footnote w:id="19">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 xml:space="preserve">Europaparlamentets och rådets förordning (EU) 2019/818 av den 20 maj 2019 om inrättande av en ram för </w:t>
      </w:r>
      <w:proofErr w:type="spellStart"/>
      <w:r w:rsidRPr="00F45EAE">
        <w:rPr>
          <w:szCs w:val="24"/>
        </w:rPr>
        <w:t>interoperabilitet</w:t>
      </w:r>
      <w:proofErr w:type="spellEnd"/>
      <w:r w:rsidRPr="00F45EAE">
        <w:rPr>
          <w:szCs w:val="24"/>
        </w:rPr>
        <w:t xml:space="preserve"> mellan EU-informationssystem på området polissamarbete och straffrättsligt samarbete, asyl och migration och om ändring av förordningarna (EU) 2018/1726, (EU) 2018/1862 och (EU) 2019/816 (EUT L 135, 22.5.2019, s. 85).</w:t>
      </w:r>
    </w:p>
  </w:footnote>
  <w:footnote w:id="20">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w:t>
      </w:r>
      <w:r w:rsidRPr="00C7725D">
        <w:rPr>
          <w:szCs w:val="24"/>
        </w:rPr>
        <w:t>g (EG) nr 45/2001 och beslut nr 1247/2002/EG (EUT L 295, 21.11.2018, s. 39).</w:t>
      </w:r>
    </w:p>
  </w:footnote>
  <w:footnote w:id="21">
    <w:p w:rsidR="00F45EAE" w:rsidRPr="00C7725D" w:rsidRDefault="00F45EAE" w:rsidP="003C400B">
      <w:pPr>
        <w:pStyle w:val="FootnoteTextForceStyle"/>
        <w:tabs>
          <w:tab w:val="left" w:pos="0"/>
        </w:tabs>
        <w:ind w:left="851" w:hanging="851"/>
        <w:rPr>
          <w:szCs w:val="24"/>
        </w:rPr>
      </w:pPr>
      <w:r w:rsidRPr="00F45EAE">
        <w:rPr>
          <w:rStyle w:val="FootnoteReference"/>
          <w:szCs w:val="24"/>
        </w:rPr>
        <w:footnoteRef/>
      </w:r>
      <w:r w:rsidRPr="00F45EAE">
        <w:rPr>
          <w:szCs w:val="24"/>
        </w:rPr>
        <w:t xml:space="preserve"> </w:t>
      </w:r>
      <w:r w:rsidRPr="00F45EAE">
        <w:rPr>
          <w:szCs w:val="24"/>
        </w:rPr>
        <w:tab/>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footnote>
  <w:footnote w:id="22">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direktiv 2002/58/EG av den 12 juli 2002 om behandling av personuppgifter och integritetsskydd inom sektorn för elektronisk kommunikation (Direktiv om integritet och elektronisk kommunikation) (EGT L 201, 31.7.2002, s. 37).</w:t>
      </w:r>
    </w:p>
  </w:footnote>
  <w:footnote w:id="23">
    <w:p w:rsidR="00F45EAE" w:rsidRPr="00F45EAE"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EUT L 123, 12.5.2016, s. 1.</w:t>
      </w:r>
    </w:p>
  </w:footnote>
  <w:footnote w:id="24">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 xml:space="preserve">Europaparlamentets och rådets förordning (EU) 2021/690 av den 28 april 2021 om inrättande av ett program för den inre marknaden, konkurrenskraft för företag, inklusive små och medelstora företag, området för växter, djur, livsmedel och foder och europeisk statistik (programmet för den inre marknaden) samt om upphävande av förordningarna (EU) nr 99/2013, (EU) nr </w:t>
      </w:r>
      <w:r w:rsidRPr="00C7725D">
        <w:rPr>
          <w:szCs w:val="24"/>
        </w:rPr>
        <w:t>1287/2013, (EU) nr 254/2014 och (EU) nr 652/2014 (EUT L 153, 3.5.2021, s. 1).</w:t>
      </w:r>
    </w:p>
  </w:footnote>
  <w:footnote w:id="25">
    <w:p w:rsidR="00F45EAE" w:rsidRPr="00F45EAE" w:rsidRDefault="00F45EAE" w:rsidP="003C400B">
      <w:pPr>
        <w:pStyle w:val="FootnoteTextForceStyle"/>
        <w:tabs>
          <w:tab w:val="left" w:pos="0"/>
        </w:tabs>
        <w:ind w:left="851" w:hanging="851"/>
        <w:rPr>
          <w:szCs w:val="24"/>
        </w:rPr>
      </w:pPr>
      <w:r w:rsidRPr="00F45EAE">
        <w:rPr>
          <w:rStyle w:val="FootnoteReference"/>
          <w:szCs w:val="24"/>
        </w:rPr>
        <w:footnoteRef/>
      </w:r>
      <w:r w:rsidRPr="00F45EAE">
        <w:rPr>
          <w:szCs w:val="24"/>
        </w:rPr>
        <w:tab/>
        <w:t>Europaparlamentets och rådets förordning (EU) 2021/240 av den 10 februari 2021 om inrättande av ett instrument för tekniskt stöd (EUT L 57, 18.2.2021, s. 1).</w:t>
      </w:r>
    </w:p>
  </w:footnote>
  <w:footnote w:id="26">
    <w:p w:rsidR="00F45EAE" w:rsidRPr="00C7725D" w:rsidRDefault="00F45EAE" w:rsidP="003C400B">
      <w:pPr>
        <w:pStyle w:val="FootnoteTextForceStyle"/>
        <w:tabs>
          <w:tab w:val="left" w:pos="0"/>
        </w:tabs>
        <w:ind w:left="851" w:hanging="851"/>
        <w:rPr>
          <w:szCs w:val="24"/>
        </w:rPr>
      </w:pPr>
      <w:r w:rsidRPr="00F45EAE">
        <w:rPr>
          <w:rStyle w:val="FootnoteReference"/>
          <w:szCs w:val="24"/>
        </w:rPr>
        <w:footnoteRef/>
      </w:r>
      <w:r w:rsidRPr="00F45EAE">
        <w:rPr>
          <w:szCs w:val="24"/>
        </w:rPr>
        <w:tab/>
        <w:t>Europaparlamentets och rådets förordning (EU, Euratom) 2018/1046 av den 18 juli 2018 om finansiella regler för unionens allmänna budget, om ändring av förordningarna (EU) nr 1296/2013, (EU) nr 1301/2013, (EU) nr 1303/2013, (EU) nr 1304/2013, (EU) nr 1309/2013, (EU) nr 131</w:t>
      </w:r>
      <w:r w:rsidRPr="00C7725D">
        <w:rPr>
          <w:szCs w:val="24"/>
        </w:rPr>
        <w:t>6/2013, (EU) nr 223/2014, (EU) nr 283/2014 och beslut nr 541/2014/EU samt om upphävande av förordning (EU, Euratom) nr 966/2012 (EUT L 193, 30.7.2018, s. 1).</w:t>
      </w:r>
    </w:p>
  </w:footnote>
  <w:footnote w:id="27">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förordning (EU, Euratom) nr 883/2013 av den 11 september 2013 om utredningar som utförs av Europeiska byrån för bedrägeribekämpning (Olaf) och om upphävande av Europaparlamentets och rådets förordning (EG) nr 1073/1999 och rådets förordning (Euratom) nr 1074/1999 (EUT L 248, 18.9.2013, s. 1).</w:t>
      </w:r>
    </w:p>
  </w:footnote>
  <w:footnote w:id="28">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Rådets förordning (EG, Euratom) nr 2988/95 av den 18 december 1995 om skydd av Europeiska gemenskapernas finansiella intressen (EGT L 312, 23.12.1995, s. 1).</w:t>
      </w:r>
    </w:p>
  </w:footnote>
  <w:footnote w:id="29">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Rådets förordning (Euratom, EG) nr 2185/96 av den 11 november 1996 om de kontroller och inspektioner på platsen som kommissionen utför för att skydda Europeiska gemenskapernas finansiella intressen mot bedrägerier och andra oegentligheter (EGT L 292, 15.11.1996, s. 2).</w:t>
      </w:r>
    </w:p>
  </w:footnote>
  <w:footnote w:id="30">
    <w:p w:rsidR="00F45EAE" w:rsidRPr="00C7725D"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Rådets förordning (EU) 2017/1939 av den 12 oktober 2017 om genomförande av fördjupat samarbete om inrättande av Europeiska åklagarmyndigheten (EUT L 283, 31.10.2017, s. 1).</w:t>
      </w:r>
    </w:p>
  </w:footnote>
  <w:footnote w:id="31">
    <w:p w:rsidR="00F45EAE" w:rsidRPr="00F45EAE"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direktiv (EU) 2017/1371 av den 5 juli 2017 om bekämpande genom straffrättsliga bestämmelser av bedrägeri som riktar sig mot unionens finansiella intressen (EUT L 198, 28.7.2017, s. 29).</w:t>
      </w:r>
    </w:p>
  </w:footnote>
  <w:footnote w:id="32">
    <w:p w:rsidR="00F45EAE" w:rsidRPr="00F45EAE" w:rsidRDefault="00F45EAE" w:rsidP="003C400B">
      <w:pPr>
        <w:pStyle w:val="FootnoteTextForceStyle"/>
        <w:tabs>
          <w:tab w:val="left" w:pos="0"/>
        </w:tabs>
        <w:ind w:left="851" w:hanging="851"/>
        <w:rPr>
          <w:szCs w:val="24"/>
        </w:rPr>
      </w:pPr>
      <w:r w:rsidRPr="00F45EAE">
        <w:rPr>
          <w:szCs w:val="24"/>
          <w:vertAlign w:val="superscript"/>
        </w:rPr>
        <w:footnoteRef/>
      </w:r>
      <w:r w:rsidRPr="00F45EAE">
        <w:rPr>
          <w:szCs w:val="24"/>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33">
    <w:p w:rsidR="00F45EAE" w:rsidRPr="00C7725D" w:rsidRDefault="00F45EAE" w:rsidP="003C400B">
      <w:pPr>
        <w:pStyle w:val="FootnoteText"/>
        <w:tabs>
          <w:tab w:val="left" w:pos="0"/>
        </w:tabs>
        <w:ind w:left="851" w:hanging="851"/>
        <w:rPr>
          <w:sz w:val="24"/>
          <w:szCs w:val="24"/>
          <w:lang w:val="sv-SE"/>
        </w:rPr>
      </w:pPr>
      <w:r w:rsidRPr="00C7725D">
        <w:rPr>
          <w:rStyle w:val="FootnoteReference"/>
          <w:sz w:val="24"/>
          <w:szCs w:val="24"/>
          <w:lang w:val="sv-SE"/>
        </w:rPr>
        <w:t>+</w:t>
      </w:r>
      <w:r w:rsidRPr="00C7725D">
        <w:rPr>
          <w:sz w:val="24"/>
          <w:szCs w:val="24"/>
          <w:lang w:val="sv-SE"/>
        </w:rPr>
        <w:tab/>
      </w:r>
      <w:bookmarkStart w:id="8" w:name="_Hlk159427958"/>
      <w:r w:rsidRPr="00C7725D">
        <w:rPr>
          <w:sz w:val="24"/>
          <w:szCs w:val="24"/>
          <w:lang w:val="sv-SE"/>
        </w:rPr>
        <w:t>EUT: För in numret på den förordning som finns i dokument 2023/0008(COD)</w:t>
      </w:r>
      <w:bookmarkEnd w:id="8"/>
      <w:r w:rsidRPr="00C7725D">
        <w:rPr>
          <w:sz w:val="24"/>
          <w:szCs w:val="24"/>
          <w:lang w:val="sv-SE"/>
        </w:rPr>
        <w:t xml:space="preserve"> och för in nummer, datum, titel och EUT-hänvisning för den förordningen i fotnoten.</w:t>
      </w:r>
    </w:p>
  </w:footnote>
  <w:footnote w:id="34">
    <w:p w:rsidR="00F45EAE" w:rsidRPr="00F45EAE" w:rsidRDefault="00F45EAE" w:rsidP="003C400B">
      <w:pPr>
        <w:pStyle w:val="FootnoteText"/>
        <w:tabs>
          <w:tab w:val="left" w:pos="0"/>
        </w:tabs>
        <w:ind w:left="851" w:hanging="851"/>
        <w:rPr>
          <w:sz w:val="24"/>
          <w:szCs w:val="24"/>
          <w:lang w:val="sv-SE"/>
        </w:rPr>
      </w:pPr>
      <w:r w:rsidRPr="00F45EAE">
        <w:rPr>
          <w:rStyle w:val="FootnoteReference"/>
          <w:sz w:val="24"/>
          <w:szCs w:val="24"/>
          <w:lang w:val="sv-SE"/>
        </w:rPr>
        <w:t>+</w:t>
      </w:r>
      <w:r w:rsidRPr="00F45EAE">
        <w:rPr>
          <w:sz w:val="24"/>
          <w:szCs w:val="24"/>
          <w:lang w:val="sv-SE"/>
        </w:rPr>
        <w:tab/>
        <w:t>EUT: För in numret på den förordning som finns i dokument 2023/0008(COD) och för in nummer, datum, titel och EUT-hänvisning för den förordningen i fotnoten.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99D881B8">
      <w:start w:val="1"/>
      <w:numFmt w:val="decimal"/>
      <w:lvlText w:val="%1."/>
      <w:lvlJc w:val="left"/>
      <w:pPr>
        <w:ind w:left="930" w:hanging="570"/>
      </w:pPr>
      <w:rPr>
        <w:rFonts w:hint="default"/>
      </w:rPr>
    </w:lvl>
    <w:lvl w:ilvl="1" w:tplc="CEC87AD2" w:tentative="1">
      <w:start w:val="1"/>
      <w:numFmt w:val="lowerLetter"/>
      <w:lvlText w:val="%2."/>
      <w:lvlJc w:val="left"/>
      <w:pPr>
        <w:ind w:left="1440" w:hanging="360"/>
      </w:pPr>
    </w:lvl>
    <w:lvl w:ilvl="2" w:tplc="51489798" w:tentative="1">
      <w:start w:val="1"/>
      <w:numFmt w:val="lowerRoman"/>
      <w:lvlText w:val="%3."/>
      <w:lvlJc w:val="right"/>
      <w:pPr>
        <w:ind w:left="2160" w:hanging="180"/>
      </w:pPr>
    </w:lvl>
    <w:lvl w:ilvl="3" w:tplc="3E58310C" w:tentative="1">
      <w:start w:val="1"/>
      <w:numFmt w:val="decimal"/>
      <w:lvlText w:val="%4."/>
      <w:lvlJc w:val="left"/>
      <w:pPr>
        <w:ind w:left="2880" w:hanging="360"/>
      </w:pPr>
    </w:lvl>
    <w:lvl w:ilvl="4" w:tplc="025A78B6" w:tentative="1">
      <w:start w:val="1"/>
      <w:numFmt w:val="lowerLetter"/>
      <w:lvlText w:val="%5."/>
      <w:lvlJc w:val="left"/>
      <w:pPr>
        <w:ind w:left="3600" w:hanging="360"/>
      </w:pPr>
    </w:lvl>
    <w:lvl w:ilvl="5" w:tplc="7ABAD424" w:tentative="1">
      <w:start w:val="1"/>
      <w:numFmt w:val="lowerRoman"/>
      <w:lvlText w:val="%6."/>
      <w:lvlJc w:val="right"/>
      <w:pPr>
        <w:ind w:left="4320" w:hanging="180"/>
      </w:pPr>
    </w:lvl>
    <w:lvl w:ilvl="6" w:tplc="03868906" w:tentative="1">
      <w:start w:val="1"/>
      <w:numFmt w:val="decimal"/>
      <w:lvlText w:val="%7."/>
      <w:lvlJc w:val="left"/>
      <w:pPr>
        <w:ind w:left="5040" w:hanging="360"/>
      </w:pPr>
    </w:lvl>
    <w:lvl w:ilvl="7" w:tplc="318AEB60" w:tentative="1">
      <w:start w:val="1"/>
      <w:numFmt w:val="lowerLetter"/>
      <w:lvlText w:val="%8."/>
      <w:lvlJc w:val="left"/>
      <w:pPr>
        <w:ind w:left="5760" w:hanging="360"/>
      </w:pPr>
    </w:lvl>
    <w:lvl w:ilvl="8" w:tplc="444C9D66"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SV"/>
    <w:docVar w:name="dvnumam" w:val="83"/>
    <w:docVar w:name="dvpe" w:val="746.665"/>
    <w:docVar w:name="dvrapporteur" w:val="Föredragande: "/>
    <w:docVar w:name="dvstar" w:val="***I"/>
    <w:docVar w:name="dvtitre" w:val="Europaparlamentets lagstiftningsresolution av den xx xx 2024 om förslaget till Europaparlamentets och rådets förordning om europeisk statistik om befolkning och bostäder, om ändring av förordning (EG) nr 862/2007 och om upphävande av förordningarna (EG) nr 763/2008 och (EU) nr 1260/2013(COM(2023)0031 – C9-0010/2023 – 2023/0008(COD))"/>
  </w:docVars>
  <w:rsids>
    <w:rsidRoot w:val="00992143"/>
    <w:rsid w:val="00002272"/>
    <w:rsid w:val="00064002"/>
    <w:rsid w:val="000677B9"/>
    <w:rsid w:val="000831BA"/>
    <w:rsid w:val="000A42CC"/>
    <w:rsid w:val="000E7DD9"/>
    <w:rsid w:val="0010095E"/>
    <w:rsid w:val="00125B37"/>
    <w:rsid w:val="00184044"/>
    <w:rsid w:val="00187494"/>
    <w:rsid w:val="001F2DFC"/>
    <w:rsid w:val="001F32AE"/>
    <w:rsid w:val="002767FF"/>
    <w:rsid w:val="002A0220"/>
    <w:rsid w:val="002B18FE"/>
    <w:rsid w:val="002B5493"/>
    <w:rsid w:val="00343214"/>
    <w:rsid w:val="00361C00"/>
    <w:rsid w:val="00395FA1"/>
    <w:rsid w:val="003C400B"/>
    <w:rsid w:val="003E15D4"/>
    <w:rsid w:val="00411CCE"/>
    <w:rsid w:val="0041666E"/>
    <w:rsid w:val="00421060"/>
    <w:rsid w:val="00466B40"/>
    <w:rsid w:val="00471C19"/>
    <w:rsid w:val="004867E3"/>
    <w:rsid w:val="00494A28"/>
    <w:rsid w:val="004C0004"/>
    <w:rsid w:val="004C5D52"/>
    <w:rsid w:val="004E616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C94"/>
    <w:rsid w:val="00930C23"/>
    <w:rsid w:val="0093193B"/>
    <w:rsid w:val="009509D8"/>
    <w:rsid w:val="00950B64"/>
    <w:rsid w:val="00981893"/>
    <w:rsid w:val="00992143"/>
    <w:rsid w:val="0099407E"/>
    <w:rsid w:val="009B0BD4"/>
    <w:rsid w:val="00A1687D"/>
    <w:rsid w:val="00A43E52"/>
    <w:rsid w:val="00A4678D"/>
    <w:rsid w:val="00A778C7"/>
    <w:rsid w:val="00AB441E"/>
    <w:rsid w:val="00AB6293"/>
    <w:rsid w:val="00AE0928"/>
    <w:rsid w:val="00AF3B82"/>
    <w:rsid w:val="00B12E74"/>
    <w:rsid w:val="00B12E95"/>
    <w:rsid w:val="00B22876"/>
    <w:rsid w:val="00B558F0"/>
    <w:rsid w:val="00BA42CF"/>
    <w:rsid w:val="00BA4339"/>
    <w:rsid w:val="00BD48FE"/>
    <w:rsid w:val="00BD7BD8"/>
    <w:rsid w:val="00BE4000"/>
    <w:rsid w:val="00BE6ADC"/>
    <w:rsid w:val="00C05BFE"/>
    <w:rsid w:val="00C23CD4"/>
    <w:rsid w:val="00C36F72"/>
    <w:rsid w:val="00C61C0C"/>
    <w:rsid w:val="00C7725D"/>
    <w:rsid w:val="00C941CB"/>
    <w:rsid w:val="00CC2357"/>
    <w:rsid w:val="00CF071A"/>
    <w:rsid w:val="00D058B8"/>
    <w:rsid w:val="00D56C11"/>
    <w:rsid w:val="00D834A0"/>
    <w:rsid w:val="00D872DF"/>
    <w:rsid w:val="00D91E21"/>
    <w:rsid w:val="00DA7FCD"/>
    <w:rsid w:val="00E07FB6"/>
    <w:rsid w:val="00E365E1"/>
    <w:rsid w:val="00E820A4"/>
    <w:rsid w:val="00EB006A"/>
    <w:rsid w:val="00EB4772"/>
    <w:rsid w:val="00ED169E"/>
    <w:rsid w:val="00ED4235"/>
    <w:rsid w:val="00F04346"/>
    <w:rsid w:val="00F075DC"/>
    <w:rsid w:val="00F149E9"/>
    <w:rsid w:val="00F4010B"/>
    <w:rsid w:val="00F45EA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B5B66A4-7F04-4C50-B8AE-CD94C5D5F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07FB6"/>
    <w:rPr>
      <w:b/>
      <w:kern w:val="28"/>
      <w:sz w:val="28"/>
      <w:lang w:val="fr-FR" w:eastAsia="fr-FR"/>
    </w:rPr>
  </w:style>
  <w:style w:type="character" w:customStyle="1" w:styleId="Heading2Char">
    <w:name w:val="Heading 2 Char"/>
    <w:basedOn w:val="DefaultParagraphFont"/>
    <w:link w:val="Heading2"/>
    <w:semiHidden/>
    <w:rsid w:val="00E07FB6"/>
    <w:rPr>
      <w:sz w:val="24"/>
      <w:lang w:val="fr-FR" w:eastAsia="fr-FR"/>
    </w:rPr>
  </w:style>
  <w:style w:type="character" w:customStyle="1" w:styleId="Heading3Char">
    <w:name w:val="Heading 3 Char"/>
    <w:basedOn w:val="DefaultParagraphFont"/>
    <w:link w:val="Heading3"/>
    <w:semiHidden/>
    <w:rsid w:val="00E07FB6"/>
    <w:rPr>
      <w:rFonts w:ascii="Arial" w:hAnsi="Arial"/>
      <w:sz w:val="24"/>
      <w:lang w:val="fr-FR" w:eastAsia="fr-FR"/>
    </w:rPr>
  </w:style>
  <w:style w:type="character" w:customStyle="1" w:styleId="Heading4Char">
    <w:name w:val="Heading 4 Char"/>
    <w:basedOn w:val="DefaultParagraphFont"/>
    <w:link w:val="Heading4"/>
    <w:semiHidden/>
    <w:rsid w:val="00E07FB6"/>
    <w:rPr>
      <w:sz w:val="24"/>
      <w:lang w:val="en-US" w:eastAsia="fr-FR"/>
    </w:rPr>
  </w:style>
  <w:style w:type="character" w:customStyle="1" w:styleId="Heading5Char">
    <w:name w:val="Heading 5 Char"/>
    <w:basedOn w:val="DefaultParagraphFont"/>
    <w:link w:val="Heading5"/>
    <w:semiHidden/>
    <w:rsid w:val="00E07FB6"/>
    <w:rPr>
      <w:sz w:val="24"/>
      <w:lang w:val="en-US" w:eastAsia="fr-FR"/>
    </w:rPr>
  </w:style>
  <w:style w:type="character" w:customStyle="1" w:styleId="Heading6Char">
    <w:name w:val="Heading 6 Char"/>
    <w:basedOn w:val="DefaultParagraphFont"/>
    <w:link w:val="Heading6"/>
    <w:semiHidden/>
    <w:rsid w:val="00E07FB6"/>
    <w:rPr>
      <w:i/>
      <w:sz w:val="22"/>
      <w:lang w:val="sv-SE"/>
    </w:rPr>
  </w:style>
  <w:style w:type="character" w:customStyle="1" w:styleId="Heading7Char">
    <w:name w:val="Heading 7 Char"/>
    <w:basedOn w:val="DefaultParagraphFont"/>
    <w:link w:val="Heading7"/>
    <w:semiHidden/>
    <w:rsid w:val="00E07FB6"/>
    <w:rPr>
      <w:rFonts w:ascii="Arial" w:hAnsi="Arial"/>
      <w:sz w:val="24"/>
      <w:lang w:val="sv-SE"/>
    </w:rPr>
  </w:style>
  <w:style w:type="character" w:customStyle="1" w:styleId="Heading8Char">
    <w:name w:val="Heading 8 Char"/>
    <w:basedOn w:val="DefaultParagraphFont"/>
    <w:link w:val="Heading8"/>
    <w:semiHidden/>
    <w:rsid w:val="00E07FB6"/>
    <w:rPr>
      <w:rFonts w:ascii="Arial" w:hAnsi="Arial"/>
      <w:i/>
      <w:sz w:val="24"/>
      <w:lang w:val="sv-SE"/>
    </w:rPr>
  </w:style>
  <w:style w:type="character" w:customStyle="1" w:styleId="Heading9Char">
    <w:name w:val="Heading 9 Char"/>
    <w:basedOn w:val="DefaultParagraphFont"/>
    <w:link w:val="Heading9"/>
    <w:semiHidden/>
    <w:rsid w:val="00E07FB6"/>
    <w:rPr>
      <w:rFonts w:ascii="Arial" w:hAnsi="Arial"/>
      <w:b/>
      <w:i/>
      <w:sz w:val="18"/>
      <w:lang w:val="sv-SE"/>
    </w:rPr>
  </w:style>
  <w:style w:type="paragraph" w:styleId="TOCHeading">
    <w:name w:val="TOC Heading"/>
    <w:basedOn w:val="Normal"/>
    <w:next w:val="Normal"/>
    <w:unhideWhenUsed/>
    <w:qFormat/>
    <w:rsid w:val="00E07FB6"/>
    <w:pPr>
      <w:widowControl/>
      <w:spacing w:after="240"/>
    </w:pPr>
    <w:rPr>
      <w:lang w:val="en-GB"/>
    </w:rPr>
  </w:style>
  <w:style w:type="paragraph" w:customStyle="1" w:styleId="EPFooter2">
    <w:name w:val="EPFooter2"/>
    <w:basedOn w:val="Normal"/>
    <w:next w:val="Normal"/>
    <w:rsid w:val="00E07FB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07FB6"/>
    <w:pPr>
      <w:keepNext/>
      <w:spacing w:after="240"/>
      <w:jc w:val="right"/>
    </w:pPr>
    <w:rPr>
      <w:rFonts w:ascii="Arial" w:hAnsi="Arial"/>
      <w:b/>
    </w:rPr>
  </w:style>
  <w:style w:type="paragraph" w:customStyle="1" w:styleId="Normal6a">
    <w:name w:val="Normal6a"/>
    <w:basedOn w:val="Normal"/>
    <w:rsid w:val="00E07FB6"/>
    <w:pPr>
      <w:spacing w:after="120"/>
    </w:pPr>
  </w:style>
  <w:style w:type="paragraph" w:customStyle="1" w:styleId="PageHeading">
    <w:name w:val="PageHeading"/>
    <w:basedOn w:val="Normal"/>
    <w:rsid w:val="00E07FB6"/>
    <w:pPr>
      <w:keepNext/>
      <w:spacing w:after="480"/>
      <w:jc w:val="center"/>
    </w:pPr>
    <w:rPr>
      <w:rFonts w:ascii="Arial" w:hAnsi="Arial" w:cs="Arial"/>
      <w:b/>
    </w:rPr>
  </w:style>
  <w:style w:type="paragraph" w:customStyle="1" w:styleId="NormalBold">
    <w:name w:val="NormalBold"/>
    <w:basedOn w:val="Normal"/>
    <w:link w:val="NormalBoldChar"/>
    <w:rsid w:val="00E07FB6"/>
    <w:rPr>
      <w:b/>
    </w:rPr>
  </w:style>
  <w:style w:type="paragraph" w:customStyle="1" w:styleId="NormalBold12a">
    <w:name w:val="NormalBold12a"/>
    <w:basedOn w:val="Normal"/>
    <w:rsid w:val="00E07FB6"/>
    <w:pPr>
      <w:spacing w:after="240"/>
    </w:pPr>
    <w:rPr>
      <w:b/>
    </w:rPr>
  </w:style>
  <w:style w:type="paragraph" w:customStyle="1" w:styleId="AmJustText">
    <w:name w:val="AmJustText"/>
    <w:basedOn w:val="Normal"/>
    <w:rsid w:val="00E07FB6"/>
    <w:pPr>
      <w:spacing w:after="240"/>
    </w:pPr>
    <w:rPr>
      <w:i/>
    </w:rPr>
  </w:style>
  <w:style w:type="paragraph" w:customStyle="1" w:styleId="NormalHanging12a">
    <w:name w:val="NormalHanging12a"/>
    <w:basedOn w:val="Normal"/>
    <w:rsid w:val="00E07FB6"/>
    <w:pPr>
      <w:spacing w:after="240"/>
      <w:ind w:left="567" w:hanging="567"/>
    </w:pPr>
  </w:style>
  <w:style w:type="paragraph" w:customStyle="1" w:styleId="CoverNormal24a">
    <w:name w:val="CoverNormal24a"/>
    <w:basedOn w:val="Normal"/>
    <w:rsid w:val="00E07FB6"/>
    <w:pPr>
      <w:spacing w:after="480"/>
      <w:ind w:left="1417"/>
    </w:pPr>
  </w:style>
  <w:style w:type="paragraph" w:customStyle="1" w:styleId="CoverNormal">
    <w:name w:val="CoverNormal"/>
    <w:basedOn w:val="Normal"/>
    <w:rsid w:val="00E07FB6"/>
    <w:pPr>
      <w:ind w:left="1418"/>
    </w:pPr>
  </w:style>
  <w:style w:type="paragraph" w:customStyle="1" w:styleId="AmCrossRef">
    <w:name w:val="AmCrossRef"/>
    <w:basedOn w:val="Normal"/>
    <w:rsid w:val="00E07FB6"/>
    <w:pPr>
      <w:spacing w:before="240" w:after="240"/>
      <w:jc w:val="center"/>
    </w:pPr>
    <w:rPr>
      <w:i/>
    </w:rPr>
  </w:style>
  <w:style w:type="paragraph" w:customStyle="1" w:styleId="AmJustTitle">
    <w:name w:val="AmJustTitle"/>
    <w:basedOn w:val="Normal"/>
    <w:next w:val="AmJustText"/>
    <w:rsid w:val="00E07FB6"/>
    <w:pPr>
      <w:keepNext/>
      <w:spacing w:before="240" w:after="240"/>
      <w:jc w:val="center"/>
    </w:pPr>
    <w:rPr>
      <w:i/>
    </w:rPr>
  </w:style>
  <w:style w:type="paragraph" w:customStyle="1" w:styleId="CoverReference">
    <w:name w:val="CoverReference"/>
    <w:basedOn w:val="Normal"/>
    <w:rsid w:val="00E07FB6"/>
    <w:pPr>
      <w:spacing w:before="1080"/>
      <w:jc w:val="right"/>
    </w:pPr>
    <w:rPr>
      <w:rFonts w:ascii="Arial" w:hAnsi="Arial" w:cs="Arial"/>
      <w:b/>
    </w:rPr>
  </w:style>
  <w:style w:type="paragraph" w:customStyle="1" w:styleId="CoverDocType">
    <w:name w:val="CoverDocType"/>
    <w:basedOn w:val="Normal"/>
    <w:rsid w:val="00E07FB6"/>
    <w:pPr>
      <w:ind w:left="1418"/>
    </w:pPr>
    <w:rPr>
      <w:rFonts w:ascii="Arial" w:hAnsi="Arial"/>
      <w:b/>
      <w:sz w:val="48"/>
    </w:rPr>
  </w:style>
  <w:style w:type="paragraph" w:customStyle="1" w:styleId="CoverDocType24a">
    <w:name w:val="CoverDocType24a"/>
    <w:basedOn w:val="Normal"/>
    <w:rsid w:val="00E07FB6"/>
    <w:pPr>
      <w:spacing w:after="480"/>
      <w:ind w:left="1418"/>
    </w:pPr>
    <w:rPr>
      <w:rFonts w:ascii="Arial" w:hAnsi="Arial"/>
      <w:b/>
      <w:sz w:val="48"/>
    </w:rPr>
  </w:style>
  <w:style w:type="paragraph" w:customStyle="1" w:styleId="CoverDate">
    <w:name w:val="CoverDate"/>
    <w:basedOn w:val="Normal"/>
    <w:rsid w:val="00E07FB6"/>
    <w:pPr>
      <w:spacing w:before="240" w:after="1200"/>
    </w:pPr>
  </w:style>
  <w:style w:type="paragraph" w:styleId="Header">
    <w:name w:val="header"/>
    <w:basedOn w:val="Normal"/>
    <w:link w:val="HeaderChar"/>
    <w:rsid w:val="00E07FB6"/>
    <w:pPr>
      <w:tabs>
        <w:tab w:val="center" w:pos="4513"/>
        <w:tab w:val="right" w:pos="9026"/>
      </w:tabs>
    </w:pPr>
  </w:style>
  <w:style w:type="character" w:customStyle="1" w:styleId="HeaderChar">
    <w:name w:val="Header Char"/>
    <w:basedOn w:val="DefaultParagraphFont"/>
    <w:link w:val="Header"/>
    <w:rsid w:val="00E07FB6"/>
    <w:rPr>
      <w:sz w:val="24"/>
      <w:lang w:val="sv-SE"/>
    </w:rPr>
  </w:style>
  <w:style w:type="paragraph" w:customStyle="1" w:styleId="AmOrLang">
    <w:name w:val="AmOrLang"/>
    <w:basedOn w:val="Normal"/>
    <w:rsid w:val="00E07FB6"/>
    <w:pPr>
      <w:spacing w:before="240" w:after="240"/>
      <w:jc w:val="right"/>
    </w:pPr>
  </w:style>
  <w:style w:type="paragraph" w:customStyle="1" w:styleId="AmColumnHeading">
    <w:name w:val="AmColumnHeading"/>
    <w:basedOn w:val="Normal"/>
    <w:rsid w:val="00E07FB6"/>
    <w:pPr>
      <w:spacing w:after="240"/>
      <w:jc w:val="center"/>
    </w:pPr>
    <w:rPr>
      <w:i/>
    </w:rPr>
  </w:style>
  <w:style w:type="paragraph" w:customStyle="1" w:styleId="AmNumberTabs">
    <w:name w:val="AmNumberTabs"/>
    <w:basedOn w:val="Normal"/>
    <w:rsid w:val="00E07F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07FB6"/>
    <w:pPr>
      <w:spacing w:before="240"/>
    </w:pPr>
    <w:rPr>
      <w:b/>
    </w:rPr>
  </w:style>
  <w:style w:type="paragraph" w:customStyle="1" w:styleId="EPBody">
    <w:name w:val="EPBody"/>
    <w:basedOn w:val="Normal"/>
    <w:rsid w:val="00E07FB6"/>
    <w:pPr>
      <w:jc w:val="center"/>
    </w:pPr>
    <w:rPr>
      <w:rFonts w:ascii="Arial" w:hAnsi="Arial" w:cs="Arial"/>
      <w:i/>
      <w:sz w:val="22"/>
      <w:szCs w:val="22"/>
    </w:rPr>
  </w:style>
  <w:style w:type="paragraph" w:customStyle="1" w:styleId="EPFooter">
    <w:name w:val="EPFooter"/>
    <w:basedOn w:val="Normal"/>
    <w:rsid w:val="00E07FB6"/>
    <w:pPr>
      <w:tabs>
        <w:tab w:val="center" w:pos="4535"/>
        <w:tab w:val="right" w:pos="9071"/>
      </w:tabs>
      <w:spacing w:before="240" w:after="240"/>
    </w:pPr>
    <w:rPr>
      <w:color w:val="010000"/>
      <w:sz w:val="22"/>
    </w:rPr>
  </w:style>
  <w:style w:type="paragraph" w:customStyle="1" w:styleId="EPComma">
    <w:name w:val="EPComma"/>
    <w:basedOn w:val="Normal"/>
    <w:rsid w:val="00E07FB6"/>
    <w:pPr>
      <w:spacing w:before="480" w:after="240"/>
    </w:pPr>
  </w:style>
  <w:style w:type="paragraph" w:customStyle="1" w:styleId="Lgendesigne">
    <w:name w:val="Légende signe"/>
    <w:basedOn w:val="Normal"/>
    <w:rsid w:val="00E07FB6"/>
    <w:pPr>
      <w:tabs>
        <w:tab w:val="right" w:pos="454"/>
        <w:tab w:val="left" w:pos="737"/>
      </w:tabs>
      <w:ind w:left="737" w:hanging="737"/>
    </w:pPr>
    <w:rPr>
      <w:snapToGrid w:val="0"/>
      <w:sz w:val="18"/>
      <w:lang w:eastAsia="en-US"/>
    </w:rPr>
  </w:style>
  <w:style w:type="paragraph" w:customStyle="1" w:styleId="Lgendetitre">
    <w:name w:val="Légende titre"/>
    <w:basedOn w:val="Normal"/>
    <w:rsid w:val="00E07FB6"/>
    <w:pPr>
      <w:spacing w:before="240" w:after="240"/>
    </w:pPr>
    <w:rPr>
      <w:b/>
      <w:i/>
      <w:snapToGrid w:val="0"/>
      <w:lang w:eastAsia="en-US"/>
    </w:rPr>
  </w:style>
  <w:style w:type="paragraph" w:customStyle="1" w:styleId="Lgendestandard">
    <w:name w:val="Légende standard"/>
    <w:basedOn w:val="Normal"/>
    <w:rsid w:val="00E07FB6"/>
    <w:rPr>
      <w:sz w:val="18"/>
    </w:rPr>
  </w:style>
  <w:style w:type="character" w:customStyle="1" w:styleId="Normal6Char">
    <w:name w:val="Normal6 Char"/>
    <w:link w:val="Normal6"/>
    <w:locked/>
    <w:rsid w:val="00E07FB6"/>
    <w:rPr>
      <w:sz w:val="24"/>
    </w:rPr>
  </w:style>
  <w:style w:type="paragraph" w:customStyle="1" w:styleId="Normal6">
    <w:name w:val="Normal6"/>
    <w:basedOn w:val="Normal"/>
    <w:link w:val="Normal6Char"/>
    <w:rsid w:val="00E07FB6"/>
    <w:pPr>
      <w:spacing w:after="120"/>
    </w:pPr>
    <w:rPr>
      <w:lang w:val="en-GB"/>
    </w:rPr>
  </w:style>
  <w:style w:type="character" w:customStyle="1" w:styleId="NormalBoldChar">
    <w:name w:val="NormalBold Char"/>
    <w:link w:val="NormalBold"/>
    <w:locked/>
    <w:rsid w:val="00E07FB6"/>
    <w:rPr>
      <w:b/>
      <w:sz w:val="24"/>
      <w:lang w:val="sv-SE"/>
    </w:rPr>
  </w:style>
  <w:style w:type="paragraph" w:customStyle="1" w:styleId="Normal12Italic">
    <w:name w:val="Normal12Italic"/>
    <w:basedOn w:val="Normal"/>
    <w:rsid w:val="00E07FB6"/>
    <w:pPr>
      <w:spacing w:after="240"/>
    </w:pPr>
    <w:rPr>
      <w:i/>
      <w:noProof/>
    </w:rPr>
  </w:style>
  <w:style w:type="paragraph" w:customStyle="1" w:styleId="JustificationTitle">
    <w:name w:val="JustificationTitle"/>
    <w:basedOn w:val="Normal"/>
    <w:next w:val="Normal"/>
    <w:rsid w:val="00E07FB6"/>
    <w:pPr>
      <w:keepNext/>
      <w:spacing w:before="240" w:after="240"/>
      <w:jc w:val="center"/>
    </w:pPr>
    <w:rPr>
      <w:i/>
      <w:noProof/>
    </w:rPr>
  </w:style>
  <w:style w:type="paragraph" w:customStyle="1" w:styleId="ColumnHeading">
    <w:name w:val="ColumnHeading"/>
    <w:basedOn w:val="Normal"/>
    <w:rsid w:val="00E07FB6"/>
    <w:pPr>
      <w:spacing w:after="240"/>
      <w:jc w:val="center"/>
    </w:pPr>
    <w:rPr>
      <w:i/>
    </w:rPr>
  </w:style>
  <w:style w:type="paragraph" w:customStyle="1" w:styleId="AMNumberTabs0">
    <w:name w:val="AMNumberTabs"/>
    <w:basedOn w:val="Normal"/>
    <w:rsid w:val="00E07F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07FB6"/>
    <w:pPr>
      <w:jc w:val="right"/>
    </w:pPr>
    <w:rPr>
      <w:lang w:val="sv-SE"/>
    </w:rPr>
  </w:style>
  <w:style w:type="paragraph" w:styleId="BalloonText">
    <w:name w:val="Balloon Text"/>
    <w:basedOn w:val="Normal"/>
    <w:link w:val="BalloonTextChar"/>
    <w:unhideWhenUsed/>
    <w:rsid w:val="00E07FB6"/>
    <w:rPr>
      <w:rFonts w:ascii="Segoe UI" w:hAnsi="Segoe UI" w:cs="Segoe UI"/>
      <w:sz w:val="18"/>
      <w:szCs w:val="18"/>
    </w:rPr>
  </w:style>
  <w:style w:type="character" w:customStyle="1" w:styleId="BalloonTextChar">
    <w:name w:val="Balloon Text Char"/>
    <w:basedOn w:val="DefaultParagraphFont"/>
    <w:link w:val="BalloonText"/>
    <w:rsid w:val="00E07FB6"/>
    <w:rPr>
      <w:rFonts w:ascii="Segoe UI" w:hAnsi="Segoe UI" w:cs="Segoe UI"/>
      <w:sz w:val="18"/>
      <w:szCs w:val="18"/>
      <w:lang w:val="sv-SE"/>
    </w:rPr>
  </w:style>
  <w:style w:type="character" w:styleId="CommentReference">
    <w:name w:val="annotation reference"/>
    <w:basedOn w:val="DefaultParagraphFont"/>
    <w:rsid w:val="00E07FB6"/>
    <w:rPr>
      <w:sz w:val="16"/>
      <w:szCs w:val="16"/>
    </w:rPr>
  </w:style>
  <w:style w:type="paragraph" w:styleId="CommentText">
    <w:name w:val="annotation text"/>
    <w:basedOn w:val="Normal"/>
    <w:link w:val="CommentTextChar"/>
    <w:rsid w:val="00E07FB6"/>
    <w:rPr>
      <w:sz w:val="20"/>
    </w:rPr>
  </w:style>
  <w:style w:type="character" w:customStyle="1" w:styleId="CommentTextChar">
    <w:name w:val="Comment Text Char"/>
    <w:basedOn w:val="DefaultParagraphFont"/>
    <w:link w:val="CommentText"/>
    <w:rsid w:val="00E07FB6"/>
    <w:rPr>
      <w:lang w:val="sv-SE"/>
    </w:rPr>
  </w:style>
  <w:style w:type="paragraph" w:styleId="CommentSubject">
    <w:name w:val="annotation subject"/>
    <w:basedOn w:val="CommentText"/>
    <w:next w:val="CommentText"/>
    <w:link w:val="CommentSubjectChar"/>
    <w:unhideWhenUsed/>
    <w:rsid w:val="00E07FB6"/>
    <w:rPr>
      <w:b/>
      <w:bCs/>
    </w:rPr>
  </w:style>
  <w:style w:type="character" w:customStyle="1" w:styleId="CommentSubjectChar">
    <w:name w:val="Comment Subject Char"/>
    <w:basedOn w:val="CommentTextChar"/>
    <w:link w:val="CommentSubject"/>
    <w:rsid w:val="00E07FB6"/>
    <w:rPr>
      <w:b/>
      <w:bCs/>
      <w:lang w:val="sv-SE"/>
    </w:rPr>
  </w:style>
  <w:style w:type="paragraph" w:customStyle="1" w:styleId="Memos">
    <w:name w:val="Memos"/>
    <w:basedOn w:val="NoSpacing"/>
    <w:link w:val="MemosChar"/>
    <w:autoRedefine/>
    <w:qFormat/>
    <w:rsid w:val="00E07FB6"/>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E07FB6"/>
    <w:rPr>
      <w:rFonts w:eastAsiaTheme="minorHAnsi"/>
      <w:sz w:val="28"/>
      <w:szCs w:val="32"/>
      <w:u w:val="single"/>
      <w:lang w:val="sv-SE" w:eastAsia="en-US"/>
    </w:rPr>
  </w:style>
  <w:style w:type="paragraph" w:customStyle="1" w:styleId="Normal12a">
    <w:name w:val="Normal12a"/>
    <w:basedOn w:val="Normal"/>
    <w:rsid w:val="00E07FB6"/>
    <w:pPr>
      <w:spacing w:after="240"/>
    </w:pPr>
  </w:style>
  <w:style w:type="paragraph" w:customStyle="1" w:styleId="PageHeadingNotTOC">
    <w:name w:val="PageHeadingNotTOC"/>
    <w:basedOn w:val="Normal"/>
    <w:rsid w:val="00E07FB6"/>
    <w:pPr>
      <w:keepNext/>
      <w:spacing w:after="480"/>
      <w:jc w:val="center"/>
    </w:pPr>
    <w:rPr>
      <w:rFonts w:ascii="Arial" w:hAnsi="Arial" w:cs="Arial"/>
      <w:b/>
    </w:rPr>
  </w:style>
  <w:style w:type="paragraph" w:customStyle="1" w:styleId="AmHeadingPA">
    <w:name w:val="AmHeadingPA"/>
    <w:basedOn w:val="Normal"/>
    <w:next w:val="Normal"/>
    <w:rsid w:val="00E07FB6"/>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E07FB6"/>
    <w:pPr>
      <w:spacing w:after="480"/>
    </w:pPr>
  </w:style>
  <w:style w:type="character" w:customStyle="1" w:styleId="Normal24aChar">
    <w:name w:val="Normal24a Char"/>
    <w:basedOn w:val="DefaultParagraphFont"/>
    <w:link w:val="Normal24a"/>
    <w:rsid w:val="00E07FB6"/>
    <w:rPr>
      <w:sz w:val="24"/>
      <w:lang w:val="sv-SE"/>
    </w:rPr>
  </w:style>
  <w:style w:type="paragraph" w:customStyle="1" w:styleId="RollCallSymbols14pt">
    <w:name w:val="RollCallSymbols14pt"/>
    <w:basedOn w:val="Normal"/>
    <w:rsid w:val="00E07FB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07FB6"/>
    <w:pPr>
      <w:tabs>
        <w:tab w:val="center" w:pos="284"/>
        <w:tab w:val="left" w:pos="426"/>
      </w:tabs>
    </w:pPr>
    <w:rPr>
      <w:snapToGrid w:val="0"/>
      <w:lang w:eastAsia="en-US"/>
    </w:rPr>
  </w:style>
  <w:style w:type="paragraph" w:customStyle="1" w:styleId="RollCallVotes">
    <w:name w:val="RollCallVotes"/>
    <w:basedOn w:val="Normal"/>
    <w:rsid w:val="00E07FB6"/>
    <w:pPr>
      <w:spacing w:before="120" w:after="120"/>
      <w:jc w:val="center"/>
    </w:pPr>
    <w:rPr>
      <w:b/>
      <w:bCs/>
      <w:snapToGrid w:val="0"/>
      <w:sz w:val="16"/>
      <w:lang w:eastAsia="en-US"/>
    </w:rPr>
  </w:style>
  <w:style w:type="paragraph" w:customStyle="1" w:styleId="RollCallTable">
    <w:name w:val="RollCallTable"/>
    <w:basedOn w:val="Normal"/>
    <w:rsid w:val="00E07FB6"/>
    <w:pPr>
      <w:spacing w:before="120" w:after="120"/>
    </w:pPr>
    <w:rPr>
      <w:snapToGrid w:val="0"/>
      <w:sz w:val="16"/>
      <w:lang w:eastAsia="en-US"/>
    </w:rPr>
  </w:style>
  <w:style w:type="paragraph" w:styleId="NoSpacing">
    <w:name w:val="No Spacing"/>
    <w:uiPriority w:val="1"/>
    <w:qFormat/>
    <w:rsid w:val="00E07FB6"/>
    <w:pPr>
      <w:widowControl w:val="0"/>
    </w:pPr>
    <w:rPr>
      <w:sz w:val="24"/>
      <w:lang w:val="sv-SE"/>
    </w:rPr>
  </w:style>
  <w:style w:type="paragraph" w:styleId="Footer">
    <w:name w:val="footer"/>
    <w:basedOn w:val="Normal"/>
    <w:link w:val="FooterChar"/>
    <w:rsid w:val="00E07FB6"/>
    <w:pPr>
      <w:tabs>
        <w:tab w:val="center" w:pos="4513"/>
        <w:tab w:val="right" w:pos="9026"/>
      </w:tabs>
    </w:pPr>
  </w:style>
  <w:style w:type="character" w:customStyle="1" w:styleId="FooterChar">
    <w:name w:val="Footer Char"/>
    <w:basedOn w:val="DefaultParagraphFont"/>
    <w:link w:val="Footer"/>
    <w:rsid w:val="00E07FB6"/>
    <w:rPr>
      <w:sz w:val="24"/>
      <w:lang w:val="sv-SE"/>
    </w:rPr>
  </w:style>
  <w:style w:type="paragraph" w:customStyle="1" w:styleId="FootnoteTextForceStyle">
    <w:name w:val="Footnote Text ForceStyle"/>
    <w:rsid w:val="008E2C94"/>
    <w:pPr>
      <w:keepLines/>
      <w:widowControl w:val="0"/>
      <w:ind w:left="850" w:hanging="850"/>
    </w:pPr>
    <w:rPr>
      <w:sz w:val="24"/>
      <w:lang w:val="sv-SE" w:eastAsia="en-US"/>
    </w:rPr>
  </w:style>
  <w:style w:type="paragraph" w:customStyle="1" w:styleId="Typedudocument">
    <w:name w:val="Type du document"/>
    <w:basedOn w:val="Normal"/>
    <w:next w:val="Normal"/>
    <w:rsid w:val="008E2C94"/>
    <w:pPr>
      <w:widowControl/>
      <w:spacing w:before="360"/>
      <w:jc w:val="center"/>
    </w:pPr>
    <w:rPr>
      <w:b/>
      <w:snapToGrid w:val="0"/>
    </w:rPr>
  </w:style>
  <w:style w:type="character" w:styleId="Hyperlink">
    <w:name w:val="Hyperlink"/>
    <w:basedOn w:val="DefaultParagraphFont"/>
    <w:rsid w:val="00C772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24/12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14A4C-A53C-4739-A264-92A680D99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10102</Words>
  <Characters>65114</Characters>
  <Application>Microsoft Office Word</Application>
  <DocSecurity>0</DocSecurity>
  <Lines>542</Lines>
  <Paragraphs>150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LUKSITE Marija</cp:lastModifiedBy>
  <cp:revision>2</cp:revision>
  <cp:lastPrinted>2004-11-19T15:42:00Z</cp:lastPrinted>
  <dcterms:created xsi:type="dcterms:W3CDTF">2024-10-17T10:14:00Z</dcterms:created>
  <dcterms:modified xsi:type="dcterms:W3CDTF">2024-10-17T10:14:00Z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P9_TA(2024)0361_</vt:lpwstr>
  </property>
  <property fmtid="{D5CDD505-2E9C-101B-9397-08002B2CF9AE}" pid="4" name="&lt;Type&gt;">
    <vt:lpwstr>RR</vt:lpwstr>
  </property>
</Properties>
</file>