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0" w:name="TANumber"/>
      <w:r>
        <w:t>P9_TA(2024)0362</w:t>
      </w:r>
      <w:bookmarkEnd w:id="0"/>
    </w:p>
    <w:p>
      <w:pPr>
        <w:pStyle w:val="ATHeading2"/>
      </w:pPr>
      <w:bookmarkStart w:id="1" w:name="title"/>
      <w:r>
        <w:t>Zmena smernice 2013/36/EÚ, pokiaľ ide o právomoci v oblasti dohľadu, sankcie, pobočky z tretích krajín a environmentálne a sociálne riziká a riziká v oblasti správy a riadenia</w:t>
      </w:r>
      <w:bookmarkEnd w:id="1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A9-0029/2023</w:instrText>
      </w:r>
      <w:bookmarkEnd w:id="2"/>
      <w:r>
        <w:rPr>
          <w:i/>
        </w:rPr>
        <w:instrText xml:space="preserve"> - Spravodajca: Jonás Fernández)"\l3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3" w:name="Commission"/>
      <w:r>
        <w:rPr>
          <w:vanish/>
        </w:rPr>
        <w:t>Výbor pre hospodárske a menové veci</w:t>
      </w:r>
      <w:bookmarkEnd w:id="3"/>
    </w:p>
    <w:p>
      <w:pPr>
        <w:rPr>
          <w:vanish/>
        </w:rPr>
      </w:pPr>
      <w:bookmarkStart w:id="4" w:name="PE"/>
      <w:r>
        <w:rPr>
          <w:vanish/>
        </w:rPr>
        <w:t>PE731.819</w:t>
      </w:r>
      <w:bookmarkEnd w:id="4"/>
    </w:p>
    <w:p>
      <w:pPr>
        <w:pStyle w:val="ATHeading3"/>
      </w:pPr>
      <w:bookmarkStart w:id="5" w:name="Sujet"/>
      <w:r>
        <w:t>Legislatívne uznesenie Európskeho parlamentu z 24. apríla 2024 o návrhu smernice Európskeho parlamentu a Rady, ktorou sa mení smernica 2013/36/EÚ, pokiaľ ide o právomoci v oblasti dohľadu, sankcie, pobočky z tretích krajín a environmentálne a sociálne riziká a riziká v oblasti správy a riadenia, a ktorou sa mení smernica 2014/59/EÚ</w:t>
      </w:r>
      <w:bookmarkEnd w:id="5"/>
      <w:r>
        <w:t xml:space="preserve"> </w:t>
      </w:r>
      <w:bookmarkStart w:id="6" w:name="References"/>
      <w:r>
        <w:t>(COM(2021)0663 – C9-0395/2021 – 2021/0341(COD))</w:t>
      </w:r>
      <w:bookmarkEnd w:id="6"/>
    </w:p>
    <w:p>
      <w:pPr>
        <w:pStyle w:val="NormalBold"/>
      </w:pPr>
      <w:bookmarkStart w:id="7" w:name="TextBodyBegin"/>
      <w:bookmarkEnd w:id="7"/>
      <w:r>
        <w:t>(Riadny legislatívny postup: prvé čítanie)</w:t>
      </w:r>
    </w:p>
    <w:p>
      <w:pPr>
        <w:pStyle w:val="EPComma"/>
      </w:pPr>
      <w:r>
        <w:rPr>
          <w:i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návrh Komisie pre Európsky parlament a Radu (COM(2021)0663),</w:t>
      </w:r>
    </w:p>
    <w:p>
      <w:pPr>
        <w:pStyle w:val="NormalHanging12a"/>
      </w:pPr>
      <w:r>
        <w:t>–</w:t>
      </w:r>
      <w:r>
        <w:tab/>
        <w:t>so zreteľom na článok 294 ods. 2 a článok 53 ods. 1 Zmluvy o fungovaní Európskej únie, v súlade s ktorými Komisia predložila návrh Európskemu parlamentu (C9</w:t>
      </w:r>
      <w:r>
        <w:noBreakHyphen/>
        <w:t>0395/2021),</w:t>
      </w:r>
    </w:p>
    <w:p>
      <w:pPr>
        <w:pStyle w:val="NormalHanging12a"/>
      </w:pPr>
      <w:r>
        <w:t>–</w:t>
      </w:r>
      <w:r>
        <w:tab/>
        <w:t>so zreteľom na článok 294 ods. 3 Zmluvy o fungovaní Európskej únie,</w:t>
      </w:r>
    </w:p>
    <w:p>
      <w:pPr>
        <w:pStyle w:val="NormalHanging12a"/>
        <w:rPr>
          <w:szCs w:val="24"/>
        </w:rPr>
      </w:pPr>
      <w:r>
        <w:t>–</w:t>
      </w:r>
      <w:r>
        <w:tab/>
        <w:t>so zreteľom na stanovisko Európskej centrálnej banky z 27. apríla 2022</w:t>
      </w:r>
      <w:r>
        <w:rPr>
          <w:rStyle w:val="FootnoteReference"/>
          <w:szCs w:val="24"/>
        </w:rPr>
        <w:footnoteReference w:id="1"/>
      </w:r>
      <w:r>
        <w:t>,</w:t>
      </w:r>
    </w:p>
    <w:p>
      <w:pPr>
        <w:pStyle w:val="NormalHanging12a"/>
      </w:pPr>
      <w:r>
        <w:t>–</w:t>
      </w:r>
      <w:r>
        <w:tab/>
        <w:t>so zreteľom na predbežnú dohodu schválenú gestorským výborom podľa článku 74 ods. 4 rokovacieho poriadku, a na záväzok zástupcu Rady, vyjadrený v liste zo 6. decembra 2023, schváliť pozíciu Európskeho parlamentu v súlade s článkom 294 ods. 4 Zmluvy o fungovaní Európskej únie,</w:t>
      </w:r>
    </w:p>
    <w:p>
      <w:pPr>
        <w:pStyle w:val="NormalHanging12a"/>
      </w:pPr>
      <w:r>
        <w:t>–</w:t>
      </w:r>
      <w:r>
        <w:tab/>
        <w:t>so zreteľom na článok 59 rokovacieho poriadku,</w:t>
      </w:r>
    </w:p>
    <w:p>
      <w:pPr>
        <w:pStyle w:val="NormalHanging12a"/>
      </w:pPr>
      <w:r>
        <w:t>–</w:t>
      </w:r>
      <w:r>
        <w:tab/>
        <w:t>so zreteľom na správu Výboru pre hospodárske a menové veci (A9-0029/2023),</w:t>
      </w:r>
    </w:p>
    <w:p>
      <w:pPr>
        <w:pStyle w:val="NormalHanging12a"/>
      </w:pPr>
      <w:r>
        <w:t>1.</w:t>
      </w:r>
      <w:r>
        <w:tab/>
        <w:t>prijíma nasledujúcu pozíciu v prvom čítaní;</w:t>
      </w:r>
    </w:p>
    <w:p>
      <w:pPr>
        <w:pStyle w:val="NormalHanging12a"/>
      </w:pPr>
      <w:r>
        <w:lastRenderedPageBreak/>
        <w:t>2.</w:t>
      </w:r>
      <w:r>
        <w:tab/>
        <w:t>žiada Komisiu, aby mu vec znovu predložila, ak nahrádza, podstatne mení alebo má v úmysle podstatne zmeniť svoj návrh;</w:t>
      </w:r>
    </w:p>
    <w:p>
      <w:pPr>
        <w:pStyle w:val="NormalHanging12a"/>
      </w:pPr>
      <w:r>
        <w:t>3.</w:t>
      </w:r>
      <w:r>
        <w:tab/>
        <w:t>poveruje svoju predsedníčku, aby postúpila túto pozíciu Rade, Komisii a národným parlamentom.</w:t>
      </w:r>
    </w:p>
    <w:p>
      <w:pPr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>
      <w:pPr>
        <w:pStyle w:val="Institutionquiagit"/>
        <w:keepNext w:val="0"/>
        <w:spacing w:before="0" w:after="240"/>
        <w:jc w:val="left"/>
        <w:outlineLvl w:val="0"/>
        <w:rPr>
          <w:b/>
        </w:rPr>
      </w:pPr>
      <w:bookmarkStart w:id="8" w:name="TextBodyEnd"/>
      <w:bookmarkEnd w:id="8"/>
      <w:r>
        <w:rPr>
          <w:b/>
        </w:rPr>
        <w:lastRenderedPageBreak/>
        <w:t>P9_TC1-COD(2021)0341</w:t>
      </w:r>
    </w:p>
    <w:p>
      <w:pPr>
        <w:rPr>
          <w:b/>
          <w:szCs w:val="24"/>
          <w:lang w:eastAsia="fr-BE"/>
        </w:rPr>
      </w:pPr>
      <w:r>
        <w:rPr>
          <w:b/>
        </w:rPr>
        <w:t xml:space="preserve">Pozícia Európskeho parlamentu prijatá v prvom čítaní 24. apríla 2024 na účely prijatia smernice Európskeho parlamentu a Rady (EÚ) 2024/..., </w:t>
      </w:r>
      <w:r>
        <w:rPr>
          <w:b/>
          <w:szCs w:val="24"/>
          <w:lang w:eastAsia="fr-BE"/>
        </w:rPr>
        <w:t>ktorou sa mení smernica 2013/36/EÚ, pokiaľ ide o právomoci v oblasti dohľadu, sankcie, pobočky z tretích krajín a environmentálne a sociálne riziká a riziká v oblasti správy a riadenia</w:t>
      </w:r>
    </w:p>
    <w:p>
      <w:pPr>
        <w:spacing w:before="480"/>
      </w:pPr>
      <w:r>
        <w:rPr>
          <w:i/>
          <w:iCs/>
        </w:rPr>
        <w:t xml:space="preserve">(Keďže bola dosiahnutá dohoda medzi Európskym parlamentom a Radou, pozícia Európskeho parlamentu zodpovedá záverečnému legislatívnemu aktu, </w:t>
      </w:r>
      <w:r>
        <w:rPr>
          <w:i/>
          <w:iCs/>
        </w:rPr>
        <w:t>smernici</w:t>
      </w:r>
      <w:r>
        <w:rPr>
          <w:i/>
          <w:iCs/>
        </w:rPr>
        <w:t xml:space="preserve"> </w:t>
      </w:r>
      <w:r>
        <w:rPr>
          <w:i/>
          <w:iCs/>
        </w:rPr>
        <w:t>(EÚ) 2024/1619</w:t>
      </w:r>
      <w:bookmarkStart w:id="9" w:name="_GoBack"/>
      <w:bookmarkEnd w:id="9"/>
      <w:r>
        <w:rPr>
          <w:i/>
          <w:iCs/>
        </w:rPr>
        <w:t>.)</w:t>
      </w:r>
    </w:p>
    <w:p>
      <w:pPr>
        <w:rPr>
          <w:b/>
          <w:szCs w:val="24"/>
          <w:lang w:eastAsia="fr-BE"/>
        </w:rPr>
      </w:pPr>
    </w:p>
    <w:sectPr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 C 248, 30.6.2022, s. 87.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2" w15:restartNumberingAfterBreak="0">
    <w:nsid w:val="22E44180"/>
    <w:multiLevelType w:val="multilevel"/>
    <w:tmpl w:val="DFC88CEC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9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0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1" w15:restartNumberingAfterBreak="0">
    <w:nsid w:val="5A5657E5"/>
    <w:multiLevelType w:val="hybridMultilevel"/>
    <w:tmpl w:val="FFFFFFFF"/>
    <w:lvl w:ilvl="0" w:tplc="00000000">
      <w:start w:val="1"/>
      <w:numFmt w:val="lowerLetter"/>
      <w:lvlText w:val="(%1)"/>
      <w:lvlJc w:val="left"/>
      <w:pPr>
        <w:ind w:left="644" w:hanging="360"/>
      </w:pPr>
      <w:rPr>
        <w:b/>
      </w:rPr>
    </w:lvl>
    <w:lvl w:ilvl="1" w:tplc="00000001">
      <w:start w:val="1"/>
      <w:numFmt w:val="lowerLetter"/>
      <w:lvlText w:val="%2."/>
      <w:lvlJc w:val="left"/>
      <w:pPr>
        <w:ind w:left="1364" w:hanging="360"/>
      </w:pPr>
    </w:lvl>
    <w:lvl w:ilvl="2" w:tplc="00000002">
      <w:start w:val="1"/>
      <w:numFmt w:val="lowerRoman"/>
      <w:lvlText w:val="%3."/>
      <w:lvlJc w:val="right"/>
      <w:pPr>
        <w:ind w:left="2084" w:hanging="180"/>
      </w:pPr>
    </w:lvl>
    <w:lvl w:ilvl="3" w:tplc="00000003">
      <w:start w:val="1"/>
      <w:numFmt w:val="decimal"/>
      <w:lvlText w:val="%4."/>
      <w:lvlJc w:val="left"/>
      <w:pPr>
        <w:ind w:left="2804" w:hanging="360"/>
      </w:pPr>
    </w:lvl>
    <w:lvl w:ilvl="4" w:tplc="00000004">
      <w:start w:val="1"/>
      <w:numFmt w:val="lowerLetter"/>
      <w:lvlText w:val="%5."/>
      <w:lvlJc w:val="left"/>
      <w:pPr>
        <w:ind w:left="3524" w:hanging="360"/>
      </w:pPr>
    </w:lvl>
    <w:lvl w:ilvl="5" w:tplc="00000005">
      <w:start w:val="1"/>
      <w:numFmt w:val="lowerRoman"/>
      <w:lvlText w:val="%6."/>
      <w:lvlJc w:val="right"/>
      <w:pPr>
        <w:ind w:left="4244" w:hanging="180"/>
      </w:pPr>
    </w:lvl>
    <w:lvl w:ilvl="6" w:tplc="00000006">
      <w:start w:val="1"/>
      <w:numFmt w:val="decimal"/>
      <w:lvlText w:val="%7."/>
      <w:lvlJc w:val="left"/>
      <w:pPr>
        <w:ind w:left="4964" w:hanging="360"/>
      </w:pPr>
    </w:lvl>
    <w:lvl w:ilvl="7" w:tplc="00000007">
      <w:start w:val="1"/>
      <w:numFmt w:val="lowerLetter"/>
      <w:lvlText w:val="%8."/>
      <w:lvlJc w:val="left"/>
      <w:pPr>
        <w:ind w:left="5684" w:hanging="360"/>
      </w:pPr>
    </w:lvl>
    <w:lvl w:ilvl="8" w:tplc="00000008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3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4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5" w15:restartNumberingAfterBreak="0">
    <w:nsid w:val="6133255B"/>
    <w:multiLevelType w:val="hybridMultilevel"/>
    <w:tmpl w:val="FFFFFFFF"/>
    <w:lvl w:ilvl="0" w:tplc="000000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000000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000000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000000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000000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000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000000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000000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000000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7" w15:restartNumberingAfterBreak="0">
    <w:nsid w:val="6ECA5C59"/>
    <w:multiLevelType w:val="hybridMultilevel"/>
    <w:tmpl w:val="FFFFFFFF"/>
    <w:lvl w:ilvl="0" w:tplc="00000000">
      <w:start w:val="1"/>
      <w:numFmt w:val="lowerLetter"/>
      <w:lvlText w:val="%1."/>
      <w:lvlJc w:val="left"/>
      <w:pPr>
        <w:ind w:left="720" w:hanging="360"/>
      </w:pPr>
    </w:lvl>
    <w:lvl w:ilvl="1" w:tplc="00000001">
      <w:start w:val="1"/>
      <w:numFmt w:val="lowerLetter"/>
      <w:lvlText w:val="%2."/>
      <w:lvlJc w:val="left"/>
      <w:pPr>
        <w:ind w:left="1440" w:hanging="360"/>
      </w:pPr>
    </w:lvl>
    <w:lvl w:ilvl="2" w:tplc="00000002">
      <w:start w:val="1"/>
      <w:numFmt w:val="lowerRoman"/>
      <w:lvlText w:val="%3."/>
      <w:lvlJc w:val="right"/>
      <w:pPr>
        <w:ind w:left="2160" w:hanging="180"/>
      </w:pPr>
    </w:lvl>
    <w:lvl w:ilvl="3" w:tplc="00000003">
      <w:start w:val="1"/>
      <w:numFmt w:val="decimal"/>
      <w:lvlText w:val="%4."/>
      <w:lvlJc w:val="left"/>
      <w:pPr>
        <w:ind w:left="2880" w:hanging="360"/>
      </w:pPr>
    </w:lvl>
    <w:lvl w:ilvl="4" w:tplc="00000004">
      <w:start w:val="1"/>
      <w:numFmt w:val="lowerLetter"/>
      <w:lvlText w:val="%5."/>
      <w:lvlJc w:val="left"/>
      <w:pPr>
        <w:ind w:left="3600" w:hanging="360"/>
      </w:pPr>
    </w:lvl>
    <w:lvl w:ilvl="5" w:tplc="00000005">
      <w:start w:val="1"/>
      <w:numFmt w:val="lowerRoman"/>
      <w:lvlText w:val="%6."/>
      <w:lvlJc w:val="right"/>
      <w:pPr>
        <w:ind w:left="4320" w:hanging="180"/>
      </w:pPr>
    </w:lvl>
    <w:lvl w:ilvl="6" w:tplc="00000006">
      <w:start w:val="1"/>
      <w:numFmt w:val="decimal"/>
      <w:lvlText w:val="%7."/>
      <w:lvlJc w:val="left"/>
      <w:pPr>
        <w:ind w:left="5040" w:hanging="360"/>
      </w:pPr>
    </w:lvl>
    <w:lvl w:ilvl="7" w:tplc="00000007">
      <w:start w:val="1"/>
      <w:numFmt w:val="lowerLetter"/>
      <w:lvlText w:val="%8."/>
      <w:lvlJc w:val="left"/>
      <w:pPr>
        <w:ind w:left="5760" w:hanging="360"/>
      </w:pPr>
    </w:lvl>
    <w:lvl w:ilvl="8" w:tplc="0000000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0"/>
  </w:num>
  <w:num w:numId="2">
    <w:abstractNumId w:val="5"/>
  </w:num>
  <w:num w:numId="3">
    <w:abstractNumId w:val="14"/>
  </w:num>
  <w:num w:numId="4">
    <w:abstractNumId w:val="6"/>
  </w:num>
  <w:num w:numId="5">
    <w:abstractNumId w:val="16"/>
  </w:num>
  <w:num w:numId="6">
    <w:abstractNumId w:val="4"/>
  </w:num>
  <w:num w:numId="7">
    <w:abstractNumId w:val="7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12"/>
  </w:num>
  <w:num w:numId="12">
    <w:abstractNumId w:val="13"/>
  </w:num>
  <w:num w:numId="13">
    <w:abstractNumId w:val="3"/>
  </w:num>
  <w:num w:numId="14">
    <w:abstractNumId w:val="10"/>
  </w:num>
  <w:num w:numId="15">
    <w:abstractNumId w:val="18"/>
    <w:lvlOverride w:ilvl="0">
      <w:startOverride w:val="1"/>
    </w:lvlOverride>
  </w:num>
  <w:num w:numId="16">
    <w:abstractNumId w:val="8"/>
  </w:num>
  <w:num w:numId="17">
    <w:abstractNumId w:val="15"/>
  </w:num>
  <w:num w:numId="18">
    <w:abstractNumId w:val="11"/>
  </w:num>
  <w:num w:numId="19">
    <w:abstractNumId w:val="1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9/2023"/>
    <w:docVar w:name="dvlangue" w:val="SK"/>
    <w:docVar w:name="dvnumam" w:val="0"/>
    <w:docVar w:name="dvpe" w:val="731.819"/>
    <w:docVar w:name="dvrapporteur" w:val="Spravodajca: "/>
    <w:docVar w:name="dvstar" w:val="***I"/>
    <w:docVar w:name="dvtitre" w:val="Legislatívne uznesenie Európskeho parlamentu z xx. apríla 2024 o návrhu smernice Európskeho parlamentu a Rady, ktorou sa mení smernica 2013/36/EÚ, pokiaľ ide o právomoci v oblasti dohľadu, sankcie, pobočky z tretích krajín a environmentálne a sociálne riziká a riziká v oblasti správy a riadenia, a ktorou sa mení smernica 2014/59/EÚ(COM(2021)0663 – C9-0395/2021 – 2021/0341(COD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3648A4-C5E5-4F89-9809-7B7BCB852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Document Map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uiPriority w:val="99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uiPriority w:val="99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Char1,Ref,de nota al pie,Footnote,Footnote Reference Number,Footnote Reference_LVL6,Footnote Reference_LVL61,Footnote Reference_LVL62,Footnote Reference_LVL63,Footnote Reference_LVL64,Footnote symbol,Fußnotenzeichen3,Char,Ch,C,Nota,fr"/>
    <w:uiPriority w:val="99"/>
    <w:rPr>
      <w:b w:val="0"/>
      <w:vertAlign w:val="superscript"/>
    </w:rPr>
  </w:style>
  <w:style w:type="paragraph" w:styleId="FootnoteText">
    <w:name w:val="footnote text"/>
    <w:aliases w:val="Footnote Text Char Char,Fußnote,FSR footnote,lábléc,Verdana 8p Regular Foot,C26 Footnote body,text,Voetnoottekst Char,Voetnoottekst Char1 Char,Voetnoottekst Char Char Char,Footnote Char Char Char,fn,f,Footnote Text Char2 Cha"/>
    <w:basedOn w:val="Normal"/>
    <w:link w:val="FootnoteTextChar"/>
    <w:uiPriority w:val="99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ootnote Text Char Char Char,Fußnote Char,FSR footnote Char,lábléc Char,Verdana 8p Regular Foot Char,C26 Footnote body Char,text Char,Voetnoottekst Char Char,Voetnoottekst Char1 Char Char,Voetnoottekst Char Char Char Char,fn Char"/>
    <w:link w:val="FootnoteText"/>
    <w:uiPriority w:val="99"/>
    <w:rPr>
      <w:sz w:val="22"/>
      <w:lang w:val="fr-FR" w:eastAsia="fr-FR"/>
    </w:rPr>
  </w:style>
  <w:style w:type="character" w:styleId="PageNumber">
    <w:name w:val="page number"/>
  </w:style>
  <w:style w:type="paragraph" w:styleId="TOC2">
    <w:name w:val="toc 2"/>
    <w:basedOn w:val="Normal"/>
    <w:next w:val="Normal"/>
    <w:autoRedefine/>
    <w:uiPriority w:val="39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uiPriority w:val="99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uiPriority w:val="99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uiPriority w:val="99"/>
    <w:qFormat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uiPriority w:val="99"/>
    <w:semiHidden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uiPriority w:val="99"/>
    <w:semiHidden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uiPriority w:val="99"/>
    <w:pPr>
      <w:spacing w:before="480" w:after="240"/>
    </w:pPr>
  </w:style>
  <w:style w:type="paragraph" w:customStyle="1" w:styleId="TOCPage">
    <w:name w:val="TOC Page"/>
    <w:basedOn w:val="Normal"/>
    <w:next w:val="TOC1"/>
    <w:uiPriority w:val="99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uiPriority w:val="99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CoverNormal24a">
    <w:name w:val="CoverNormal24a"/>
    <w:basedOn w:val="Normal"/>
    <w:uiPriority w:val="99"/>
    <w:pPr>
      <w:spacing w:after="480"/>
      <w:ind w:left="1417"/>
    </w:pPr>
  </w:style>
  <w:style w:type="paragraph" w:customStyle="1" w:styleId="CoverNormal">
    <w:name w:val="CoverNormal"/>
    <w:basedOn w:val="Normal"/>
    <w:uiPriority w:val="99"/>
    <w:pPr>
      <w:ind w:left="1418"/>
    </w:pPr>
  </w:style>
  <w:style w:type="paragraph" w:customStyle="1" w:styleId="NormalCenter12a">
    <w:name w:val="NormalCenter12a"/>
    <w:basedOn w:val="Normal"/>
    <w:pPr>
      <w:spacing w:after="240"/>
      <w:jc w:val="center"/>
    </w:pPr>
  </w:style>
  <w:style w:type="paragraph" w:customStyle="1" w:styleId="CoverReference">
    <w:name w:val="CoverReference"/>
    <w:basedOn w:val="Normal"/>
    <w:uiPriority w:val="9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uiPriority w:val="9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uiPriority w:val="9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uiPriority w:val="99"/>
    <w:pPr>
      <w:spacing w:before="240" w:after="1200"/>
    </w:p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Pr>
      <w:sz w:val="24"/>
      <w:lang w:val="sk-SK"/>
    </w:rPr>
  </w:style>
  <w:style w:type="paragraph" w:customStyle="1" w:styleId="AmNumberTabs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pPr>
      <w:spacing w:before="720" w:after="240"/>
      <w:jc w:val="center"/>
    </w:pPr>
  </w:style>
  <w:style w:type="paragraph" w:customStyle="1" w:styleId="EPBody">
    <w:name w:val="EPBody"/>
    <w:basedOn w:val="Normal"/>
    <w:uiPriority w:val="9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Pr>
      <w:sz w:val="18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customStyle="1" w:styleId="msonormal0">
    <w:name w:val="msonormal"/>
    <w:basedOn w:val="Normal"/>
    <w:uiPriority w:val="99"/>
    <w:semiHidden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pPr>
      <w:widowControl/>
      <w:spacing w:before="100" w:beforeAutospacing="1" w:after="100" w:afterAutospacing="1"/>
    </w:pPr>
    <w:rPr>
      <w:szCs w:val="24"/>
    </w:rPr>
  </w:style>
  <w:style w:type="paragraph" w:styleId="TOC4">
    <w:name w:val="toc 4"/>
    <w:basedOn w:val="Normal"/>
    <w:next w:val="Normal"/>
    <w:autoRedefine/>
    <w:uiPriority w:val="39"/>
    <w:unhideWhenUsed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eastAsiaTheme="minorHAnsi"/>
      <w:lang w:val="sk-SK" w:eastAsia="en-US"/>
    </w:rPr>
  </w:style>
  <w:style w:type="paragraph" w:styleId="Footer">
    <w:name w:val="footer"/>
    <w:basedOn w:val="Normal"/>
    <w:link w:val="FooterChar"/>
    <w:unhideWhenUsed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Theme="minorHAns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Pr>
      <w:rFonts w:eastAsiaTheme="minorHAnsi"/>
      <w:sz w:val="24"/>
      <w:szCs w:val="22"/>
      <w:lang w:val="sk-SK" w:eastAsia="en-US"/>
    </w:rPr>
  </w:style>
  <w:style w:type="paragraph" w:styleId="Caption">
    <w:name w:val="caption"/>
    <w:basedOn w:val="Normal"/>
    <w:next w:val="Normal"/>
    <w:uiPriority w:val="35"/>
    <w:unhideWhenUsed/>
    <w:qFormat/>
    <w:pPr>
      <w:widowControl/>
      <w:spacing w:after="200"/>
      <w:jc w:val="both"/>
    </w:pPr>
    <w:rPr>
      <w:rFonts w:eastAsiaTheme="minorHAnsi"/>
      <w:i/>
      <w:iCs/>
      <w:color w:val="44546A" w:themeColor="text2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Bullet">
    <w:name w:val="List Bullet"/>
    <w:basedOn w:val="Normal"/>
    <w:uiPriority w:val="99"/>
    <w:unhideWhenUsed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">
    <w:name w:val="List Number"/>
    <w:basedOn w:val="Normal"/>
    <w:uiPriority w:val="99"/>
    <w:unhideWhenUsed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Bullet2">
    <w:name w:val="List Bullet 2"/>
    <w:basedOn w:val="Normal"/>
    <w:uiPriority w:val="99"/>
    <w:unhideWhenUsed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4">
    <w:name w:val="List Number 4"/>
    <w:basedOn w:val="Normal"/>
    <w:uiPriority w:val="99"/>
    <w:unhideWhenUsed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eastAsiaTheme="minorHAnsi"/>
      <w:b/>
      <w:bCs/>
      <w:lang w:val="sk-SK" w:eastAsia="en-US"/>
    </w:rPr>
  </w:style>
  <w:style w:type="paragraph" w:styleId="BalloonText">
    <w:name w:val="Balloon Text"/>
    <w:basedOn w:val="Normal"/>
    <w:link w:val="BalloonTextChar"/>
    <w:uiPriority w:val="99"/>
    <w:unhideWhenUsed/>
    <w:pPr>
      <w:widowControl/>
      <w:jc w:val="both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Theme="minorHAnsi" w:hAnsi="Segoe UI" w:cs="Segoe UI"/>
      <w:sz w:val="18"/>
      <w:szCs w:val="18"/>
      <w:lang w:val="sk-SK" w:eastAsia="en-US"/>
    </w:rPr>
  </w:style>
  <w:style w:type="paragraph" w:styleId="Revision">
    <w:name w:val="Revision"/>
    <w:uiPriority w:val="99"/>
    <w:rPr>
      <w:rFonts w:eastAsiaTheme="minorHAnsi"/>
      <w:sz w:val="24"/>
      <w:szCs w:val="22"/>
      <w:lang w:val="sk-SK" w:eastAsia="en-US"/>
    </w:rPr>
  </w:style>
  <w:style w:type="paragraph" w:styleId="ListParagraph">
    <w:name w:val="List Paragraph"/>
    <w:aliases w:val="List Paragraph11,Issue Action POC,3,POCG Table Text,Dot pt,F5 List Paragraph,Indicator Text,Colorful List - Accent 11,Numbered Para 1,Bullet Points,List Paragraph2,MAIN CONTENT,Normal numbered,EC,List Paragraph1"/>
    <w:basedOn w:val="Normal"/>
    <w:uiPriority w:val="34"/>
    <w:qFormat/>
    <w:pPr>
      <w:widowControl/>
      <w:ind w:left="720"/>
      <w:contextualSpacing/>
    </w:pPr>
    <w:rPr>
      <w:rFonts w:ascii="Calibri" w:eastAsia="Calibri" w:hAnsi="Calibri" w:cs="Arial"/>
      <w:sz w:val="20"/>
      <w:lang w:eastAsia="en-US"/>
    </w:rPr>
  </w:style>
  <w:style w:type="paragraph" w:customStyle="1" w:styleId="Text1">
    <w:name w:val="Text 1"/>
    <w:basedOn w:val="Normal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ListNumber2Level2">
    <w:name w:val="List Number 2 (Level 2)"/>
    <w:basedOn w:val="Text2"/>
    <w:pPr>
      <w:tabs>
        <w:tab w:val="num" w:pos="2137"/>
      </w:tabs>
      <w:ind w:left="2137" w:hanging="708"/>
    </w:pPr>
    <w:rPr>
      <w:rFonts w:eastAsia="Times New Roman"/>
      <w:lang w:eastAsia="en-GB"/>
    </w:rPr>
  </w:style>
  <w:style w:type="paragraph" w:customStyle="1" w:styleId="norm">
    <w:name w:val="norm"/>
    <w:basedOn w:val="Normal"/>
    <w:uiPriority w:val="99"/>
    <w:semiHidden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1">
    <w:name w:val="Normal1"/>
    <w:basedOn w:val="Normal"/>
    <w:pPr>
      <w:widowControl/>
      <w:spacing w:before="100" w:beforeAutospacing="1" w:after="100" w:afterAutospacing="1"/>
    </w:pPr>
    <w:rPr>
      <w:rFonts w:eastAsiaTheme="minorHAnsi"/>
      <w:szCs w:val="24"/>
    </w:rPr>
  </w:style>
  <w:style w:type="paragraph" w:customStyle="1" w:styleId="Point1">
    <w:name w:val="Point 1"/>
    <w:basedOn w:val="Normal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3">
    <w:name w:val="Text 3"/>
    <w:basedOn w:val="Normal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pPr>
      <w:numPr>
        <w:numId w:val="3"/>
      </w:numPr>
    </w:pPr>
  </w:style>
  <w:style w:type="paragraph" w:customStyle="1" w:styleId="Tiret1">
    <w:name w:val="Tiret 1"/>
    <w:basedOn w:val="Point1"/>
    <w:pPr>
      <w:numPr>
        <w:numId w:val="4"/>
      </w:numPr>
    </w:pPr>
  </w:style>
  <w:style w:type="paragraph" w:customStyle="1" w:styleId="Tiret2">
    <w:name w:val="Tiret 2"/>
    <w:basedOn w:val="Point2"/>
    <w:pPr>
      <w:numPr>
        <w:numId w:val="5"/>
      </w:numPr>
    </w:pPr>
  </w:style>
  <w:style w:type="paragraph" w:customStyle="1" w:styleId="Tiret3">
    <w:name w:val="Tiret 3"/>
    <w:basedOn w:val="Point3"/>
    <w:pPr>
      <w:numPr>
        <w:numId w:val="6"/>
      </w:numPr>
    </w:pPr>
  </w:style>
  <w:style w:type="paragraph" w:customStyle="1" w:styleId="Tiret4">
    <w:name w:val="Tiret 4"/>
    <w:basedOn w:val="Point4"/>
    <w:pPr>
      <w:numPr>
        <w:numId w:val="7"/>
      </w:numPr>
    </w:pPr>
  </w:style>
  <w:style w:type="paragraph" w:customStyle="1" w:styleId="PointDouble0">
    <w:name w:val="PointDouble 0"/>
    <w:basedOn w:val="Normal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pPr>
      <w:widowControl/>
      <w:numPr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pPr>
      <w:widowControl/>
      <w:numPr>
        <w:ilvl w:val="1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pPr>
      <w:widowControl/>
      <w:numPr>
        <w:ilvl w:val="2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pPr>
      <w:widowControl/>
      <w:numPr>
        <w:ilvl w:val="3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pPr>
      <w:widowControl/>
      <w:numPr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pPr>
      <w:widowControl/>
      <w:numPr>
        <w:ilvl w:val="2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pPr>
      <w:widowControl/>
      <w:numPr>
        <w:ilvl w:val="4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pPr>
      <w:widowControl/>
      <w:numPr>
        <w:ilvl w:val="6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pPr>
      <w:widowControl/>
      <w:numPr>
        <w:ilvl w:val="1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pPr>
      <w:widowControl/>
      <w:numPr>
        <w:ilvl w:val="3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pPr>
      <w:widowControl/>
      <w:numPr>
        <w:ilvl w:val="5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pPr>
      <w:widowControl/>
      <w:numPr>
        <w:ilvl w:val="7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pPr>
      <w:widowControl/>
      <w:numPr>
        <w:ilvl w:val="8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pPr>
      <w:widowControl/>
      <w:numPr>
        <w:numId w:val="1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pPr>
      <w:widowControl/>
      <w:numPr>
        <w:numId w:val="1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Emission">
    <w:name w:val="Emission"/>
    <w:basedOn w:val="Normal"/>
    <w:next w:val="Rfrenceinstitutionnelle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Normal"/>
  </w:style>
  <w:style w:type="paragraph" w:customStyle="1" w:styleId="Pagedecouverture">
    <w:name w:val="Page de couverture"/>
    <w:basedOn w:val="Normal"/>
    <w:next w:val="Normal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Institutionquisigne">
    <w:name w:val="Institution qui signe"/>
    <w:basedOn w:val="Normal"/>
    <w:next w:val="Personnequisigne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Titreobjet">
    <w:name w:val="Titre objet"/>
    <w:basedOn w:val="Normal"/>
    <w:next w:val="IntrtEEE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Datedadoption">
    <w:name w:val="Date d'adoption"/>
    <w:basedOn w:val="Normal"/>
    <w:next w:val="Titreobjet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Personnequisigne">
    <w:name w:val="Personne qui signe"/>
    <w:basedOn w:val="Normal"/>
    <w:next w:val="Institutionquisigne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Address">
    <w:name w:val="Address"/>
    <w:basedOn w:val="Normal"/>
    <w:next w:val="Normal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</w:style>
  <w:style w:type="paragraph" w:customStyle="1" w:styleId="TitreobjetPagedecouverture">
    <w:name w:val="Titre objet (Page de couverture)"/>
    <w:basedOn w:val="Titreobjet"/>
    <w:next w:val="IntrtEEEPagedecouverture"/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Volume">
    <w:name w:val="Volume"/>
    <w:basedOn w:val="Normal"/>
    <w:next w:val="Confidentialit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LanguesfaisantfoiPagedecouverture">
    <w:name w:val="Langues faisant foi (Page de couverture)"/>
    <w:basedOn w:val="Normal"/>
    <w:next w:val="Normal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Point5"/>
    <w:pPr>
      <w:numPr>
        <w:numId w:val="16"/>
      </w:numPr>
    </w:pPr>
  </w:style>
  <w:style w:type="paragraph" w:customStyle="1" w:styleId="NumPar5">
    <w:name w:val="NumPar 5"/>
    <w:basedOn w:val="Normal"/>
    <w:next w:val="Text2"/>
    <w:pPr>
      <w:widowControl/>
      <w:numPr>
        <w:ilvl w:val="4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pPr>
      <w:widowControl/>
      <w:numPr>
        <w:ilvl w:val="5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pPr>
      <w:widowControl/>
      <w:numPr>
        <w:ilvl w:val="6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ot">
    <w:name w:val="Not"/>
    <w:basedOn w:val="Point0number"/>
  </w:style>
  <w:style w:type="paragraph" w:customStyle="1" w:styleId="Pint1">
    <w:name w:val="Pint 1"/>
    <w:basedOn w:val="Point1letter"/>
  </w:style>
  <w:style w:type="paragraph" w:customStyle="1" w:styleId="Titre">
    <w:name w:val="Titre"/>
    <w:basedOn w:val="Titrearticle"/>
    <w:pPr>
      <w:spacing w:before="0"/>
    </w:pPr>
    <w:rPr>
      <w:szCs w:val="24"/>
    </w:rPr>
  </w:style>
  <w:style w:type="character" w:styleId="CommentReference">
    <w:name w:val="annotation reference"/>
    <w:basedOn w:val="DefaultParagraphFont"/>
    <w:uiPriority w:val="99"/>
    <w:unhideWhenUsed/>
    <w:rPr>
      <w:sz w:val="16"/>
      <w:szCs w:val="16"/>
    </w:rPr>
  </w:style>
  <w:style w:type="character" w:customStyle="1" w:styleId="Marker">
    <w:name w:val="Marker"/>
    <w:basedOn w:val="DefaultParagraphFont"/>
    <w:rPr>
      <w:color w:val="0000FF"/>
    </w:rPr>
  </w:style>
  <w:style w:type="character" w:customStyle="1" w:styleId="Marker1">
    <w:name w:val="Marker1"/>
    <w:basedOn w:val="DefaultParagraphFont"/>
    <w:rPr>
      <w:color w:val="008000"/>
    </w:rPr>
  </w:style>
  <w:style w:type="character" w:customStyle="1" w:styleId="Marker2">
    <w:name w:val="Marker2"/>
    <w:basedOn w:val="DefaultParagraphFont"/>
    <w:rPr>
      <w:color w:val="FF0000"/>
    </w:rPr>
  </w:style>
  <w:style w:type="character" w:customStyle="1" w:styleId="Added">
    <w:name w:val="Added"/>
    <w:basedOn w:val="DefaultParagraphFont"/>
    <w:rPr>
      <w:b/>
      <w:bCs w:val="0"/>
      <w:u w:val="single"/>
    </w:rPr>
  </w:style>
  <w:style w:type="character" w:customStyle="1" w:styleId="Deleted">
    <w:name w:val="Deleted"/>
    <w:basedOn w:val="DefaultParagraphFont"/>
    <w:rPr>
      <w:strike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sk-SK" w:eastAsia="en-US"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RollCallVotes">
    <w:name w:val="RollCallVotes"/>
    <w:basedOn w:val="Normal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AmDateTab">
    <w:name w:val="AmDateTab"/>
    <w:basedOn w:val="Normal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</w:style>
  <w:style w:type="character" w:customStyle="1" w:styleId="ListParagraphChar">
    <w:name w:val="List Paragraph Char"/>
    <w:aliases w:val="Bullet 1 Char,Bullet Points Char,Colorful List - Accent 11 Char,Dot pt Char,F5 List Paragraph Char,Indicator Text Char,List Paragraph Char Char Char Char,List Paragraph1 Char,List Paragraph2 Char,No Spacing1 Char,Numbered Para 1 Cha"/>
    <w:uiPriority w:val="34"/>
    <w:qFormat/>
    <w:rPr>
      <w:rFonts w:ascii="Calibri" w:eastAsia="Times New Roman" w:hAnsi="Calibri" w:cs="Arial"/>
      <w:sz w:val="22"/>
      <w:szCs w:val="22"/>
    </w:rPr>
  </w:style>
  <w:style w:type="character" w:customStyle="1" w:styleId="normaltextrun">
    <w:name w:val="normaltextrun"/>
    <w:basedOn w:val="DefaultParagraphFont"/>
  </w:style>
  <w:style w:type="character" w:customStyle="1" w:styleId="no-parag">
    <w:name w:val="no-parag"/>
    <w:basedOn w:val="DefaultParagraphFont"/>
  </w:style>
  <w:style w:type="paragraph" w:customStyle="1" w:styleId="numberedparagraph">
    <w:name w:val="numbered paragraph"/>
    <w:basedOn w:val="Normal"/>
    <w:qFormat/>
    <w:pPr>
      <w:autoSpaceDE w:val="0"/>
      <w:autoSpaceDN w:val="0"/>
      <w:adjustRightInd w:val="0"/>
      <w:spacing w:before="240" w:after="120" w:line="276" w:lineRule="auto"/>
      <w:jc w:val="both"/>
    </w:pPr>
    <w:rPr>
      <w:rFonts w:ascii="Calibri" w:hAnsi="Calibri" w:cs="Arial"/>
      <w:sz w:val="22"/>
      <w:szCs w:val="24"/>
      <w:lang w:eastAsia="fr-BE"/>
    </w:rPr>
  </w:style>
  <w:style w:type="character" w:customStyle="1" w:styleId="superscript">
    <w:name w:val="superscript"/>
    <w:basedOn w:val="DefaultParagraphFont"/>
  </w:style>
  <w:style w:type="character" w:styleId="Strong">
    <w:name w:val="Strong"/>
    <w:basedOn w:val="DefaultParagraphFont"/>
    <w:uiPriority w:val="22"/>
    <w:qFormat/>
    <w:rPr>
      <w:b/>
    </w:rPr>
  </w:style>
  <w:style w:type="character" w:customStyle="1" w:styleId="ui-provider">
    <w:name w:val="ui-provider"/>
    <w:basedOn w:val="DefaultParagraphFont"/>
  </w:style>
  <w:style w:type="character" w:customStyle="1" w:styleId="eop">
    <w:name w:val="eop"/>
    <w:basedOn w:val="DefaultParagraphFont"/>
  </w:style>
  <w:style w:type="paragraph" w:customStyle="1" w:styleId="xmsonormal">
    <w:name w:val="x_msonormal"/>
    <w:basedOn w:val="Normal"/>
    <w:uiPriority w:val="99"/>
    <w:pPr>
      <w:autoSpaceDE w:val="0"/>
      <w:autoSpaceDN w:val="0"/>
      <w:adjustRightInd w:val="0"/>
    </w:pPr>
    <w:rPr>
      <w:szCs w:val="24"/>
      <w:lang w:eastAsia="fr-BE"/>
    </w:rPr>
  </w:style>
  <w:style w:type="paragraph" w:customStyle="1" w:styleId="CommentSubject1">
    <w:name w:val="Comment Subject1"/>
    <w:basedOn w:val="CommentText"/>
    <w:next w:val="CommentText"/>
    <w:uiPriority w:val="99"/>
    <w:pPr>
      <w:widowControl w:val="0"/>
      <w:autoSpaceDE w:val="0"/>
      <w:autoSpaceDN w:val="0"/>
      <w:adjustRightInd w:val="0"/>
      <w:spacing w:before="0" w:after="0"/>
      <w:jc w:val="left"/>
    </w:pPr>
    <w:rPr>
      <w:rFonts w:eastAsia="Times New Roman"/>
      <w:b/>
      <w:lang w:eastAsia="fr-BE"/>
    </w:rPr>
  </w:style>
  <w:style w:type="paragraph" w:customStyle="1" w:styleId="HeaderCouncil">
    <w:name w:val="Header Council"/>
    <w:basedOn w:val="Normal"/>
    <w:pPr>
      <w:autoSpaceDE w:val="0"/>
      <w:autoSpaceDN w:val="0"/>
      <w:adjustRightInd w:val="0"/>
    </w:pPr>
    <w:rPr>
      <w:b/>
      <w:sz w:val="2"/>
      <w:szCs w:val="24"/>
      <w:lang w:eastAsia="fr-BE"/>
    </w:rPr>
  </w:style>
  <w:style w:type="character" w:customStyle="1" w:styleId="HeaderCouncilChar">
    <w:name w:val="Header Council Char"/>
    <w:basedOn w:val="DefaultParagraphFont"/>
    <w:rPr>
      <w:b/>
      <w:sz w:val="2"/>
      <w:szCs w:val="24"/>
    </w:rPr>
  </w:style>
  <w:style w:type="paragraph" w:customStyle="1" w:styleId="HeaderCouncilLarge">
    <w:name w:val="Header Council Large"/>
    <w:basedOn w:val="Normal"/>
    <w:pPr>
      <w:autoSpaceDE w:val="0"/>
      <w:autoSpaceDN w:val="0"/>
      <w:adjustRightInd w:val="0"/>
      <w:spacing w:after="440"/>
    </w:pPr>
    <w:rPr>
      <w:b/>
      <w:sz w:val="2"/>
      <w:szCs w:val="24"/>
      <w:lang w:eastAsia="fr-BE"/>
    </w:rPr>
  </w:style>
  <w:style w:type="character" w:customStyle="1" w:styleId="HeaderCouncilLargeChar">
    <w:name w:val="Header Council Large Char"/>
    <w:basedOn w:val="DefaultParagraphFont"/>
    <w:rPr>
      <w:b/>
      <w:sz w:val="2"/>
      <w:szCs w:val="24"/>
    </w:rPr>
  </w:style>
  <w:style w:type="paragraph" w:customStyle="1" w:styleId="FooterCouncil">
    <w:name w:val="Footer Council"/>
    <w:basedOn w:val="Normal"/>
    <w:pPr>
      <w:autoSpaceDE w:val="0"/>
      <w:autoSpaceDN w:val="0"/>
      <w:adjustRightInd w:val="0"/>
    </w:pPr>
    <w:rPr>
      <w:b/>
      <w:sz w:val="2"/>
      <w:szCs w:val="24"/>
      <w:lang w:eastAsia="fr-BE"/>
    </w:rPr>
  </w:style>
  <w:style w:type="character" w:customStyle="1" w:styleId="FooterCouncilChar">
    <w:name w:val="Footer Council Char"/>
    <w:basedOn w:val="DefaultParagraphFont"/>
    <w:rPr>
      <w:b/>
      <w:sz w:val="2"/>
      <w:szCs w:val="24"/>
    </w:rPr>
  </w:style>
  <w:style w:type="character" w:styleId="Emphasis">
    <w:name w:val="Emphasis"/>
    <w:basedOn w:val="DefaultParagraphFont"/>
    <w:uiPriority w:val="20"/>
    <w:qFormat/>
    <w:rPr>
      <w:i/>
    </w:rPr>
  </w:style>
  <w:style w:type="paragraph" w:customStyle="1" w:styleId="SUPERSChar">
    <w:name w:val="SUPERS Char"/>
    <w:aliases w:val="EN Footnote Reference Char"/>
    <w:basedOn w:val="Normal"/>
    <w:uiPriority w:val="99"/>
    <w:pPr>
      <w:autoSpaceDE w:val="0"/>
      <w:autoSpaceDN w:val="0"/>
      <w:adjustRightInd w:val="0"/>
      <w:spacing w:after="160" w:line="240" w:lineRule="exact"/>
    </w:pPr>
    <w:rPr>
      <w:rFonts w:ascii="Calibri" w:hAnsi="Calibri" w:cs="Wingdings"/>
      <w:sz w:val="22"/>
      <w:szCs w:val="22"/>
      <w:vertAlign w:val="superscript"/>
      <w:lang w:eastAsia="fr-BE"/>
    </w:rPr>
  </w:style>
  <w:style w:type="paragraph" w:customStyle="1" w:styleId="ListParagraph10">
    <w:name w:val="List Paragraph1_0"/>
    <w:aliases w:val="List Paragraph_0"/>
    <w:basedOn w:val="Normal"/>
    <w:uiPriority w:val="34"/>
    <w:pPr>
      <w:autoSpaceDE w:val="0"/>
      <w:autoSpaceDN w:val="0"/>
      <w:adjustRightInd w:val="0"/>
      <w:spacing w:before="120" w:after="120"/>
      <w:ind w:left="720"/>
      <w:contextualSpacing/>
      <w:jc w:val="both"/>
    </w:pPr>
    <w:rPr>
      <w:rFonts w:cs="Calibri"/>
      <w:szCs w:val="22"/>
      <w:lang w:eastAsia="fr-BE"/>
    </w:rPr>
  </w:style>
  <w:style w:type="paragraph" w:customStyle="1" w:styleId="Point10">
    <w:name w:val="Point 1_0"/>
    <w:basedOn w:val="Normal"/>
    <w:pPr>
      <w:autoSpaceDE w:val="0"/>
      <w:autoSpaceDN w:val="0"/>
      <w:adjustRightInd w:val="0"/>
      <w:spacing w:before="120" w:after="120"/>
      <w:ind w:left="1417" w:hanging="567"/>
      <w:jc w:val="both"/>
    </w:pPr>
    <w:rPr>
      <w:rFonts w:cs="Calibri"/>
      <w:szCs w:val="22"/>
      <w:lang w:eastAsia="fr-BE"/>
    </w:rPr>
  </w:style>
  <w:style w:type="paragraph" w:customStyle="1" w:styleId="TechnicalBlock">
    <w:name w:val="Technical Block"/>
    <w:basedOn w:val="Normal"/>
    <w:pPr>
      <w:autoSpaceDE w:val="0"/>
      <w:autoSpaceDN w:val="0"/>
      <w:adjustRightInd w:val="0"/>
      <w:spacing w:after="240"/>
      <w:jc w:val="center"/>
    </w:pPr>
    <w:rPr>
      <w:rFonts w:cs="Calibri"/>
      <w:szCs w:val="22"/>
      <w:lang w:eastAsia="fr-BE"/>
    </w:rPr>
  </w:style>
  <w:style w:type="character" w:customStyle="1" w:styleId="TechnicalBlockChar">
    <w:name w:val="Technical Block Char"/>
    <w:basedOn w:val="DefaultParagraphFont"/>
    <w:rPr>
      <w:rFonts w:ascii="Times New Roman" w:hAnsi="Times New Roman" w:cs="Calibri"/>
      <w:sz w:val="24"/>
      <w:lang w:val="sk-SK"/>
    </w:rPr>
  </w:style>
  <w:style w:type="paragraph" w:customStyle="1" w:styleId="Lignefinal">
    <w:name w:val="Ligne final"/>
    <w:basedOn w:val="Normal"/>
    <w:next w:val="Normal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EntText">
    <w:name w:val="EntText"/>
    <w:basedOn w:val="Normal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j">
    <w:name w:val="p.j."/>
    <w:basedOn w:val="Normal"/>
    <w:pPr>
      <w:autoSpaceDE w:val="0"/>
      <w:autoSpaceDN w:val="0"/>
      <w:adjustRightInd w:val="0"/>
      <w:spacing w:before="1200" w:after="120"/>
      <w:ind w:left="1440" w:hanging="1440"/>
    </w:pPr>
    <w:rPr>
      <w:szCs w:val="24"/>
      <w:lang w:eastAsia="fr-BE"/>
    </w:rPr>
  </w:style>
  <w:style w:type="character" w:customStyle="1" w:styleId="pjChar">
    <w:name w:val="p.j. Char"/>
    <w:basedOn w:val="TechnicalBlockChar"/>
    <w:rPr>
      <w:rFonts w:ascii="Times New Roman" w:hAnsi="Times New Roman" w:cs="Calibri"/>
      <w:sz w:val="24"/>
      <w:lang w:val="sk-SK"/>
    </w:rPr>
  </w:style>
  <w:style w:type="paragraph" w:customStyle="1" w:styleId="nbbordered">
    <w:name w:val="nb bordered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after="160"/>
      <w:ind w:left="480" w:hanging="480"/>
    </w:pPr>
    <w:rPr>
      <w:b/>
      <w:szCs w:val="24"/>
      <w:lang w:eastAsia="fr-BE"/>
    </w:rPr>
  </w:style>
  <w:style w:type="character" w:customStyle="1" w:styleId="nbborderedChar">
    <w:name w:val="nb bordered Char"/>
    <w:basedOn w:val="TechnicalBlockChar"/>
    <w:rPr>
      <w:rFonts w:ascii="Times New Roman" w:hAnsi="Times New Roman" w:cs="Calibri"/>
      <w:b/>
      <w:sz w:val="24"/>
      <w:lang w:val="sk-SK"/>
    </w:rPr>
  </w:style>
  <w:style w:type="paragraph" w:customStyle="1" w:styleId="FooterText">
    <w:name w:val="Footer Text"/>
    <w:basedOn w:val="Normal"/>
    <w:pPr>
      <w:autoSpaceDE w:val="0"/>
      <w:autoSpaceDN w:val="0"/>
      <w:adjustRightInd w:val="0"/>
    </w:pPr>
    <w:rPr>
      <w:rFonts w:cs="Calibri"/>
      <w:szCs w:val="24"/>
      <w:lang w:eastAsia="fr-BE"/>
    </w:rPr>
  </w:style>
  <w:style w:type="character" w:styleId="PlaceholderText">
    <w:name w:val="Placeholder Text"/>
    <w:basedOn w:val="DefaultParagraphFont"/>
    <w:uiPriority w:val="99"/>
    <w:rPr>
      <w:color w:val="808080"/>
    </w:rPr>
  </w:style>
  <w:style w:type="paragraph" w:customStyle="1" w:styleId="DeltaViewTableHeading">
    <w:name w:val="DeltaView Table Heading"/>
    <w:basedOn w:val="Normal"/>
    <w:uiPriority w:val="99"/>
    <w:pPr>
      <w:widowControl/>
      <w:autoSpaceDE w:val="0"/>
      <w:autoSpaceDN w:val="0"/>
      <w:adjustRightInd w:val="0"/>
      <w:spacing w:after="120"/>
    </w:pPr>
    <w:rPr>
      <w:rFonts w:ascii="Arial" w:hAnsi="Arial"/>
      <w:b/>
      <w:szCs w:val="24"/>
      <w:lang w:eastAsia="fr-BE"/>
    </w:rPr>
  </w:style>
  <w:style w:type="paragraph" w:customStyle="1" w:styleId="DeltaViewTableBody">
    <w:name w:val="DeltaView Table Body"/>
    <w:basedOn w:val="Normal"/>
    <w:uiPriority w:val="99"/>
    <w:pPr>
      <w:widowControl/>
      <w:autoSpaceDE w:val="0"/>
      <w:autoSpaceDN w:val="0"/>
      <w:adjustRightInd w:val="0"/>
    </w:pPr>
    <w:rPr>
      <w:rFonts w:ascii="Arial" w:hAnsi="Arial"/>
      <w:szCs w:val="24"/>
      <w:lang w:eastAsia="fr-BE"/>
    </w:rPr>
  </w:style>
  <w:style w:type="paragraph" w:customStyle="1" w:styleId="DeltaViewAnnounce">
    <w:name w:val="DeltaView Announce"/>
    <w:uiPriority w:val="99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/>
      <w:sz w:val="24"/>
      <w:szCs w:val="24"/>
      <w:lang w:val="sk-SK" w:eastAsia="fr-BE"/>
    </w:rPr>
  </w:style>
  <w:style w:type="paragraph" w:styleId="BodyText">
    <w:name w:val="Body Text"/>
    <w:basedOn w:val="Normal"/>
    <w:link w:val="BodyTextChar"/>
    <w:uiPriority w:val="99"/>
    <w:pPr>
      <w:widowControl/>
      <w:autoSpaceDE w:val="0"/>
      <w:autoSpaceDN w:val="0"/>
      <w:adjustRightInd w:val="0"/>
    </w:pPr>
    <w:rPr>
      <w:sz w:val="18"/>
      <w:szCs w:val="24"/>
      <w:lang w:eastAsia="fr-BE"/>
    </w:rPr>
  </w:style>
  <w:style w:type="character" w:customStyle="1" w:styleId="BodyTextChar">
    <w:name w:val="Body Text Char"/>
    <w:basedOn w:val="DefaultParagraphFont"/>
    <w:link w:val="BodyText"/>
    <w:uiPriority w:val="99"/>
    <w:rPr>
      <w:sz w:val="18"/>
      <w:szCs w:val="24"/>
      <w:lang w:val="sk-SK" w:eastAsia="fr-BE"/>
    </w:rPr>
  </w:style>
  <w:style w:type="character" w:customStyle="1" w:styleId="DeltaViewInsertion">
    <w:name w:val="DeltaView Insertion"/>
    <w:uiPriority w:val="99"/>
    <w:rPr>
      <w:b/>
      <w:i/>
      <w:color w:val="FF0000"/>
    </w:rPr>
  </w:style>
  <w:style w:type="character" w:customStyle="1" w:styleId="DeltaViewDeletion">
    <w:name w:val="DeltaView Deletion"/>
    <w:uiPriority w:val="99"/>
    <w:rPr>
      <w:strike/>
      <w:color w:val="000000"/>
    </w:rPr>
  </w:style>
  <w:style w:type="character" w:customStyle="1" w:styleId="DeltaViewMoveSource">
    <w:name w:val="DeltaView Move Source"/>
    <w:uiPriority w:val="99"/>
    <w:rPr>
      <w:strike/>
      <w:color w:val="000000"/>
    </w:rPr>
  </w:style>
  <w:style w:type="character" w:customStyle="1" w:styleId="DeltaViewMoveDestination">
    <w:name w:val="DeltaView Move Destination"/>
    <w:uiPriority w:val="99"/>
    <w:rPr>
      <w:color w:val="FF0000"/>
      <w:u w:val="double"/>
    </w:rPr>
  </w:style>
  <w:style w:type="character" w:customStyle="1" w:styleId="DeltaViewChangeNumber">
    <w:name w:val="DeltaView Change Number"/>
    <w:uiPriority w:val="99"/>
    <w:rPr>
      <w:color w:val="000000"/>
      <w:vertAlign w:val="superscript"/>
    </w:rPr>
  </w:style>
  <w:style w:type="character" w:customStyle="1" w:styleId="DeltaViewDelimiter">
    <w:name w:val="DeltaView Delimiter"/>
    <w:uiPriority w:val="99"/>
  </w:style>
  <w:style w:type="paragraph" w:styleId="DocumentMap">
    <w:name w:val="Document Map"/>
    <w:basedOn w:val="Normal"/>
    <w:link w:val="DocumentMapChar"/>
    <w:uiPriority w:val="99"/>
    <w:pPr>
      <w:widowControl/>
      <w:shd w:val="clear" w:color="auto" w:fill="000080"/>
      <w:autoSpaceDE w:val="0"/>
      <w:autoSpaceDN w:val="0"/>
      <w:adjustRightInd w:val="0"/>
    </w:pPr>
    <w:rPr>
      <w:rFonts w:ascii="Tahoma" w:hAnsi="Tahoma"/>
      <w:szCs w:val="24"/>
      <w:lang w:eastAsia="fr-BE"/>
    </w:rPr>
  </w:style>
  <w:style w:type="character" w:customStyle="1" w:styleId="DocumentMapChar">
    <w:name w:val="Document Map Char"/>
    <w:basedOn w:val="DefaultParagraphFont"/>
    <w:link w:val="DocumentMap"/>
    <w:uiPriority w:val="99"/>
    <w:rPr>
      <w:rFonts w:ascii="Tahoma" w:hAnsi="Tahoma"/>
      <w:sz w:val="24"/>
      <w:szCs w:val="24"/>
      <w:shd w:val="clear" w:color="auto" w:fill="000080"/>
      <w:lang w:val="sk-SK" w:eastAsia="fr-BE"/>
    </w:rPr>
  </w:style>
  <w:style w:type="character" w:customStyle="1" w:styleId="DeltaViewFormatChange">
    <w:name w:val="DeltaView Format Change"/>
    <w:uiPriority w:val="99"/>
    <w:rPr>
      <w:color w:val="000000"/>
    </w:rPr>
  </w:style>
  <w:style w:type="character" w:customStyle="1" w:styleId="DeltaViewMovedDeletion">
    <w:name w:val="DeltaView Moved Deletion"/>
    <w:uiPriority w:val="99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Pr>
      <w:color w:val="000000"/>
    </w:rPr>
  </w:style>
  <w:style w:type="character" w:customStyle="1" w:styleId="DeltaViewStyleChangeText">
    <w:name w:val="DeltaView Style Change Text"/>
    <w:uiPriority w:val="99"/>
    <w:rPr>
      <w:color w:val="000000"/>
      <w:u w:val="double"/>
    </w:rPr>
  </w:style>
  <w:style w:type="character" w:customStyle="1" w:styleId="DeltaViewStyleChangeLabel">
    <w:name w:val="DeltaView Style Change Label"/>
    <w:uiPriority w:val="99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Pr>
      <w:color w:val="000000"/>
    </w:rPr>
  </w:style>
  <w:style w:type="paragraph" w:styleId="EndnoteText">
    <w:name w:val="endnote text"/>
    <w:basedOn w:val="Normal"/>
    <w:link w:val="EndnoteTextChar"/>
    <w:uiPriority w:val="99"/>
    <w:unhideWhenUsed/>
    <w:pPr>
      <w:autoSpaceDE w:val="0"/>
      <w:autoSpaceDN w:val="0"/>
      <w:adjustRightInd w:val="0"/>
    </w:pPr>
    <w:rPr>
      <w:sz w:val="20"/>
      <w:lang w:eastAsia="fr-BE"/>
    </w:rPr>
  </w:style>
  <w:style w:type="character" w:customStyle="1" w:styleId="EndnoteTextChar">
    <w:name w:val="Endnote Text Char"/>
    <w:basedOn w:val="DefaultParagraphFont"/>
    <w:link w:val="EndnoteText"/>
    <w:uiPriority w:val="99"/>
    <w:rPr>
      <w:lang w:val="sk-SK" w:eastAsia="fr-BE"/>
    </w:rPr>
  </w:style>
  <w:style w:type="character" w:styleId="EndnoteReference">
    <w:name w:val="endnote reference"/>
    <w:basedOn w:val="DefaultParagraphFont"/>
    <w:uiPriority w:val="99"/>
    <w:unhideWhenUsed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BoldItalic">
    <w:name w:val="BoldItalic"/>
    <w:basedOn w:val="DefaultParagraphFont"/>
    <w:uiPriority w:val="1"/>
    <w:qFormat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cf01">
    <w:name w:val="cf01"/>
    <w:basedOn w:val="DefaultParagraphFont"/>
    <w:rPr>
      <w:rFonts w:ascii="Segoe UI" w:hAnsi="Segoe UI" w:cs="Segoe UI" w:hint="default"/>
      <w:sz w:val="18"/>
      <w:szCs w:val="18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CommentSubjectChar1">
    <w:name w:val="Comment Subject Char1"/>
    <w:basedOn w:val="CommentTextChar"/>
    <w:rPr>
      <w:rFonts w:ascii="Calibri" w:eastAsiaTheme="minorHAnsi" w:hAnsi="Calibri" w:cs="Arial"/>
      <w:b/>
      <w:bCs/>
      <w:lang w:val="sk-SK"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53B7D2-2DE6-4147-89E9-2E894F74D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3</cp:revision>
  <cp:lastPrinted>2004-11-19T15:42:00Z</cp:lastPrinted>
  <dcterms:created xsi:type="dcterms:W3CDTF">2024-04-26T16:26:00Z</dcterms:created>
  <dcterms:modified xsi:type="dcterms:W3CDTF">2024-09-09T12:42:00Z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A9-0029/2023</vt:lpwstr>
  </property>
  <property fmtid="{D5CDD505-2E9C-101B-9397-08002B2CF9AE}" pid="4" name="&lt;Type&gt;">
    <vt:lpwstr>RR</vt:lpwstr>
  </property>
</Properties>
</file>