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1D4C" w14:paraId="0D911F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E3C14" w14:textId="77777777" w:rsidR="00751A4A" w:rsidRPr="00C81D4C" w:rsidRDefault="002B4481" w:rsidP="0010095E">
            <w:pPr>
              <w:pStyle w:val="EPName"/>
            </w:pPr>
            <w:r w:rsidRPr="00C81D4C">
              <w:t>Parlement européen</w:t>
            </w:r>
          </w:p>
          <w:p w14:paraId="1553A2EF" w14:textId="77777777" w:rsidR="00751A4A" w:rsidRPr="00C81D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2F55">
              <w:t>2019</w:t>
            </w:r>
            <w:r w:rsidRPr="00C81D4C">
              <w:t>-</w:t>
            </w:r>
            <w:r w:rsidRPr="00AB2F55">
              <w:t>2024</w:t>
            </w:r>
          </w:p>
        </w:tc>
        <w:tc>
          <w:tcPr>
            <w:tcW w:w="2268" w:type="dxa"/>
            <w:shd w:val="clear" w:color="auto" w:fill="auto"/>
          </w:tcPr>
          <w:p w14:paraId="449E723B" w14:textId="77777777" w:rsidR="00751A4A" w:rsidRPr="00C81D4C" w:rsidRDefault="00187494" w:rsidP="0010095E">
            <w:pPr>
              <w:pStyle w:val="EPLogo"/>
            </w:pPr>
            <w:r w:rsidRPr="00C81D4C">
              <w:rPr>
                <w:noProof/>
                <w:lang w:val="en-GB"/>
              </w:rPr>
              <w:drawing>
                <wp:inline distT="0" distB="0" distL="0" distR="0" wp14:anchorId="16E7E33F" wp14:editId="5905B6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687740" w14:textId="77777777" w:rsidR="00D058B8" w:rsidRPr="00C81D4C" w:rsidRDefault="00D058B8" w:rsidP="004C5D52">
      <w:pPr>
        <w:pStyle w:val="LineTop"/>
      </w:pPr>
    </w:p>
    <w:p w14:paraId="29B3910B" w14:textId="77777777" w:rsidR="00680577" w:rsidRPr="00C81D4C" w:rsidRDefault="002B4481" w:rsidP="00680577">
      <w:pPr>
        <w:pStyle w:val="EPBodyTA1"/>
      </w:pPr>
      <w:r w:rsidRPr="00C81D4C">
        <w:t>TEXTES ADOPTÉS</w:t>
      </w:r>
    </w:p>
    <w:p w14:paraId="68D00EB6" w14:textId="77777777" w:rsidR="00D058B8" w:rsidRPr="00C81D4C" w:rsidRDefault="00D058B8" w:rsidP="00D058B8">
      <w:pPr>
        <w:pStyle w:val="LineBottom"/>
      </w:pPr>
    </w:p>
    <w:p w14:paraId="10D15368" w14:textId="609C5A95" w:rsidR="002B4481" w:rsidRPr="00C81D4C" w:rsidRDefault="002B4481" w:rsidP="002B4481">
      <w:pPr>
        <w:pStyle w:val="ATHeading1"/>
      </w:pPr>
      <w:bookmarkStart w:id="0" w:name="TANumber"/>
      <w:r w:rsidRPr="00C81D4C">
        <w:t>P</w:t>
      </w:r>
      <w:r w:rsidRPr="00AB2F55">
        <w:t>9</w:t>
      </w:r>
      <w:r w:rsidRPr="00C81D4C">
        <w:t>_</w:t>
      </w:r>
      <w:proofErr w:type="gramStart"/>
      <w:r w:rsidRPr="00C81D4C">
        <w:t>TA(</w:t>
      </w:r>
      <w:proofErr w:type="gramEnd"/>
      <w:r w:rsidRPr="00AB2F55">
        <w:t>2024</w:t>
      </w:r>
      <w:r w:rsidRPr="00C81D4C">
        <w:t>)</w:t>
      </w:r>
      <w:r w:rsidRPr="00AB2F55">
        <w:t>0</w:t>
      </w:r>
      <w:bookmarkEnd w:id="0"/>
      <w:r w:rsidR="003A5D6C" w:rsidRPr="00AB2F55">
        <w:t>364</w:t>
      </w:r>
    </w:p>
    <w:p w14:paraId="497976DA" w14:textId="7C58E88B" w:rsidR="002B4481" w:rsidRPr="00C81D4C" w:rsidRDefault="00763A7D" w:rsidP="002B4481">
      <w:pPr>
        <w:pStyle w:val="ATHeading2"/>
      </w:pPr>
      <w:r w:rsidRPr="00763A7D">
        <w:t>Sixième directive anti-blanchiment</w:t>
      </w:r>
    </w:p>
    <w:p w14:paraId="53D15A44" w14:textId="77777777" w:rsidR="002B4481" w:rsidRPr="00C81D4C" w:rsidRDefault="002B4481" w:rsidP="002B4481">
      <w:pPr>
        <w:rPr>
          <w:i/>
          <w:vanish/>
        </w:rPr>
      </w:pPr>
      <w:r w:rsidRPr="00C81D4C">
        <w:rPr>
          <w:i/>
        </w:rPr>
        <w:fldChar w:fldCharType="begin"/>
      </w:r>
      <w:r w:rsidRPr="00C81D4C">
        <w:rPr>
          <w:i/>
        </w:rPr>
        <w:instrText xml:space="preserve"> TC"(</w:instrText>
      </w:r>
      <w:bookmarkStart w:id="1" w:name="DocNumber"/>
      <w:r w:rsidRPr="00C81D4C">
        <w:rPr>
          <w:i/>
        </w:rPr>
        <w:instrText>A</w:instrText>
      </w:r>
      <w:r w:rsidRPr="00AB2F55">
        <w:rPr>
          <w:i/>
        </w:rPr>
        <w:instrText>9</w:instrText>
      </w:r>
      <w:r w:rsidRPr="00C81D4C">
        <w:rPr>
          <w:i/>
        </w:rPr>
        <w:instrText>-</w:instrText>
      </w:r>
      <w:r w:rsidRPr="00AB2F55">
        <w:rPr>
          <w:i/>
        </w:rPr>
        <w:instrText>0150</w:instrText>
      </w:r>
      <w:r w:rsidRPr="00C81D4C">
        <w:rPr>
          <w:i/>
        </w:rPr>
        <w:instrText>/</w:instrText>
      </w:r>
      <w:r w:rsidRPr="00AB2F55">
        <w:rPr>
          <w:i/>
        </w:rPr>
        <w:instrText>2023</w:instrText>
      </w:r>
      <w:bookmarkEnd w:id="1"/>
      <w:r w:rsidRPr="00C81D4C">
        <w:rPr>
          <w:i/>
        </w:rPr>
        <w:instrText xml:space="preserve"> - Rapporteurs: </w:instrText>
      </w:r>
      <w:proofErr w:type="spellStart"/>
      <w:r w:rsidRPr="00C81D4C">
        <w:rPr>
          <w:i/>
        </w:rPr>
        <w:instrText>Luděk</w:instrText>
      </w:r>
      <w:proofErr w:type="spellEnd"/>
      <w:r w:rsidRPr="00C81D4C">
        <w:rPr>
          <w:i/>
        </w:rPr>
        <w:instrText xml:space="preserve"> Niedermayer, Paul Tang)"\l</w:instrText>
      </w:r>
      <w:r w:rsidRPr="00AB2F55">
        <w:rPr>
          <w:i/>
        </w:rPr>
        <w:instrText>3</w:instrText>
      </w:r>
      <w:r w:rsidRPr="00C81D4C">
        <w:rPr>
          <w:i/>
        </w:rPr>
        <w:instrText xml:space="preserve"> \n&gt; \* MERGEFORMAT </w:instrText>
      </w:r>
      <w:r w:rsidRPr="00C81D4C">
        <w:rPr>
          <w:i/>
        </w:rPr>
        <w:fldChar w:fldCharType="end"/>
      </w:r>
    </w:p>
    <w:p w14:paraId="2180D113" w14:textId="77777777" w:rsidR="002B4481" w:rsidRPr="00C81D4C" w:rsidRDefault="002B4481" w:rsidP="002B4481">
      <w:pPr>
        <w:rPr>
          <w:vanish/>
        </w:rPr>
      </w:pPr>
      <w:bookmarkStart w:id="2" w:name="Commission"/>
      <w:r w:rsidRPr="00C81D4C">
        <w:rPr>
          <w:vanish/>
        </w:rPr>
        <w:t>Commission des affaires économiques et monétaires</w:t>
      </w:r>
      <w:bookmarkEnd w:id="2"/>
      <w:r w:rsidR="00A842CA">
        <w:rPr>
          <w:vanish/>
        </w:rPr>
        <w:t xml:space="preserve"> et </w:t>
      </w:r>
      <w:r w:rsidR="00A842CA" w:rsidRPr="00A842CA">
        <w:rPr>
          <w:vanish/>
        </w:rPr>
        <w:t>Commission des libertés civiles, de la justice et des affaires intérieures</w:t>
      </w:r>
    </w:p>
    <w:p w14:paraId="65E18EBB" w14:textId="77777777" w:rsidR="002B4481" w:rsidRPr="00C81D4C" w:rsidRDefault="002B4481" w:rsidP="002B4481">
      <w:pPr>
        <w:rPr>
          <w:vanish/>
        </w:rPr>
      </w:pPr>
      <w:bookmarkStart w:id="3" w:name="PE"/>
      <w:r w:rsidRPr="00C81D4C">
        <w:rPr>
          <w:vanish/>
        </w:rPr>
        <w:t>PE</w:t>
      </w:r>
      <w:r w:rsidRPr="00AB2F55">
        <w:rPr>
          <w:vanish/>
        </w:rPr>
        <w:t>730</w:t>
      </w:r>
      <w:r w:rsidRPr="00C81D4C">
        <w:rPr>
          <w:vanish/>
        </w:rPr>
        <w:t>.</w:t>
      </w:r>
      <w:r w:rsidRPr="00AB2F55">
        <w:rPr>
          <w:vanish/>
        </w:rPr>
        <w:t>070</w:t>
      </w:r>
      <w:bookmarkEnd w:id="3"/>
    </w:p>
    <w:p w14:paraId="192D8B0E" w14:textId="77777777" w:rsidR="002B4481" w:rsidRPr="00C81D4C" w:rsidRDefault="002B4481" w:rsidP="002B4481">
      <w:pPr>
        <w:pStyle w:val="ATHeading3"/>
      </w:pPr>
      <w:bookmarkStart w:id="4" w:name="Sujet"/>
      <w:r w:rsidRPr="00C81D4C">
        <w:t xml:space="preserve">Résolution législative du Parlement européen du </w:t>
      </w:r>
      <w:r w:rsidRPr="00AB2F55">
        <w:t>24</w:t>
      </w:r>
      <w:r w:rsidRPr="00C81D4C">
        <w:t xml:space="preserve"> avril </w:t>
      </w:r>
      <w:r w:rsidRPr="00AB2F55">
        <w:t>2024</w:t>
      </w:r>
      <w:r w:rsidRPr="00C81D4C">
        <w:t xml:space="preserve"> sur la proposition de directive du Parlement européen et du Conseil relative aux mécanismes à mettre en place par les États membres pour prévenir l’utilisation du système financier aux fins du blanchiment de capitaux ou du financement du terrorisme et abrogeant la directive (UE) </w:t>
      </w:r>
      <w:r w:rsidRPr="00AB2F55">
        <w:t>2015</w:t>
      </w:r>
      <w:r w:rsidRPr="00C81D4C">
        <w:t>/</w:t>
      </w:r>
      <w:r w:rsidRPr="00AB2F55">
        <w:t>849</w:t>
      </w:r>
      <w:bookmarkEnd w:id="4"/>
      <w:r w:rsidRPr="00C81D4C">
        <w:t xml:space="preserve"> </w:t>
      </w:r>
      <w:bookmarkStart w:id="5" w:name="References"/>
      <w:r w:rsidRPr="00C81D4C">
        <w:t>(</w:t>
      </w:r>
      <w:proofErr w:type="gramStart"/>
      <w:r w:rsidRPr="00C81D4C">
        <w:t>COM(</w:t>
      </w:r>
      <w:proofErr w:type="gramEnd"/>
      <w:r w:rsidRPr="00AB2F55">
        <w:t>2021</w:t>
      </w:r>
      <w:r w:rsidRPr="00C81D4C">
        <w:t>)</w:t>
      </w:r>
      <w:r w:rsidRPr="00AB2F55">
        <w:t>0423</w:t>
      </w:r>
      <w:r w:rsidRPr="00C81D4C">
        <w:t xml:space="preserve"> – C</w:t>
      </w:r>
      <w:r w:rsidRPr="00AB2F55">
        <w:t>9</w:t>
      </w:r>
      <w:r w:rsidRPr="00C81D4C">
        <w:t>-</w:t>
      </w:r>
      <w:r w:rsidRPr="00AB2F55">
        <w:t>0342</w:t>
      </w:r>
      <w:r w:rsidRPr="00C81D4C">
        <w:t>/</w:t>
      </w:r>
      <w:r w:rsidRPr="00AB2F55">
        <w:t>2021</w:t>
      </w:r>
      <w:r w:rsidRPr="00C81D4C">
        <w:t xml:space="preserve"> – </w:t>
      </w:r>
      <w:r w:rsidRPr="00AB2F55">
        <w:t>2021</w:t>
      </w:r>
      <w:r w:rsidRPr="00C81D4C">
        <w:t>/</w:t>
      </w:r>
      <w:r w:rsidRPr="00AB2F55">
        <w:t>0250</w:t>
      </w:r>
      <w:r w:rsidRPr="00C81D4C">
        <w:t>(COD))</w:t>
      </w:r>
      <w:bookmarkEnd w:id="5"/>
    </w:p>
    <w:p w14:paraId="3D50AC49" w14:textId="77777777" w:rsidR="000475C5" w:rsidRPr="00C81D4C" w:rsidRDefault="000475C5" w:rsidP="000475C5">
      <w:pPr>
        <w:pStyle w:val="NormalBold"/>
      </w:pPr>
      <w:bookmarkStart w:id="6" w:name="TextBodyBegin"/>
      <w:bookmarkEnd w:id="6"/>
      <w:r w:rsidRPr="00C81D4C">
        <w:t>(Procédure législative ordinaire: première lecture)</w:t>
      </w:r>
    </w:p>
    <w:p w14:paraId="5AEE320E" w14:textId="77777777" w:rsidR="000475C5" w:rsidRPr="00C81D4C" w:rsidRDefault="000475C5" w:rsidP="000475C5">
      <w:pPr>
        <w:pStyle w:val="EPComma"/>
      </w:pPr>
      <w:r w:rsidRPr="00C81D4C">
        <w:rPr>
          <w:i/>
          <w:iCs/>
        </w:rPr>
        <w:t>Le Parlement européen</w:t>
      </w:r>
      <w:r w:rsidRPr="00C81D4C">
        <w:t>,</w:t>
      </w:r>
    </w:p>
    <w:p w14:paraId="7F032324" w14:textId="77777777" w:rsidR="000475C5" w:rsidRPr="00C81D4C" w:rsidRDefault="000475C5" w:rsidP="000475C5">
      <w:pPr>
        <w:pStyle w:val="NormalHanging12a"/>
      </w:pPr>
      <w:r w:rsidRPr="00C81D4C">
        <w:t>–</w:t>
      </w:r>
      <w:r w:rsidRPr="00C81D4C">
        <w:tab/>
        <w:t>vu la proposition de la Commission au Parlement européen et au Conseil (</w:t>
      </w:r>
      <w:proofErr w:type="gramStart"/>
      <w:r w:rsidRPr="00C81D4C">
        <w:t>COM(</w:t>
      </w:r>
      <w:proofErr w:type="gramEnd"/>
      <w:r w:rsidRPr="00AB2F55">
        <w:t>2021</w:t>
      </w:r>
      <w:r w:rsidRPr="00C81D4C">
        <w:t>)</w:t>
      </w:r>
      <w:r w:rsidRPr="00AB2F55">
        <w:t>0423</w:t>
      </w:r>
      <w:r w:rsidRPr="00C81D4C">
        <w:t>),</w:t>
      </w:r>
    </w:p>
    <w:p w14:paraId="36681709" w14:textId="77777777" w:rsidR="000475C5" w:rsidRPr="00C81D4C" w:rsidRDefault="000475C5" w:rsidP="000475C5">
      <w:pPr>
        <w:pStyle w:val="NormalHanging12a"/>
      </w:pPr>
      <w:r w:rsidRPr="00C81D4C">
        <w:t>–</w:t>
      </w:r>
      <w:r w:rsidRPr="00C81D4C">
        <w:tab/>
        <w:t>vu l’article </w:t>
      </w:r>
      <w:r w:rsidRPr="00AB2F55">
        <w:t>294</w:t>
      </w:r>
      <w:r w:rsidRPr="00C81D4C">
        <w:t>, paragraphe </w:t>
      </w:r>
      <w:r w:rsidRPr="00AB2F55">
        <w:t>2</w:t>
      </w:r>
      <w:r w:rsidRPr="00C81D4C">
        <w:t>, et l’article </w:t>
      </w:r>
      <w:r w:rsidRPr="00AB2F55">
        <w:t>114</w:t>
      </w:r>
      <w:r w:rsidRPr="00C81D4C">
        <w:t xml:space="preserve"> du traité sur le fonctionnement de l’Union européenne, conformément auxquels la proposition lui a été présentée par la Commission (C</w:t>
      </w:r>
      <w:r w:rsidRPr="00AB2F55">
        <w:t>9</w:t>
      </w:r>
      <w:r w:rsidRPr="00C81D4C">
        <w:noBreakHyphen/>
      </w:r>
      <w:r w:rsidRPr="00AB2F55">
        <w:t>0342</w:t>
      </w:r>
      <w:r w:rsidRPr="00C81D4C">
        <w:t>/</w:t>
      </w:r>
      <w:r w:rsidRPr="00AB2F55">
        <w:t>2021</w:t>
      </w:r>
      <w:r w:rsidRPr="00C81D4C">
        <w:t>),</w:t>
      </w:r>
    </w:p>
    <w:p w14:paraId="524890F4" w14:textId="77777777" w:rsidR="000475C5" w:rsidRPr="00C81D4C" w:rsidRDefault="000475C5" w:rsidP="000475C5">
      <w:pPr>
        <w:pStyle w:val="NormalHanging12a"/>
      </w:pPr>
      <w:r w:rsidRPr="00C81D4C">
        <w:t>–</w:t>
      </w:r>
      <w:r w:rsidRPr="00C81D4C">
        <w:tab/>
        <w:t>vu l’article </w:t>
      </w:r>
      <w:r w:rsidRPr="00AB2F55">
        <w:t>294</w:t>
      </w:r>
      <w:r w:rsidRPr="00C81D4C">
        <w:t>, paragraphe </w:t>
      </w:r>
      <w:r w:rsidRPr="00AB2F55">
        <w:t>3</w:t>
      </w:r>
      <w:r w:rsidRPr="00C81D4C">
        <w:t>, du traité sur le fonctionnement de l’Union européenne,</w:t>
      </w:r>
    </w:p>
    <w:p w14:paraId="44EDD4EE" w14:textId="77777777" w:rsidR="000475C5" w:rsidRPr="00C81D4C" w:rsidRDefault="000475C5" w:rsidP="000475C5">
      <w:pPr>
        <w:pStyle w:val="NormalHanging12a"/>
        <w:rPr>
          <w:b/>
        </w:rPr>
      </w:pPr>
      <w:r w:rsidRPr="00C81D4C">
        <w:t>–</w:t>
      </w:r>
      <w:r w:rsidRPr="00C81D4C">
        <w:tab/>
        <w:t xml:space="preserve">vu l’avis de la Banque centrale européenne du </w:t>
      </w:r>
      <w:r w:rsidRPr="00AB2F55">
        <w:t>16</w:t>
      </w:r>
      <w:r w:rsidRPr="00C81D4C">
        <w:t> février </w:t>
      </w:r>
      <w:r w:rsidRPr="00AB2F55">
        <w:t>2022</w:t>
      </w:r>
      <w:r w:rsidRPr="00C81D4C">
        <w:rPr>
          <w:rStyle w:val="FootnoteReference"/>
        </w:rPr>
        <w:footnoteReference w:id="1"/>
      </w:r>
      <w:r w:rsidRPr="00C81D4C">
        <w:t>,</w:t>
      </w:r>
    </w:p>
    <w:p w14:paraId="730E84B3" w14:textId="77777777" w:rsidR="000475C5" w:rsidRDefault="000475C5" w:rsidP="000475C5">
      <w:pPr>
        <w:pStyle w:val="NormalHanging12a"/>
      </w:pPr>
      <w:r w:rsidRPr="00C81D4C">
        <w:t>–</w:t>
      </w:r>
      <w:r w:rsidRPr="00C81D4C">
        <w:tab/>
        <w:t xml:space="preserve">vu l’avis du Comité économique et social européen du </w:t>
      </w:r>
      <w:r w:rsidRPr="00AB2F55">
        <w:t>8</w:t>
      </w:r>
      <w:r w:rsidRPr="00C81D4C">
        <w:t> décembre </w:t>
      </w:r>
      <w:r w:rsidRPr="00AB2F55">
        <w:t>2021</w:t>
      </w:r>
      <w:r w:rsidRPr="00C81D4C">
        <w:rPr>
          <w:rStyle w:val="FootnoteReference"/>
        </w:rPr>
        <w:footnoteReference w:id="2"/>
      </w:r>
      <w:r w:rsidRPr="00C81D4C">
        <w:t>,</w:t>
      </w:r>
    </w:p>
    <w:p w14:paraId="0F05C9DB" w14:textId="77777777" w:rsidR="00A842CA" w:rsidRPr="00FC1030" w:rsidRDefault="00A842CA" w:rsidP="00A842CA">
      <w:pPr>
        <w:spacing w:after="240"/>
        <w:ind w:left="567" w:hanging="567"/>
      </w:pPr>
      <w:r w:rsidRPr="00FC1030">
        <w:t>–</w:t>
      </w:r>
      <w:r w:rsidRPr="00FC1030">
        <w:tab/>
        <w:t>vu l’accord provisoire approuvé en vertu de l’article </w:t>
      </w:r>
      <w:r w:rsidRPr="00AB2F55">
        <w:t>74</w:t>
      </w:r>
      <w:r w:rsidRPr="00FC1030">
        <w:t>, paragraphe </w:t>
      </w:r>
      <w:r w:rsidRPr="00AB2F55">
        <w:t>4</w:t>
      </w:r>
      <w:r w:rsidRPr="00FC1030">
        <w:t>, d</w:t>
      </w:r>
      <w:r>
        <w:t>e son règlement intérieur par les</w:t>
      </w:r>
      <w:r w:rsidRPr="00FC1030">
        <w:t xml:space="preserve"> commission</w:t>
      </w:r>
      <w:r>
        <w:t>s</w:t>
      </w:r>
      <w:r w:rsidRPr="00FC1030">
        <w:t xml:space="preserve"> compétente</w:t>
      </w:r>
      <w:r>
        <w:t>s</w:t>
      </w:r>
      <w:r w:rsidRPr="00FC1030">
        <w:t xml:space="preserve"> et l’engagement pris par le représentant du Conseil, par lettre du </w:t>
      </w:r>
      <w:r w:rsidRPr="00AB2F55">
        <w:t>14</w:t>
      </w:r>
      <w:r>
        <w:t xml:space="preserve"> février </w:t>
      </w:r>
      <w:r w:rsidRPr="00AB2F55">
        <w:t>2024</w:t>
      </w:r>
      <w:r w:rsidRPr="00FC1030">
        <w:t>, d’approuver la position du Parlement européen, conformément à l’article </w:t>
      </w:r>
      <w:r w:rsidRPr="00AB2F55">
        <w:t>294</w:t>
      </w:r>
      <w:r w:rsidRPr="00FC1030">
        <w:t>, paragraphe </w:t>
      </w:r>
      <w:r w:rsidRPr="00AB2F55">
        <w:t>4</w:t>
      </w:r>
      <w:r w:rsidRPr="00FC1030">
        <w:t>, du traité sur le fonctionnement de l’Union européenne,</w:t>
      </w:r>
    </w:p>
    <w:p w14:paraId="6C1D8FBA" w14:textId="77777777" w:rsidR="00A842CA" w:rsidRPr="00C81D4C" w:rsidRDefault="00A842CA" w:rsidP="00A842CA">
      <w:pPr>
        <w:pStyle w:val="NormalHanging12a"/>
      </w:pPr>
      <w:r w:rsidRPr="00C81D4C">
        <w:t>–</w:t>
      </w:r>
      <w:r w:rsidRPr="00C81D4C">
        <w:tab/>
        <w:t>vu l’article </w:t>
      </w:r>
      <w:r w:rsidRPr="00AB2F55">
        <w:t>59</w:t>
      </w:r>
      <w:r w:rsidRPr="00C81D4C">
        <w:t xml:space="preserve"> de son règlement intérieur,</w:t>
      </w:r>
    </w:p>
    <w:p w14:paraId="451FC31D" w14:textId="10EED722" w:rsidR="000475C5" w:rsidRPr="00C81D4C" w:rsidRDefault="000475C5" w:rsidP="000475C5">
      <w:pPr>
        <w:pStyle w:val="NormalHanging12a"/>
      </w:pPr>
      <w:r w:rsidRPr="00C81D4C">
        <w:t>–</w:t>
      </w:r>
      <w:r w:rsidRPr="00C81D4C">
        <w:tab/>
        <w:t xml:space="preserve">vu les délibérations conjointes de la commission des affaires économiques et monétaires et de la commission des libertés civiles, de la justice et des affaires intérieures conformément à </w:t>
      </w:r>
      <w:r w:rsidRPr="00C81D4C">
        <w:lastRenderedPageBreak/>
        <w:t>l’article </w:t>
      </w:r>
      <w:r w:rsidRPr="00AB2F55">
        <w:t>58</w:t>
      </w:r>
      <w:r w:rsidRPr="00C81D4C">
        <w:t xml:space="preserve"> d</w:t>
      </w:r>
      <w:r w:rsidR="00F94660">
        <w:t>u</w:t>
      </w:r>
      <w:r w:rsidRPr="00C81D4C">
        <w:t xml:space="preserve"> règlement intérieur,</w:t>
      </w:r>
    </w:p>
    <w:p w14:paraId="6E8D02C7" w14:textId="77777777" w:rsidR="000475C5" w:rsidRPr="00C81D4C" w:rsidRDefault="000475C5" w:rsidP="000475C5">
      <w:pPr>
        <w:pStyle w:val="NormalHanging12a"/>
      </w:pPr>
      <w:r w:rsidRPr="00C81D4C">
        <w:t>–</w:t>
      </w:r>
      <w:r w:rsidRPr="00C81D4C">
        <w:tab/>
        <w:t>vu le rapport de la commission des affaires économiques et monétaires et de la commission des libertés civiles, de la justice et des affaires intérieures (A</w:t>
      </w:r>
      <w:r w:rsidRPr="00AB2F55">
        <w:t>9</w:t>
      </w:r>
      <w:r w:rsidRPr="00C81D4C">
        <w:t>-</w:t>
      </w:r>
      <w:r w:rsidRPr="00AB2F55">
        <w:t>0150</w:t>
      </w:r>
      <w:r w:rsidRPr="00C81D4C">
        <w:t>/</w:t>
      </w:r>
      <w:r w:rsidRPr="00AB2F55">
        <w:t>2023</w:t>
      </w:r>
      <w:r w:rsidRPr="00C81D4C">
        <w:t>),</w:t>
      </w:r>
    </w:p>
    <w:p w14:paraId="32B084EE" w14:textId="77777777" w:rsidR="000475C5" w:rsidRPr="00C81D4C" w:rsidRDefault="000475C5" w:rsidP="000475C5">
      <w:pPr>
        <w:pStyle w:val="NormalHanging12a"/>
      </w:pPr>
      <w:r w:rsidRPr="00AB2F55">
        <w:t>1</w:t>
      </w:r>
      <w:r w:rsidRPr="00C81D4C">
        <w:t>.</w:t>
      </w:r>
      <w:r w:rsidRPr="00C81D4C">
        <w:tab/>
        <w:t>arrête la position en première lecture figurant ci-après;</w:t>
      </w:r>
    </w:p>
    <w:p w14:paraId="38E86305" w14:textId="77777777" w:rsidR="000475C5" w:rsidRPr="00C81D4C" w:rsidRDefault="000475C5" w:rsidP="000475C5">
      <w:pPr>
        <w:pStyle w:val="NormalHanging12a"/>
      </w:pPr>
      <w:r w:rsidRPr="00AB2F55">
        <w:t>2</w:t>
      </w:r>
      <w:r w:rsidRPr="00C81D4C">
        <w:t>.</w:t>
      </w:r>
      <w:r w:rsidRPr="00C81D4C">
        <w:tab/>
        <w:t>demande à la Commission de le saisir à nouveau, si elle remplace, modifie de manière substantielle ou entend modifier de manière substantielle sa proposition;</w:t>
      </w:r>
    </w:p>
    <w:p w14:paraId="462B985F" w14:textId="77777777" w:rsidR="000475C5" w:rsidRPr="00C81D4C" w:rsidRDefault="000475C5" w:rsidP="000475C5">
      <w:pPr>
        <w:pStyle w:val="NormalHanging12a"/>
      </w:pPr>
      <w:r w:rsidRPr="00AB2F55">
        <w:t>3</w:t>
      </w:r>
      <w:r w:rsidRPr="00C81D4C">
        <w:t>.</w:t>
      </w:r>
      <w:r w:rsidRPr="00C81D4C">
        <w:tab/>
        <w:t>charge sa Présidente de transmettre la position du Parlement au Conseil et à la Commission ainsi qu’aux parlements nationaux.</w:t>
      </w:r>
    </w:p>
    <w:p w14:paraId="6A47239C" w14:textId="77777777" w:rsidR="006F2D3B" w:rsidRDefault="006F2D3B">
      <w:pPr>
        <w:widowControl/>
        <w:sectPr w:rsidR="006F2D3B" w:rsidSect="00763A7D">
          <w:headerReference w:type="default" r:id="rId9"/>
          <w:footerReference w:type="even" r:id="rId10"/>
          <w:headerReference w:type="first" r:id="rId11"/>
          <w:footerReference w:type="first" r:id="rId12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</w:p>
    <w:p w14:paraId="52F1828D" w14:textId="04F3740D" w:rsidR="006E0B9F" w:rsidRPr="00C617B0" w:rsidRDefault="006E0B9F" w:rsidP="006E0B9F">
      <w:pPr>
        <w:spacing w:after="240"/>
        <w:rPr>
          <w:b/>
        </w:rPr>
      </w:pPr>
      <w:r>
        <w:rPr>
          <w:b/>
        </w:rPr>
        <w:lastRenderedPageBreak/>
        <w:t>P</w:t>
      </w:r>
      <w:r w:rsidRPr="00AB2F55">
        <w:rPr>
          <w:b/>
        </w:rPr>
        <w:t>9</w:t>
      </w:r>
      <w:r w:rsidRPr="00C617B0">
        <w:rPr>
          <w:b/>
        </w:rPr>
        <w:t>_TC</w:t>
      </w:r>
      <w:r w:rsidRPr="00AB2F55">
        <w:rPr>
          <w:b/>
        </w:rPr>
        <w:t>1</w:t>
      </w:r>
      <w:r w:rsidRPr="00C617B0">
        <w:rPr>
          <w:b/>
        </w:rPr>
        <w:t>-</w:t>
      </w:r>
      <w:proofErr w:type="gramStart"/>
      <w:r w:rsidRPr="00C617B0">
        <w:rPr>
          <w:b/>
        </w:rPr>
        <w:t>COD(</w:t>
      </w:r>
      <w:proofErr w:type="gramEnd"/>
      <w:r w:rsidR="00763A7D" w:rsidRPr="00AB2F55">
        <w:rPr>
          <w:b/>
        </w:rPr>
        <w:t>2021</w:t>
      </w:r>
      <w:r w:rsidRPr="00C617B0">
        <w:rPr>
          <w:b/>
        </w:rPr>
        <w:t>)</w:t>
      </w:r>
      <w:r w:rsidR="00763A7D" w:rsidRPr="00AB2F55">
        <w:rPr>
          <w:b/>
        </w:rPr>
        <w:t>0250</w:t>
      </w:r>
    </w:p>
    <w:p w14:paraId="6697AB2C" w14:textId="74976BA6" w:rsidR="00763A7D" w:rsidRDefault="006E0B9F" w:rsidP="00763A7D">
      <w:pPr>
        <w:spacing w:after="240"/>
        <w:rPr>
          <w:rFonts w:eastAsia="Calibri"/>
          <w:b/>
          <w:szCs w:val="24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 w:rsidR="00763A7D" w:rsidRPr="00AB2F55">
        <w:rPr>
          <w:b/>
        </w:rPr>
        <w:t>24</w:t>
      </w:r>
      <w:r w:rsidR="00763A7D">
        <w:rPr>
          <w:b/>
        </w:rPr>
        <w:t xml:space="preserve"> avril </w:t>
      </w:r>
      <w:r w:rsidR="00763A7D" w:rsidRPr="00AB2F55">
        <w:rPr>
          <w:b/>
        </w:rPr>
        <w:t>2024</w:t>
      </w:r>
      <w:r w:rsidRPr="007C3D18">
        <w:rPr>
          <w:b/>
        </w:rPr>
        <w:t xml:space="preserve"> en vue de </w:t>
      </w:r>
      <w:r w:rsidRPr="00763A7D">
        <w:rPr>
          <w:b/>
        </w:rPr>
        <w:t xml:space="preserve">l’adoption </w:t>
      </w:r>
      <w:r w:rsidR="00763A7D" w:rsidRPr="00763A7D">
        <w:rPr>
          <w:b/>
        </w:rPr>
        <w:t>de la directive</w:t>
      </w:r>
      <w:r w:rsidR="006F2D3B">
        <w:rPr>
          <w:b/>
        </w:rPr>
        <w:t xml:space="preserve"> (UE)</w:t>
      </w:r>
      <w:r w:rsidR="00763A7D" w:rsidRPr="00763A7D">
        <w:rPr>
          <w:b/>
        </w:rPr>
        <w:t xml:space="preserve"> </w:t>
      </w:r>
      <w:r w:rsidR="00763A7D" w:rsidRPr="00AB2F55">
        <w:rPr>
          <w:b/>
        </w:rPr>
        <w:t>2024</w:t>
      </w:r>
      <w:r w:rsidR="00763A7D" w:rsidRPr="00763A7D">
        <w:rPr>
          <w:b/>
        </w:rPr>
        <w:t xml:space="preserve">/... </w:t>
      </w:r>
      <w:r w:rsidRPr="007C3D18">
        <w:rPr>
          <w:b/>
        </w:rPr>
        <w:t>du Parl</w:t>
      </w:r>
      <w:r w:rsidR="00763A7D">
        <w:rPr>
          <w:b/>
        </w:rPr>
        <w:t xml:space="preserve">ement européen et du Conseil </w:t>
      </w:r>
      <w:r w:rsidR="00763A7D" w:rsidRPr="00763A7D">
        <w:rPr>
          <w:rFonts w:eastAsia="Calibri"/>
          <w:b/>
          <w:szCs w:val="24"/>
          <w:lang w:eastAsia="en-US"/>
        </w:rPr>
        <w:t>relative aux mécanismes à mettre en place par les États membres pour prévenir l'utilisation du système financier aux fins du blanchiment de capita</w:t>
      </w:r>
      <w:r w:rsidR="00763A7D" w:rsidRPr="004E4113">
        <w:rPr>
          <w:rFonts w:eastAsia="Calibri"/>
          <w:b/>
          <w:szCs w:val="24"/>
          <w:lang w:eastAsia="en-US"/>
        </w:rPr>
        <w:t>ux ou du financement du terrorisme</w:t>
      </w:r>
      <w:r w:rsidR="00763A7D" w:rsidRPr="004E4113">
        <w:rPr>
          <w:rFonts w:eastAsia="Calibri"/>
          <w:b/>
          <w:color w:val="000000"/>
          <w:szCs w:val="24"/>
          <w:lang w:eastAsia="en-US"/>
        </w:rPr>
        <w:t>, modifiant la directive</w:t>
      </w:r>
      <w:r w:rsidR="00763A7D" w:rsidRPr="004E4113">
        <w:rPr>
          <w:rFonts w:eastAsia="Calibri"/>
          <w:b/>
          <w:szCs w:val="24"/>
          <w:lang w:eastAsia="en-US"/>
        </w:rPr>
        <w:t xml:space="preserve"> </w:t>
      </w:r>
      <w:r w:rsidR="00763A7D" w:rsidRPr="004E4113">
        <w:rPr>
          <w:rFonts w:eastAsia="Calibri"/>
          <w:b/>
          <w:color w:val="000000"/>
          <w:szCs w:val="24"/>
          <w:lang w:eastAsia="en-US"/>
        </w:rPr>
        <w:t>(UE) 2019/1937,</w:t>
      </w:r>
      <w:r w:rsidR="00763A7D" w:rsidRPr="004E4113">
        <w:rPr>
          <w:rFonts w:eastAsia="Calibri"/>
          <w:b/>
          <w:szCs w:val="24"/>
          <w:lang w:eastAsia="en-US"/>
        </w:rPr>
        <w:t xml:space="preserve"> et modifiant et abrogeant </w:t>
      </w:r>
      <w:r w:rsidR="00763A7D" w:rsidRPr="00763A7D">
        <w:rPr>
          <w:rFonts w:eastAsia="Calibri"/>
          <w:b/>
          <w:szCs w:val="24"/>
          <w:lang w:eastAsia="en-US"/>
        </w:rPr>
        <w:t>la directive (UE) </w:t>
      </w:r>
      <w:r w:rsidR="00763A7D" w:rsidRPr="00AB2F55">
        <w:rPr>
          <w:rFonts w:eastAsia="Calibri"/>
          <w:b/>
          <w:szCs w:val="24"/>
          <w:lang w:eastAsia="en-US"/>
        </w:rPr>
        <w:t>2015</w:t>
      </w:r>
      <w:r w:rsidR="00763A7D" w:rsidRPr="00763A7D">
        <w:rPr>
          <w:rFonts w:eastAsia="Calibri"/>
          <w:b/>
          <w:szCs w:val="24"/>
          <w:lang w:eastAsia="en-US"/>
        </w:rPr>
        <w:t>/</w:t>
      </w:r>
      <w:r w:rsidR="00763A7D" w:rsidRPr="00AB2F55">
        <w:rPr>
          <w:rFonts w:eastAsia="Calibri"/>
          <w:b/>
          <w:szCs w:val="24"/>
          <w:lang w:eastAsia="en-US"/>
        </w:rPr>
        <w:t>849</w:t>
      </w:r>
    </w:p>
    <w:p w14:paraId="3E97CBE8" w14:textId="303858EC" w:rsidR="004E4113" w:rsidRPr="00EB53D5" w:rsidRDefault="004E4113" w:rsidP="004E4113">
      <w:pPr>
        <w:pStyle w:val="Datedadoption"/>
        <w:spacing w:before="0" w:after="240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2024</w:t>
      </w:r>
      <w:r>
        <w:rPr>
          <w:b w:val="0"/>
          <w:i/>
        </w:rPr>
        <w:t>/1640.</w:t>
      </w:r>
      <w:r w:rsidRPr="00EB53D5">
        <w:rPr>
          <w:b w:val="0"/>
          <w:i/>
        </w:rPr>
        <w:t>)</w:t>
      </w:r>
    </w:p>
    <w:p w14:paraId="349429A8" w14:textId="77777777" w:rsidR="00763A7D" w:rsidRPr="00763A7D" w:rsidRDefault="00763A7D" w:rsidP="00763A7D">
      <w:pPr>
        <w:widowControl/>
        <w:spacing w:before="120" w:after="120" w:line="360" w:lineRule="auto"/>
        <w:rPr>
          <w:rFonts w:eastAsia="Calibri"/>
          <w:color w:val="000000"/>
          <w:szCs w:val="24"/>
          <w:lang w:eastAsia="en-US"/>
        </w:rPr>
      </w:pPr>
      <w:bookmarkStart w:id="7" w:name="_GoBack"/>
      <w:bookmarkEnd w:id="7"/>
    </w:p>
    <w:sectPr w:rsidR="00763A7D" w:rsidRPr="00763A7D" w:rsidSect="00C81D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CE727" w14:textId="77777777" w:rsidR="00A73C76" w:rsidRPr="00C81D4C" w:rsidRDefault="00A73C76">
      <w:r w:rsidRPr="00C81D4C">
        <w:separator/>
      </w:r>
    </w:p>
  </w:endnote>
  <w:endnote w:type="continuationSeparator" w:id="0">
    <w:p w14:paraId="4B3A10A3" w14:textId="77777777" w:rsidR="00A73C76" w:rsidRPr="00C81D4C" w:rsidRDefault="00A73C76">
      <w:r w:rsidRPr="00C81D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25D2B" w14:textId="77777777" w:rsidR="00A73C76" w:rsidRPr="00887C28" w:rsidRDefault="00A73C76">
    <w:pPr>
      <w:pStyle w:val="Footer"/>
    </w:pPr>
  </w:p>
  <w:p w14:paraId="785CFA4F" w14:textId="77777777" w:rsidR="00A73C76" w:rsidRPr="00887C28" w:rsidRDefault="00A73C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58CE1" w14:textId="77777777" w:rsidR="00A73C76" w:rsidRPr="00887C28" w:rsidRDefault="00A73C76" w:rsidP="00763A7D">
    <w:pPr>
      <w:pStyle w:val="Footer"/>
      <w:tabs>
        <w:tab w:val="left" w:pos="6663"/>
      </w:tabs>
    </w:pPr>
    <w:r w:rsidRPr="00887C28">
      <w:t>PE-CONS No/YY</w:t>
    </w:r>
    <w:r w:rsidRPr="00887C28">
      <w:tab/>
      <w:t>2021/0250(COD)</w:t>
    </w:r>
    <w:r w:rsidRPr="00887C28">
      <w:tab/>
      <w:t>XYZ-AB/OP-QR</w:t>
    </w:r>
    <w:r w:rsidRPr="00887C28">
      <w:tab/>
    </w:r>
    <w:r w:rsidRPr="00887C28">
      <w:fldChar w:fldCharType="begin"/>
    </w:r>
    <w:r w:rsidRPr="00887C28">
      <w:instrText xml:space="preserve"> PAGE   \* MERGEFORMAT </w:instrText>
    </w:r>
    <w:r w:rsidRPr="00887C28">
      <w:fldChar w:fldCharType="separate"/>
    </w:r>
    <w:r>
      <w:rPr>
        <w:noProof/>
      </w:rPr>
      <w:t>71</w:t>
    </w:r>
    <w:r w:rsidRPr="00887C28">
      <w:rPr>
        <w:noProof/>
      </w:rPr>
      <w:fldChar w:fldCharType="end"/>
    </w:r>
  </w:p>
  <w:p w14:paraId="580A8B53" w14:textId="77777777" w:rsidR="00A73C76" w:rsidRPr="00887C28" w:rsidRDefault="00A73C76" w:rsidP="00763A7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38F09" w14:textId="77777777" w:rsidR="00A73C76" w:rsidRPr="00C81D4C" w:rsidRDefault="00A73C7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2C267" w14:textId="77777777" w:rsidR="00A73C76" w:rsidRPr="00C81D4C" w:rsidRDefault="00A73C7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75146" w14:textId="77777777" w:rsidR="00A73C76" w:rsidRPr="00C81D4C" w:rsidRDefault="00A73C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96D77" w14:textId="77777777" w:rsidR="00A73C76" w:rsidRPr="00C81D4C" w:rsidRDefault="00A73C76">
      <w:r w:rsidRPr="00C81D4C">
        <w:separator/>
      </w:r>
    </w:p>
  </w:footnote>
  <w:footnote w:type="continuationSeparator" w:id="0">
    <w:p w14:paraId="541A076F" w14:textId="77777777" w:rsidR="00A73C76" w:rsidRPr="00C81D4C" w:rsidRDefault="00A73C76">
      <w:r w:rsidRPr="00C81D4C">
        <w:continuationSeparator/>
      </w:r>
    </w:p>
  </w:footnote>
  <w:footnote w:id="1">
    <w:p w14:paraId="7E2980FF" w14:textId="77777777" w:rsidR="00A73C76" w:rsidRPr="00A842CA" w:rsidRDefault="00A73C76" w:rsidP="00C81D4C">
      <w:pPr>
        <w:pStyle w:val="FootnoteText"/>
        <w:ind w:left="567" w:hanging="567"/>
        <w:rPr>
          <w:sz w:val="24"/>
          <w:lang w:val="da-DK"/>
        </w:rPr>
      </w:pPr>
      <w:r w:rsidRPr="00C81D4C">
        <w:rPr>
          <w:rStyle w:val="FootnoteReference"/>
          <w:sz w:val="24"/>
        </w:rPr>
        <w:footnoteRef/>
      </w:r>
      <w:r w:rsidRPr="00A842CA">
        <w:rPr>
          <w:sz w:val="24"/>
          <w:lang w:val="da-DK"/>
        </w:rPr>
        <w:t xml:space="preserve"> </w:t>
      </w:r>
      <w:r w:rsidRPr="00A842CA">
        <w:rPr>
          <w:sz w:val="24"/>
          <w:lang w:val="da-DK"/>
        </w:rPr>
        <w:tab/>
        <w:t>JO C </w:t>
      </w:r>
      <w:r w:rsidRPr="00AB2F55">
        <w:rPr>
          <w:sz w:val="24"/>
          <w:lang w:val="da-DK"/>
        </w:rPr>
        <w:t>210</w:t>
      </w:r>
      <w:r w:rsidRPr="00A842CA">
        <w:rPr>
          <w:sz w:val="24"/>
          <w:lang w:val="da-DK"/>
        </w:rPr>
        <w:t xml:space="preserve"> du </w:t>
      </w:r>
      <w:r w:rsidRPr="00AB2F55">
        <w:rPr>
          <w:sz w:val="24"/>
          <w:lang w:val="da-DK"/>
        </w:rPr>
        <w:t>25</w:t>
      </w:r>
      <w:r w:rsidRPr="00A842CA">
        <w:rPr>
          <w:sz w:val="24"/>
          <w:lang w:val="da-DK"/>
        </w:rPr>
        <w:t>.</w:t>
      </w:r>
      <w:r w:rsidRPr="00AB2F55">
        <w:rPr>
          <w:sz w:val="24"/>
          <w:lang w:val="da-DK"/>
        </w:rPr>
        <w:t>5</w:t>
      </w:r>
      <w:r w:rsidRPr="00A842CA">
        <w:rPr>
          <w:sz w:val="24"/>
          <w:lang w:val="da-DK"/>
        </w:rPr>
        <w:t>.</w:t>
      </w:r>
      <w:r w:rsidRPr="00AB2F55">
        <w:rPr>
          <w:sz w:val="24"/>
          <w:lang w:val="da-DK"/>
        </w:rPr>
        <w:t>2022</w:t>
      </w:r>
      <w:r w:rsidRPr="00A842CA">
        <w:rPr>
          <w:sz w:val="24"/>
          <w:lang w:val="da-DK"/>
        </w:rPr>
        <w:t>, p. </w:t>
      </w:r>
      <w:r w:rsidRPr="00AB2F55">
        <w:rPr>
          <w:sz w:val="24"/>
          <w:lang w:val="da-DK"/>
        </w:rPr>
        <w:t>15</w:t>
      </w:r>
      <w:r w:rsidRPr="00A842CA">
        <w:rPr>
          <w:sz w:val="24"/>
          <w:lang w:val="da-DK"/>
        </w:rPr>
        <w:t>.</w:t>
      </w:r>
    </w:p>
  </w:footnote>
  <w:footnote w:id="2">
    <w:p w14:paraId="1946BBF0" w14:textId="77777777" w:rsidR="00A73C76" w:rsidRPr="00A842CA" w:rsidRDefault="00A73C76" w:rsidP="00C81D4C">
      <w:pPr>
        <w:pStyle w:val="FootnoteText"/>
        <w:ind w:left="567" w:hanging="567"/>
        <w:rPr>
          <w:sz w:val="24"/>
          <w:lang w:val="da-DK"/>
        </w:rPr>
      </w:pPr>
      <w:r w:rsidRPr="00C81D4C">
        <w:rPr>
          <w:rStyle w:val="FootnoteReference"/>
          <w:sz w:val="24"/>
        </w:rPr>
        <w:footnoteRef/>
      </w:r>
      <w:r w:rsidRPr="00A842CA">
        <w:rPr>
          <w:sz w:val="24"/>
          <w:lang w:val="da-DK"/>
        </w:rPr>
        <w:t xml:space="preserve"> </w:t>
      </w:r>
      <w:r w:rsidRPr="00A842CA">
        <w:rPr>
          <w:sz w:val="24"/>
          <w:lang w:val="da-DK"/>
        </w:rPr>
        <w:tab/>
        <w:t>JO C </w:t>
      </w:r>
      <w:r w:rsidRPr="00AB2F55">
        <w:rPr>
          <w:sz w:val="24"/>
          <w:lang w:val="da-DK"/>
        </w:rPr>
        <w:t>152</w:t>
      </w:r>
      <w:r w:rsidRPr="00A842CA">
        <w:rPr>
          <w:sz w:val="24"/>
          <w:lang w:val="da-DK"/>
        </w:rPr>
        <w:t xml:space="preserve"> du </w:t>
      </w:r>
      <w:r w:rsidRPr="00AB2F55">
        <w:rPr>
          <w:sz w:val="24"/>
          <w:lang w:val="da-DK"/>
        </w:rPr>
        <w:t>6</w:t>
      </w:r>
      <w:r w:rsidRPr="00A842CA">
        <w:rPr>
          <w:sz w:val="24"/>
          <w:lang w:val="da-DK"/>
        </w:rPr>
        <w:t>.</w:t>
      </w:r>
      <w:r w:rsidRPr="00AB2F55">
        <w:rPr>
          <w:sz w:val="24"/>
          <w:lang w:val="da-DK"/>
        </w:rPr>
        <w:t>4</w:t>
      </w:r>
      <w:r w:rsidRPr="00A842CA">
        <w:rPr>
          <w:sz w:val="24"/>
          <w:lang w:val="da-DK"/>
        </w:rPr>
        <w:t>.</w:t>
      </w:r>
      <w:r w:rsidRPr="00AB2F55">
        <w:rPr>
          <w:sz w:val="24"/>
          <w:lang w:val="da-DK"/>
        </w:rPr>
        <w:t>2022</w:t>
      </w:r>
      <w:r w:rsidRPr="00A842CA">
        <w:rPr>
          <w:sz w:val="24"/>
          <w:lang w:val="da-DK"/>
        </w:rPr>
        <w:t>, p. </w:t>
      </w:r>
      <w:r w:rsidRPr="00AB2F55">
        <w:rPr>
          <w:sz w:val="24"/>
          <w:lang w:val="da-DK"/>
        </w:rPr>
        <w:t>89</w:t>
      </w:r>
      <w:r w:rsidRPr="00A842CA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D36BA" w14:textId="77777777" w:rsidR="00A73C76" w:rsidRPr="00887C28" w:rsidRDefault="00A73C76" w:rsidP="00763A7D">
    <w:pPr>
      <w:pStyle w:val="HeaderCouncilLarge"/>
    </w:pPr>
    <w:r w:rsidRPr="00887C28">
      <w:t> </w:t>
    </w:r>
  </w:p>
  <w:p w14:paraId="3EF963D9" w14:textId="77777777" w:rsidR="00A73C76" w:rsidRPr="00887C28" w:rsidRDefault="00A73C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CF36C" w14:textId="77777777" w:rsidR="00A73C76" w:rsidRPr="00887C28" w:rsidRDefault="00A73C76" w:rsidP="00763A7D">
    <w:pPr>
      <w:pStyle w:val="HeaderCouncil"/>
    </w:pPr>
    <w:r w:rsidRPr="00887C28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30053" w14:textId="77777777" w:rsidR="00A73C76" w:rsidRPr="00C81D4C" w:rsidRDefault="00A73C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0C765" w14:textId="77777777" w:rsidR="00A73C76" w:rsidRPr="00C81D4C" w:rsidRDefault="00A73C7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5BC3D" w14:textId="77777777" w:rsidR="00A73C76" w:rsidRPr="00C81D4C" w:rsidRDefault="00A73C7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0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5" w15:restartNumberingAfterBreak="0">
    <w:nsid w:val="20324DBC"/>
    <w:multiLevelType w:val="hybridMultilevel"/>
    <w:tmpl w:val="0E0AE9F0"/>
    <w:numStyleLink w:val="ImportedStyle33"/>
  </w:abstractNum>
  <w:abstractNum w:abstractNumId="26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265E191C"/>
    <w:multiLevelType w:val="multilevel"/>
    <w:tmpl w:val="DC2AB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7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9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1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4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64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7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9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2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3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9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4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5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0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65843801"/>
    <w:multiLevelType w:val="hybridMultilevel"/>
    <w:tmpl w:val="D96CA1FC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9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98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3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5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10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1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1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4"/>
  </w:num>
  <w:num w:numId="3">
    <w:abstractNumId w:val="102"/>
  </w:num>
  <w:num w:numId="4">
    <w:abstractNumId w:val="7"/>
  </w:num>
  <w:num w:numId="5">
    <w:abstractNumId w:val="104"/>
  </w:num>
  <w:num w:numId="6">
    <w:abstractNumId w:val="88"/>
  </w:num>
  <w:num w:numId="7">
    <w:abstractNumId w:val="9"/>
  </w:num>
  <w:num w:numId="8">
    <w:abstractNumId w:val="112"/>
  </w:num>
  <w:num w:numId="9">
    <w:abstractNumId w:val="117"/>
  </w:num>
  <w:num w:numId="10">
    <w:abstractNumId w:val="81"/>
  </w:num>
  <w:num w:numId="11">
    <w:abstractNumId w:val="109"/>
  </w:num>
  <w:num w:numId="12">
    <w:abstractNumId w:val="93"/>
  </w:num>
  <w:num w:numId="13">
    <w:abstractNumId w:val="65"/>
  </w:num>
  <w:num w:numId="14">
    <w:abstractNumId w:val="24"/>
  </w:num>
  <w:num w:numId="15">
    <w:abstractNumId w:val="19"/>
  </w:num>
  <w:num w:numId="16">
    <w:abstractNumId w:val="97"/>
  </w:num>
  <w:num w:numId="17">
    <w:abstractNumId w:val="113"/>
  </w:num>
  <w:num w:numId="18">
    <w:abstractNumId w:val="6"/>
  </w:num>
  <w:num w:numId="19">
    <w:abstractNumId w:val="29"/>
  </w:num>
  <w:num w:numId="20">
    <w:abstractNumId w:val="18"/>
  </w:num>
  <w:num w:numId="21">
    <w:abstractNumId w:val="32"/>
  </w:num>
  <w:num w:numId="22">
    <w:abstractNumId w:val="82"/>
  </w:num>
  <w:num w:numId="23">
    <w:abstractNumId w:val="5"/>
  </w:num>
  <w:num w:numId="24">
    <w:abstractNumId w:val="84"/>
  </w:num>
  <w:num w:numId="25">
    <w:abstractNumId w:val="38"/>
  </w:num>
  <w:num w:numId="26">
    <w:abstractNumId w:val="72"/>
  </w:num>
  <w:num w:numId="27">
    <w:abstractNumId w:val="68"/>
  </w:num>
  <w:num w:numId="28">
    <w:abstractNumId w:val="107"/>
  </w:num>
  <w:num w:numId="29">
    <w:abstractNumId w:val="89"/>
  </w:num>
  <w:num w:numId="30">
    <w:abstractNumId w:val="108"/>
  </w:num>
  <w:num w:numId="31">
    <w:abstractNumId w:val="110"/>
  </w:num>
  <w:num w:numId="32">
    <w:abstractNumId w:val="13"/>
  </w:num>
  <w:num w:numId="33">
    <w:abstractNumId w:val="43"/>
  </w:num>
  <w:num w:numId="34">
    <w:abstractNumId w:val="15"/>
  </w:num>
  <w:num w:numId="35">
    <w:abstractNumId w:val="55"/>
  </w:num>
  <w:num w:numId="36">
    <w:abstractNumId w:val="40"/>
  </w:num>
  <w:num w:numId="37">
    <w:abstractNumId w:val="78"/>
  </w:num>
  <w:num w:numId="38">
    <w:abstractNumId w:val="1"/>
  </w:num>
  <w:num w:numId="39">
    <w:abstractNumId w:val="77"/>
  </w:num>
  <w:num w:numId="40">
    <w:abstractNumId w:val="85"/>
  </w:num>
  <w:num w:numId="41">
    <w:abstractNumId w:val="50"/>
  </w:num>
  <w:num w:numId="42">
    <w:abstractNumId w:val="0"/>
  </w:num>
  <w:num w:numId="43">
    <w:abstractNumId w:val="79"/>
  </w:num>
  <w:num w:numId="44">
    <w:abstractNumId w:val="4"/>
  </w:num>
  <w:num w:numId="45">
    <w:abstractNumId w:val="90"/>
  </w:num>
  <w:num w:numId="46">
    <w:abstractNumId w:val="48"/>
  </w:num>
  <w:num w:numId="47">
    <w:abstractNumId w:val="95"/>
  </w:num>
  <w:num w:numId="48">
    <w:abstractNumId w:val="49"/>
  </w:num>
  <w:num w:numId="49">
    <w:abstractNumId w:val="91"/>
  </w:num>
  <w:num w:numId="50">
    <w:abstractNumId w:val="22"/>
  </w:num>
  <w:num w:numId="51">
    <w:abstractNumId w:val="64"/>
  </w:num>
  <w:num w:numId="52">
    <w:abstractNumId w:val="37"/>
  </w:num>
  <w:num w:numId="53">
    <w:abstractNumId w:val="53"/>
  </w:num>
  <w:num w:numId="54">
    <w:abstractNumId w:val="44"/>
  </w:num>
  <w:num w:numId="55">
    <w:abstractNumId w:val="100"/>
  </w:num>
  <w:num w:numId="56">
    <w:abstractNumId w:val="86"/>
  </w:num>
  <w:num w:numId="57">
    <w:abstractNumId w:val="99"/>
  </w:num>
  <w:num w:numId="58">
    <w:abstractNumId w:val="101"/>
  </w:num>
  <w:num w:numId="59">
    <w:abstractNumId w:val="34"/>
  </w:num>
  <w:num w:numId="60">
    <w:abstractNumId w:val="56"/>
  </w:num>
  <w:num w:numId="61">
    <w:abstractNumId w:val="52"/>
  </w:num>
  <w:num w:numId="62">
    <w:abstractNumId w:val="16"/>
  </w:num>
  <w:num w:numId="63">
    <w:abstractNumId w:val="10"/>
  </w:num>
  <w:num w:numId="64">
    <w:abstractNumId w:val="42"/>
  </w:num>
  <w:num w:numId="65">
    <w:abstractNumId w:val="3"/>
  </w:num>
  <w:num w:numId="66">
    <w:abstractNumId w:val="105"/>
  </w:num>
  <w:num w:numId="67">
    <w:abstractNumId w:val="33"/>
  </w:num>
  <w:num w:numId="68">
    <w:abstractNumId w:val="20"/>
  </w:num>
  <w:num w:numId="69">
    <w:abstractNumId w:val="80"/>
  </w:num>
  <w:num w:numId="70">
    <w:abstractNumId w:val="45"/>
  </w:num>
  <w:num w:numId="71">
    <w:abstractNumId w:val="69"/>
  </w:num>
  <w:num w:numId="72">
    <w:abstractNumId w:val="26"/>
  </w:num>
  <w:num w:numId="73">
    <w:abstractNumId w:val="111"/>
  </w:num>
  <w:num w:numId="74">
    <w:abstractNumId w:val="11"/>
  </w:num>
  <w:num w:numId="75">
    <w:abstractNumId w:val="39"/>
  </w:num>
  <w:num w:numId="76">
    <w:abstractNumId w:val="103"/>
  </w:num>
  <w:num w:numId="77">
    <w:abstractNumId w:val="14"/>
  </w:num>
  <w:num w:numId="78">
    <w:abstractNumId w:val="46"/>
  </w:num>
  <w:num w:numId="79">
    <w:abstractNumId w:val="74"/>
  </w:num>
  <w:num w:numId="80">
    <w:abstractNumId w:val="57"/>
  </w:num>
  <w:num w:numId="81">
    <w:abstractNumId w:val="27"/>
  </w:num>
  <w:num w:numId="82">
    <w:abstractNumId w:val="96"/>
  </w:num>
  <w:num w:numId="83">
    <w:abstractNumId w:val="73"/>
  </w:num>
  <w:num w:numId="84">
    <w:abstractNumId w:val="58"/>
  </w:num>
  <w:num w:numId="85">
    <w:abstractNumId w:val="25"/>
    <w:lvlOverride w:ilvl="0">
      <w:lvl w:ilvl="0" w:tplc="3C66921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6">
    <w:abstractNumId w:val="12"/>
  </w:num>
  <w:num w:numId="87">
    <w:abstractNumId w:val="70"/>
  </w:num>
  <w:num w:numId="88">
    <w:abstractNumId w:val="47"/>
  </w:num>
  <w:num w:numId="89">
    <w:abstractNumId w:val="17"/>
  </w:num>
  <w:num w:numId="90">
    <w:abstractNumId w:val="41"/>
  </w:num>
  <w:num w:numId="91">
    <w:abstractNumId w:val="23"/>
  </w:num>
  <w:num w:numId="92">
    <w:abstractNumId w:val="76"/>
  </w:num>
  <w:num w:numId="93">
    <w:abstractNumId w:val="51"/>
  </w:num>
  <w:num w:numId="94">
    <w:abstractNumId w:val="66"/>
    <w:lvlOverride w:ilvl="0">
      <w:startOverride w:val="1"/>
    </w:lvlOverride>
  </w:num>
  <w:num w:numId="95">
    <w:abstractNumId w:val="2"/>
  </w:num>
  <w:num w:numId="96">
    <w:abstractNumId w:val="31"/>
  </w:num>
  <w:num w:numId="97">
    <w:abstractNumId w:val="35"/>
  </w:num>
  <w:num w:numId="98">
    <w:abstractNumId w:val="67"/>
  </w:num>
  <w:num w:numId="99">
    <w:abstractNumId w:val="75"/>
  </w:num>
  <w:num w:numId="100">
    <w:abstractNumId w:val="98"/>
  </w:num>
  <w:num w:numId="101">
    <w:abstractNumId w:val="106"/>
  </w:num>
  <w:num w:numId="102">
    <w:abstractNumId w:val="63"/>
  </w:num>
  <w:num w:numId="103">
    <w:abstractNumId w:val="28"/>
  </w:num>
  <w:num w:numId="104">
    <w:abstractNumId w:val="87"/>
    <w:lvlOverride w:ilvl="0">
      <w:startOverride w:val="1"/>
    </w:lvlOverride>
  </w:num>
  <w:num w:numId="105">
    <w:abstractNumId w:val="61"/>
  </w:num>
  <w:num w:numId="106">
    <w:abstractNumId w:val="94"/>
  </w:num>
  <w:num w:numId="107">
    <w:abstractNumId w:val="36"/>
  </w:num>
  <w:num w:numId="108">
    <w:abstractNumId w:val="62"/>
  </w:num>
  <w:num w:numId="109">
    <w:abstractNumId w:val="21"/>
  </w:num>
  <w:num w:numId="110">
    <w:abstractNumId w:val="118"/>
  </w:num>
  <w:num w:numId="111">
    <w:abstractNumId w:val="59"/>
  </w:num>
  <w:num w:numId="112">
    <w:abstractNumId w:val="60"/>
  </w:num>
  <w:num w:numId="113">
    <w:abstractNumId w:val="71"/>
  </w:num>
  <w:num w:numId="114">
    <w:abstractNumId w:val="83"/>
  </w:num>
  <w:num w:numId="115">
    <w:abstractNumId w:val="115"/>
  </w:num>
  <w:num w:numId="116">
    <w:abstractNumId w:val="114"/>
  </w:num>
  <w:num w:numId="117">
    <w:abstractNumId w:val="116"/>
  </w:num>
  <w:num w:numId="118">
    <w:abstractNumId w:val="92"/>
  </w:num>
  <w:num w:numId="119">
    <w:abstractNumId w:val="30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FR"/>
    <w:docVar w:name="dvnumam" w:val="0"/>
    <w:docVar w:name="dvpe" w:val="730.070"/>
    <w:docVar w:name="dvrapporteur" w:val="Rapporteurs: "/>
    <w:docVar w:name="dvstar" w:val="***I"/>
    <w:docVar w:name="dvtitre" w:val="Résolution législative du Parlement européen du 24 avril 2024 sur la proposition de directive du Parlement européen et du Conseil relative aux mécanismes à mettre en place par les États membres pour prévenir l’utilisation du système financier aux fins du blanchiment de capitaux ou du financement du terrorisme et abrogeant la directive (UE) 2015/849(COM(2021)0423 – C9-0342/2021 – 2021/0250(COD))"/>
  </w:docVars>
  <w:rsids>
    <w:rsidRoot w:val="002B4481"/>
    <w:rsid w:val="00002272"/>
    <w:rsid w:val="000475C5"/>
    <w:rsid w:val="00064002"/>
    <w:rsid w:val="000677B9"/>
    <w:rsid w:val="000831BA"/>
    <w:rsid w:val="000A42CC"/>
    <w:rsid w:val="000E7DD9"/>
    <w:rsid w:val="0010095E"/>
    <w:rsid w:val="00104452"/>
    <w:rsid w:val="00125B37"/>
    <w:rsid w:val="00187494"/>
    <w:rsid w:val="001F32AE"/>
    <w:rsid w:val="002767FF"/>
    <w:rsid w:val="002A56C4"/>
    <w:rsid w:val="002B18FE"/>
    <w:rsid w:val="002B4481"/>
    <w:rsid w:val="002B5493"/>
    <w:rsid w:val="00343214"/>
    <w:rsid w:val="003437B5"/>
    <w:rsid w:val="00361C00"/>
    <w:rsid w:val="00395FA1"/>
    <w:rsid w:val="003A5D6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4113"/>
    <w:rsid w:val="0050519A"/>
    <w:rsid w:val="005072A1"/>
    <w:rsid w:val="00514517"/>
    <w:rsid w:val="00545827"/>
    <w:rsid w:val="00560270"/>
    <w:rsid w:val="005A30E0"/>
    <w:rsid w:val="005C2568"/>
    <w:rsid w:val="005D2516"/>
    <w:rsid w:val="006037C0"/>
    <w:rsid w:val="006631B6"/>
    <w:rsid w:val="00680577"/>
    <w:rsid w:val="006D716E"/>
    <w:rsid w:val="006E0B9F"/>
    <w:rsid w:val="006F2D3B"/>
    <w:rsid w:val="006F74FA"/>
    <w:rsid w:val="00731ADD"/>
    <w:rsid w:val="00734777"/>
    <w:rsid w:val="00747932"/>
    <w:rsid w:val="00751A4A"/>
    <w:rsid w:val="00756632"/>
    <w:rsid w:val="00762C74"/>
    <w:rsid w:val="00763A7D"/>
    <w:rsid w:val="007704E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97E"/>
    <w:rsid w:val="00A1687D"/>
    <w:rsid w:val="00A43E52"/>
    <w:rsid w:val="00A4678D"/>
    <w:rsid w:val="00A73C76"/>
    <w:rsid w:val="00A778C7"/>
    <w:rsid w:val="00A842CA"/>
    <w:rsid w:val="00AA6729"/>
    <w:rsid w:val="00AB2F55"/>
    <w:rsid w:val="00AB441E"/>
    <w:rsid w:val="00AB6293"/>
    <w:rsid w:val="00AE0928"/>
    <w:rsid w:val="00AF3B82"/>
    <w:rsid w:val="00B12E95"/>
    <w:rsid w:val="00B22876"/>
    <w:rsid w:val="00B4429F"/>
    <w:rsid w:val="00B558F0"/>
    <w:rsid w:val="00BC5C6B"/>
    <w:rsid w:val="00BD1B9A"/>
    <w:rsid w:val="00BD48FE"/>
    <w:rsid w:val="00BD7BD8"/>
    <w:rsid w:val="00BE6ADC"/>
    <w:rsid w:val="00C05BFE"/>
    <w:rsid w:val="00C23CD4"/>
    <w:rsid w:val="00C61C0C"/>
    <w:rsid w:val="00C81D4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E37"/>
    <w:rsid w:val="00F149E9"/>
    <w:rsid w:val="00F5134D"/>
    <w:rsid w:val="00F74202"/>
    <w:rsid w:val="00F87713"/>
    <w:rsid w:val="00F94660"/>
    <w:rsid w:val="00FA5FB9"/>
    <w:rsid w:val="00FB4360"/>
    <w:rsid w:val="00FD0359"/>
    <w:rsid w:val="00FD0C70"/>
    <w:rsid w:val="00FF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77D7B"/>
  <w15:chartTrackingRefBased/>
  <w15:docId w15:val="{DCA9F911-A231-44A0-A661-15C72CE1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475C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475C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5C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5C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5C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5C5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5C5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5C5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5C5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0475C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475C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475C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475C5"/>
    <w:pPr>
      <w:spacing w:after="120"/>
    </w:pPr>
  </w:style>
  <w:style w:type="paragraph" w:customStyle="1" w:styleId="PageHeading">
    <w:name w:val="PageHeading"/>
    <w:basedOn w:val="Normal"/>
    <w:rsid w:val="000475C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475C5"/>
    <w:rPr>
      <w:b/>
    </w:rPr>
  </w:style>
  <w:style w:type="paragraph" w:customStyle="1" w:styleId="NormalBold12a">
    <w:name w:val="NormalBold12a"/>
    <w:basedOn w:val="Normal"/>
    <w:rsid w:val="000475C5"/>
    <w:pPr>
      <w:spacing w:after="240"/>
    </w:pPr>
    <w:rPr>
      <w:b/>
    </w:rPr>
  </w:style>
  <w:style w:type="paragraph" w:customStyle="1" w:styleId="AmJustText">
    <w:name w:val="AmJustText"/>
    <w:basedOn w:val="Normal"/>
    <w:rsid w:val="000475C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475C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475C5"/>
    <w:pPr>
      <w:spacing w:after="480"/>
      <w:ind w:left="1417"/>
    </w:pPr>
  </w:style>
  <w:style w:type="paragraph" w:customStyle="1" w:styleId="CoverNormal">
    <w:name w:val="CoverNormal"/>
    <w:basedOn w:val="Normal"/>
    <w:rsid w:val="000475C5"/>
    <w:pPr>
      <w:ind w:left="1418"/>
    </w:pPr>
  </w:style>
  <w:style w:type="paragraph" w:customStyle="1" w:styleId="AmCrossRef">
    <w:name w:val="AmCrossRef"/>
    <w:basedOn w:val="Normal"/>
    <w:rsid w:val="000475C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475C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475C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475C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475C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475C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475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5C5"/>
    <w:rPr>
      <w:sz w:val="24"/>
      <w:lang w:val="fr-FR"/>
    </w:rPr>
  </w:style>
  <w:style w:type="paragraph" w:customStyle="1" w:styleId="AmOrLang">
    <w:name w:val="AmOrLang"/>
    <w:basedOn w:val="Normal"/>
    <w:rsid w:val="000475C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475C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475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475C5"/>
    <w:pPr>
      <w:spacing w:before="240"/>
    </w:pPr>
    <w:rPr>
      <w:b/>
    </w:rPr>
  </w:style>
  <w:style w:type="paragraph" w:customStyle="1" w:styleId="EPBody">
    <w:name w:val="EPBody"/>
    <w:basedOn w:val="Normal"/>
    <w:rsid w:val="000475C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475C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475C5"/>
    <w:pPr>
      <w:spacing w:before="480" w:after="240"/>
    </w:pPr>
  </w:style>
  <w:style w:type="character" w:customStyle="1" w:styleId="epname0">
    <w:name w:val="ep_name"/>
    <w:basedOn w:val="DefaultParagraphFont"/>
    <w:rsid w:val="000475C5"/>
  </w:style>
  <w:style w:type="paragraph" w:customStyle="1" w:styleId="Lgendesigne">
    <w:name w:val="Légende signe"/>
    <w:basedOn w:val="Normal"/>
    <w:rsid w:val="000475C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475C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475C5"/>
    <w:rPr>
      <w:sz w:val="18"/>
    </w:rPr>
  </w:style>
  <w:style w:type="paragraph" w:customStyle="1" w:styleId="msonormal0">
    <w:name w:val="msonormal"/>
    <w:basedOn w:val="Normal"/>
    <w:rsid w:val="000475C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0475C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0475C5"/>
    <w:rPr>
      <w:sz w:val="22"/>
      <w:lang w:val="fr-FR"/>
    </w:rPr>
  </w:style>
  <w:style w:type="character" w:customStyle="1" w:styleId="Normal12Char">
    <w:name w:val="Normal12 Char"/>
    <w:basedOn w:val="DefaultParagraphFont"/>
    <w:link w:val="Normal12"/>
    <w:locked/>
    <w:rsid w:val="000475C5"/>
    <w:rPr>
      <w:noProof/>
      <w:sz w:val="24"/>
    </w:rPr>
  </w:style>
  <w:style w:type="paragraph" w:customStyle="1" w:styleId="Normal12">
    <w:name w:val="Normal12"/>
    <w:basedOn w:val="Normal"/>
    <w:link w:val="Normal12Char"/>
    <w:rsid w:val="000475C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475C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475C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475C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475C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475C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475C5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475C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475C5"/>
    <w:rPr>
      <w:b/>
      <w:sz w:val="24"/>
      <w:lang w:val="fr-FR"/>
    </w:rPr>
  </w:style>
  <w:style w:type="paragraph" w:customStyle="1" w:styleId="Normal12Italic">
    <w:name w:val="Normal12Italic"/>
    <w:basedOn w:val="Normal12"/>
    <w:rsid w:val="000475C5"/>
    <w:rPr>
      <w:i/>
    </w:rPr>
  </w:style>
  <w:style w:type="paragraph" w:customStyle="1" w:styleId="JustificationTitle">
    <w:name w:val="JustificationTitle"/>
    <w:basedOn w:val="Normal"/>
    <w:next w:val="Normal12"/>
    <w:rsid w:val="000475C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475C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475C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475C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475C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475C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475C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475C5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0475C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475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75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75C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475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75C5"/>
    <w:rPr>
      <w:b/>
      <w:bCs/>
      <w:lang w:val="fr-FR"/>
    </w:rPr>
  </w:style>
  <w:style w:type="paragraph" w:styleId="BalloonText">
    <w:name w:val="Balloon Text"/>
    <w:basedOn w:val="Normal"/>
    <w:link w:val="BalloonTextChar"/>
    <w:unhideWhenUsed/>
    <w:rsid w:val="000475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75C5"/>
    <w:rPr>
      <w:rFonts w:ascii="Segoe UI" w:hAnsi="Segoe UI" w:cs="Segoe UI"/>
      <w:sz w:val="18"/>
      <w:szCs w:val="18"/>
      <w:lang w:val="fr-FR"/>
    </w:rPr>
  </w:style>
  <w:style w:type="paragraph" w:customStyle="1" w:styleId="Normal12a">
    <w:name w:val="Normal12a"/>
    <w:basedOn w:val="Normal"/>
    <w:rsid w:val="000475C5"/>
    <w:pPr>
      <w:spacing w:after="240"/>
    </w:pPr>
  </w:style>
  <w:style w:type="paragraph" w:customStyle="1" w:styleId="RollCallVotes">
    <w:name w:val="RollCallVotes"/>
    <w:basedOn w:val="Normal"/>
    <w:rsid w:val="000475C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475C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475C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475C5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763A7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63A7D"/>
    <w:pPr>
      <w:spacing w:after="240"/>
      <w:jc w:val="center"/>
    </w:pPr>
  </w:style>
  <w:style w:type="paragraph" w:customStyle="1" w:styleId="AmDateTab">
    <w:name w:val="AmDateTab"/>
    <w:basedOn w:val="Normal"/>
    <w:rsid w:val="00763A7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63A7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63A7D"/>
  </w:style>
  <w:style w:type="paragraph" w:customStyle="1" w:styleId="NormalCentered">
    <w:name w:val="Normal Centered"/>
    <w:basedOn w:val="Normal"/>
    <w:rsid w:val="00763A7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63A7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63A7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63A7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63A7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763A7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763A7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63A7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63A7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63A7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63A7D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63A7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63A7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63A7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63A7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63A7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63A7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63A7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63A7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63A7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63A7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63A7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63A7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63A7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63A7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63A7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63A7D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63A7D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63A7D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63A7D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63A7D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63A7D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63A7D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63A7D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63A7D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63A7D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63A7D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63A7D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63A7D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63A7D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63A7D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63A7D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63A7D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63A7D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63A7D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63A7D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63A7D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63A7D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63A7D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63A7D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63A7D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63A7D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63A7D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63A7D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63A7D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63A7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63A7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63A7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63A7D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63A7D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63A7D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763A7D"/>
    <w:pPr>
      <w:jc w:val="center"/>
    </w:pPr>
  </w:style>
  <w:style w:type="paragraph" w:customStyle="1" w:styleId="Jardin">
    <w:name w:val="Jardin"/>
    <w:basedOn w:val="Normal"/>
    <w:rsid w:val="00763A7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63A7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63A7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63A7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63A7D"/>
    <w:rPr>
      <w:b/>
    </w:rPr>
  </w:style>
  <w:style w:type="paragraph" w:customStyle="1" w:styleId="Annex">
    <w:name w:val="Annex"/>
    <w:basedOn w:val="Normal"/>
    <w:next w:val="Normal"/>
    <w:rsid w:val="00763A7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63A7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63A7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63A7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63A7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63A7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63A7D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763A7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63A7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63A7D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63A7D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763A7D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63A7D"/>
    <w:rPr>
      <w:color w:val="808080"/>
    </w:rPr>
  </w:style>
  <w:style w:type="paragraph" w:styleId="ListBullet4">
    <w:name w:val="List Bullet 4"/>
    <w:basedOn w:val="Normal"/>
    <w:rsid w:val="00763A7D"/>
    <w:pPr>
      <w:widowControl/>
      <w:numPr>
        <w:numId w:val="2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763A7D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763A7D"/>
    <w:pPr>
      <w:widowControl/>
      <w:numPr>
        <w:numId w:val="2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763A7D"/>
    <w:pPr>
      <w:widowControl/>
      <w:numPr>
        <w:numId w:val="2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763A7D"/>
    <w:pPr>
      <w:widowControl/>
      <w:numPr>
        <w:numId w:val="2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763A7D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763A7D"/>
    <w:pPr>
      <w:widowControl/>
      <w:numPr>
        <w:ilvl w:val="1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763A7D"/>
    <w:pPr>
      <w:widowControl/>
      <w:numPr>
        <w:ilvl w:val="2"/>
        <w:numId w:val="2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763A7D"/>
    <w:pPr>
      <w:widowControl/>
      <w:numPr>
        <w:ilvl w:val="3"/>
        <w:numId w:val="2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763A7D"/>
    <w:pPr>
      <w:spacing w:before="120" w:after="120"/>
      <w:jc w:val="both"/>
    </w:pPr>
    <w:rPr>
      <w:lang w:val="fr-F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763A7D"/>
    <w:rPr>
      <w:color w:val="0000FF"/>
      <w:u w:val="single"/>
    </w:rPr>
  </w:style>
  <w:style w:type="paragraph" w:styleId="ListBullet">
    <w:name w:val="List Bullet"/>
    <w:basedOn w:val="Normal"/>
    <w:qFormat/>
    <w:rsid w:val="00763A7D"/>
    <w:pPr>
      <w:widowControl/>
      <w:numPr>
        <w:numId w:val="2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763A7D"/>
    <w:pPr>
      <w:widowControl/>
      <w:numPr>
        <w:numId w:val="3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763A7D"/>
    <w:pPr>
      <w:widowControl/>
      <w:numPr>
        <w:numId w:val="3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763A7D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763A7D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763A7D"/>
    <w:pPr>
      <w:widowControl/>
      <w:numPr>
        <w:numId w:val="3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763A7D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763A7D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763A7D"/>
    <w:pPr>
      <w:numPr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763A7D"/>
    <w:pPr>
      <w:numPr>
        <w:ilvl w:val="1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763A7D"/>
    <w:pPr>
      <w:numPr>
        <w:ilvl w:val="1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763A7D"/>
    <w:pPr>
      <w:numPr>
        <w:ilvl w:val="1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763A7D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763A7D"/>
    <w:pPr>
      <w:numPr>
        <w:ilvl w:val="2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763A7D"/>
    <w:pPr>
      <w:numPr>
        <w:ilvl w:val="2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763A7D"/>
    <w:pPr>
      <w:numPr>
        <w:ilvl w:val="2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763A7D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763A7D"/>
    <w:pPr>
      <w:numPr>
        <w:ilvl w:val="3"/>
        <w:numId w:val="3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763A7D"/>
    <w:pPr>
      <w:numPr>
        <w:ilvl w:val="3"/>
        <w:numId w:val="35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763A7D"/>
    <w:pPr>
      <w:numPr>
        <w:ilvl w:val="3"/>
        <w:numId w:val="3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763A7D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763A7D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763A7D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763A7D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763A7D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763A7D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763A7D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763A7D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763A7D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763A7D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763A7D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763A7D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763A7D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763A7D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763A7D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763A7D"/>
    <w:rPr>
      <w:vanish/>
      <w:color w:val="800080"/>
      <w:vertAlign w:val="subscript"/>
    </w:rPr>
  </w:style>
  <w:style w:type="character" w:styleId="FollowedHyperlink">
    <w:name w:val="FollowedHyperlink"/>
    <w:rsid w:val="00763A7D"/>
    <w:rPr>
      <w:color w:val="800080"/>
      <w:u w:val="single"/>
    </w:rPr>
  </w:style>
  <w:style w:type="paragraph" w:customStyle="1" w:styleId="Sous-titreobjet">
    <w:name w:val="Sous-titre objet"/>
    <w:basedOn w:val="Normal"/>
    <w:rsid w:val="00763A7D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763A7D"/>
  </w:style>
  <w:style w:type="paragraph" w:styleId="Revision">
    <w:name w:val="Revision"/>
    <w:hidden/>
    <w:uiPriority w:val="99"/>
    <w:semiHidden/>
    <w:rsid w:val="00763A7D"/>
    <w:pPr>
      <w:spacing w:after="200" w:line="276" w:lineRule="auto"/>
    </w:pPr>
    <w:rPr>
      <w:rFonts w:ascii="Calibri" w:eastAsia="Calibri" w:hAnsi="Calibri"/>
      <w:sz w:val="24"/>
      <w:szCs w:val="22"/>
      <w:lang w:val="fr-FR"/>
    </w:rPr>
  </w:style>
  <w:style w:type="paragraph" w:customStyle="1" w:styleId="FooterCoverPage">
    <w:name w:val="Footer Cover Page"/>
    <w:basedOn w:val="Normal"/>
    <w:link w:val="FooterCoverPageChar"/>
    <w:rsid w:val="00763A7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763A7D"/>
    <w:rPr>
      <w:rFonts w:ascii="Times New Roman" w:hAnsi="Times New Roman" w:cs="Times New Roman"/>
      <w:b/>
      <w:sz w:val="28"/>
      <w:lang w:val="fr-FR"/>
    </w:rPr>
  </w:style>
  <w:style w:type="character" w:customStyle="1" w:styleId="FooterCoverPageChar">
    <w:name w:val="Footer Cover Page Char"/>
    <w:link w:val="FooterCoverPage"/>
    <w:rsid w:val="00763A7D"/>
    <w:rPr>
      <w:rFonts w:eastAsia="Calibri"/>
      <w:sz w:val="24"/>
      <w:szCs w:val="22"/>
      <w:lang w:val="fr-FR"/>
    </w:rPr>
  </w:style>
  <w:style w:type="paragraph" w:customStyle="1" w:styleId="HeaderCoverPage">
    <w:name w:val="Header Cover Page"/>
    <w:basedOn w:val="Normal"/>
    <w:link w:val="HeaderCoverPageChar"/>
    <w:rsid w:val="00763A7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763A7D"/>
    <w:rPr>
      <w:rFonts w:eastAsia="Calibri"/>
      <w:sz w:val="24"/>
      <w:szCs w:val="22"/>
      <w:lang w:val="fr-FR"/>
    </w:rPr>
  </w:style>
  <w:style w:type="paragraph" w:customStyle="1" w:styleId="Body">
    <w:name w:val="Body"/>
    <w:rsid w:val="00763A7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fr-FR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763A7D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fr-FR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763A7D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fr-FR" w:eastAsia="en-IE"/>
    </w:rPr>
  </w:style>
  <w:style w:type="numbering" w:customStyle="1" w:styleId="ImportedStyle1">
    <w:name w:val="Imported Style 1"/>
    <w:rsid w:val="00763A7D"/>
    <w:pPr>
      <w:numPr>
        <w:numId w:val="38"/>
      </w:numPr>
    </w:pPr>
  </w:style>
  <w:style w:type="paragraph" w:customStyle="1" w:styleId="Default">
    <w:name w:val="Default"/>
    <w:rsid w:val="00763A7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fr-FR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763A7D"/>
    <w:pPr>
      <w:numPr>
        <w:numId w:val="39"/>
      </w:numPr>
    </w:pPr>
  </w:style>
  <w:style w:type="numbering" w:customStyle="1" w:styleId="ImportedStyle3">
    <w:name w:val="Imported Style 3"/>
    <w:rsid w:val="00763A7D"/>
    <w:pPr>
      <w:numPr>
        <w:numId w:val="40"/>
      </w:numPr>
    </w:pPr>
  </w:style>
  <w:style w:type="numbering" w:customStyle="1" w:styleId="ImportedStyle4">
    <w:name w:val="Imported Style 4"/>
    <w:rsid w:val="00763A7D"/>
    <w:pPr>
      <w:numPr>
        <w:numId w:val="41"/>
      </w:numPr>
    </w:pPr>
  </w:style>
  <w:style w:type="numbering" w:customStyle="1" w:styleId="ImportedStyle5">
    <w:name w:val="Imported Style 5"/>
    <w:rsid w:val="00763A7D"/>
    <w:pPr>
      <w:numPr>
        <w:numId w:val="42"/>
      </w:numPr>
    </w:pPr>
  </w:style>
  <w:style w:type="numbering" w:customStyle="1" w:styleId="ImportedStyle6">
    <w:name w:val="Imported Style 6"/>
    <w:rsid w:val="00763A7D"/>
    <w:pPr>
      <w:numPr>
        <w:numId w:val="43"/>
      </w:numPr>
    </w:pPr>
  </w:style>
  <w:style w:type="numbering" w:customStyle="1" w:styleId="ImportedStyle7">
    <w:name w:val="Imported Style 7"/>
    <w:rsid w:val="00763A7D"/>
    <w:pPr>
      <w:numPr>
        <w:numId w:val="44"/>
      </w:numPr>
    </w:pPr>
  </w:style>
  <w:style w:type="numbering" w:customStyle="1" w:styleId="ImportedStyle8">
    <w:name w:val="Imported Style 8"/>
    <w:rsid w:val="00763A7D"/>
    <w:pPr>
      <w:numPr>
        <w:numId w:val="45"/>
      </w:numPr>
    </w:pPr>
  </w:style>
  <w:style w:type="numbering" w:customStyle="1" w:styleId="ImportedStyle9">
    <w:name w:val="Imported Style 9"/>
    <w:rsid w:val="00763A7D"/>
    <w:pPr>
      <w:numPr>
        <w:numId w:val="46"/>
      </w:numPr>
    </w:pPr>
  </w:style>
  <w:style w:type="numbering" w:customStyle="1" w:styleId="ImportedStyle10">
    <w:name w:val="Imported Style 10"/>
    <w:rsid w:val="00763A7D"/>
    <w:pPr>
      <w:numPr>
        <w:numId w:val="47"/>
      </w:numPr>
    </w:pPr>
  </w:style>
  <w:style w:type="numbering" w:customStyle="1" w:styleId="ImportedStyle11">
    <w:name w:val="Imported Style 11"/>
    <w:rsid w:val="00763A7D"/>
    <w:pPr>
      <w:numPr>
        <w:numId w:val="48"/>
      </w:numPr>
    </w:pPr>
  </w:style>
  <w:style w:type="numbering" w:customStyle="1" w:styleId="ImportedStyle12">
    <w:name w:val="Imported Style 12"/>
    <w:rsid w:val="00763A7D"/>
    <w:pPr>
      <w:numPr>
        <w:numId w:val="49"/>
      </w:numPr>
    </w:pPr>
  </w:style>
  <w:style w:type="numbering" w:customStyle="1" w:styleId="ImportedStyle13">
    <w:name w:val="Imported Style 13"/>
    <w:rsid w:val="00763A7D"/>
    <w:pPr>
      <w:numPr>
        <w:numId w:val="50"/>
      </w:numPr>
    </w:pPr>
  </w:style>
  <w:style w:type="numbering" w:customStyle="1" w:styleId="ImportedStyle14">
    <w:name w:val="Imported Style 14"/>
    <w:rsid w:val="00763A7D"/>
    <w:pPr>
      <w:numPr>
        <w:numId w:val="51"/>
      </w:numPr>
    </w:pPr>
  </w:style>
  <w:style w:type="numbering" w:customStyle="1" w:styleId="ImportedStyle15">
    <w:name w:val="Imported Style 15"/>
    <w:rsid w:val="00763A7D"/>
    <w:pPr>
      <w:numPr>
        <w:numId w:val="52"/>
      </w:numPr>
    </w:pPr>
  </w:style>
  <w:style w:type="numbering" w:customStyle="1" w:styleId="ImportedStyle16">
    <w:name w:val="Imported Style 16"/>
    <w:rsid w:val="00763A7D"/>
    <w:pPr>
      <w:numPr>
        <w:numId w:val="53"/>
      </w:numPr>
    </w:pPr>
  </w:style>
  <w:style w:type="numbering" w:customStyle="1" w:styleId="ImportedStyle17">
    <w:name w:val="Imported Style 17"/>
    <w:rsid w:val="00763A7D"/>
    <w:pPr>
      <w:numPr>
        <w:numId w:val="54"/>
      </w:numPr>
    </w:pPr>
  </w:style>
  <w:style w:type="numbering" w:customStyle="1" w:styleId="ImportedStyle18">
    <w:name w:val="Imported Style 18"/>
    <w:rsid w:val="00763A7D"/>
    <w:pPr>
      <w:numPr>
        <w:numId w:val="55"/>
      </w:numPr>
    </w:pPr>
  </w:style>
  <w:style w:type="numbering" w:customStyle="1" w:styleId="ImportedStyle19">
    <w:name w:val="Imported Style 19"/>
    <w:rsid w:val="00763A7D"/>
    <w:pPr>
      <w:numPr>
        <w:numId w:val="56"/>
      </w:numPr>
    </w:pPr>
  </w:style>
  <w:style w:type="numbering" w:customStyle="1" w:styleId="ImportedStyle20">
    <w:name w:val="Imported Style 20"/>
    <w:rsid w:val="00763A7D"/>
    <w:pPr>
      <w:numPr>
        <w:numId w:val="57"/>
      </w:numPr>
    </w:pPr>
  </w:style>
  <w:style w:type="numbering" w:customStyle="1" w:styleId="ImportedStyle21">
    <w:name w:val="Imported Style 21"/>
    <w:rsid w:val="00763A7D"/>
    <w:pPr>
      <w:numPr>
        <w:numId w:val="58"/>
      </w:numPr>
    </w:pPr>
  </w:style>
  <w:style w:type="numbering" w:customStyle="1" w:styleId="ImportedStyle22">
    <w:name w:val="Imported Style 22"/>
    <w:rsid w:val="00763A7D"/>
    <w:pPr>
      <w:numPr>
        <w:numId w:val="59"/>
      </w:numPr>
    </w:pPr>
  </w:style>
  <w:style w:type="paragraph" w:customStyle="1" w:styleId="CM4">
    <w:name w:val="CM4"/>
    <w:next w:val="Default"/>
    <w:rsid w:val="00763A7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fr-FR" w:eastAsia="en-IE"/>
    </w:rPr>
  </w:style>
  <w:style w:type="numbering" w:customStyle="1" w:styleId="ImportedStyle23">
    <w:name w:val="Imported Style 23"/>
    <w:rsid w:val="00763A7D"/>
    <w:pPr>
      <w:numPr>
        <w:numId w:val="60"/>
      </w:numPr>
    </w:pPr>
  </w:style>
  <w:style w:type="numbering" w:customStyle="1" w:styleId="ImportedStyle24">
    <w:name w:val="Imported Style 24"/>
    <w:rsid w:val="00763A7D"/>
    <w:pPr>
      <w:numPr>
        <w:numId w:val="61"/>
      </w:numPr>
    </w:pPr>
  </w:style>
  <w:style w:type="numbering" w:customStyle="1" w:styleId="ImportedStyle25">
    <w:name w:val="Imported Style 25"/>
    <w:rsid w:val="00763A7D"/>
    <w:pPr>
      <w:numPr>
        <w:numId w:val="62"/>
      </w:numPr>
    </w:pPr>
  </w:style>
  <w:style w:type="numbering" w:customStyle="1" w:styleId="ImportedStyle26">
    <w:name w:val="Imported Style 26"/>
    <w:rsid w:val="00763A7D"/>
    <w:pPr>
      <w:numPr>
        <w:numId w:val="63"/>
      </w:numPr>
    </w:pPr>
  </w:style>
  <w:style w:type="numbering" w:customStyle="1" w:styleId="ImportedStyle27">
    <w:name w:val="Imported Style 27"/>
    <w:rsid w:val="00763A7D"/>
    <w:pPr>
      <w:numPr>
        <w:numId w:val="64"/>
      </w:numPr>
    </w:pPr>
  </w:style>
  <w:style w:type="numbering" w:customStyle="1" w:styleId="ImportedStyle28">
    <w:name w:val="Imported Style 28"/>
    <w:rsid w:val="00763A7D"/>
    <w:pPr>
      <w:numPr>
        <w:numId w:val="65"/>
      </w:numPr>
    </w:pPr>
  </w:style>
  <w:style w:type="numbering" w:customStyle="1" w:styleId="ImportedStyle29">
    <w:name w:val="Imported Style 29"/>
    <w:rsid w:val="00763A7D"/>
    <w:pPr>
      <w:numPr>
        <w:numId w:val="101"/>
      </w:numPr>
    </w:pPr>
  </w:style>
  <w:style w:type="numbering" w:customStyle="1" w:styleId="ImportedStyle30">
    <w:name w:val="Imported Style 30"/>
    <w:rsid w:val="00763A7D"/>
    <w:pPr>
      <w:numPr>
        <w:numId w:val="98"/>
      </w:numPr>
    </w:pPr>
  </w:style>
  <w:style w:type="numbering" w:customStyle="1" w:styleId="ImportedStyle31">
    <w:name w:val="Imported Style 31"/>
    <w:rsid w:val="00763A7D"/>
    <w:pPr>
      <w:numPr>
        <w:numId w:val="99"/>
      </w:numPr>
    </w:pPr>
  </w:style>
  <w:style w:type="numbering" w:customStyle="1" w:styleId="ImportedStyle32">
    <w:name w:val="Imported Style 32"/>
    <w:rsid w:val="00763A7D"/>
    <w:pPr>
      <w:numPr>
        <w:numId w:val="95"/>
      </w:numPr>
    </w:pPr>
  </w:style>
  <w:style w:type="numbering" w:customStyle="1" w:styleId="ImportedStyle33">
    <w:name w:val="Imported Style 33"/>
    <w:rsid w:val="00763A7D"/>
    <w:pPr>
      <w:numPr>
        <w:numId w:val="66"/>
      </w:numPr>
    </w:pPr>
  </w:style>
  <w:style w:type="numbering" w:customStyle="1" w:styleId="ImportedStyle34">
    <w:name w:val="Imported Style 34"/>
    <w:rsid w:val="00763A7D"/>
    <w:pPr>
      <w:numPr>
        <w:numId w:val="67"/>
      </w:numPr>
    </w:pPr>
  </w:style>
  <w:style w:type="numbering" w:customStyle="1" w:styleId="ImportedStyle35">
    <w:name w:val="Imported Style 35"/>
    <w:rsid w:val="00763A7D"/>
    <w:pPr>
      <w:numPr>
        <w:numId w:val="68"/>
      </w:numPr>
    </w:pPr>
  </w:style>
  <w:style w:type="numbering" w:customStyle="1" w:styleId="ImportedStyle37">
    <w:name w:val="Imported Style 37"/>
    <w:rsid w:val="00763A7D"/>
    <w:pPr>
      <w:numPr>
        <w:numId w:val="69"/>
      </w:numPr>
    </w:pPr>
  </w:style>
  <w:style w:type="numbering" w:customStyle="1" w:styleId="ImportedStyle38">
    <w:name w:val="Imported Style 38"/>
    <w:rsid w:val="00763A7D"/>
    <w:pPr>
      <w:numPr>
        <w:numId w:val="70"/>
      </w:numPr>
    </w:pPr>
  </w:style>
  <w:style w:type="numbering" w:customStyle="1" w:styleId="ImportedStyle39">
    <w:name w:val="Imported Style 39"/>
    <w:rsid w:val="00763A7D"/>
    <w:pPr>
      <w:numPr>
        <w:numId w:val="71"/>
      </w:numPr>
    </w:pPr>
  </w:style>
  <w:style w:type="numbering" w:customStyle="1" w:styleId="ImportedStyle40">
    <w:name w:val="Imported Style 40"/>
    <w:rsid w:val="00763A7D"/>
    <w:pPr>
      <w:numPr>
        <w:numId w:val="96"/>
      </w:numPr>
    </w:pPr>
  </w:style>
  <w:style w:type="numbering" w:customStyle="1" w:styleId="ImportedStyle41">
    <w:name w:val="Imported Style 41"/>
    <w:rsid w:val="00763A7D"/>
    <w:pPr>
      <w:numPr>
        <w:numId w:val="72"/>
      </w:numPr>
    </w:pPr>
  </w:style>
  <w:style w:type="numbering" w:customStyle="1" w:styleId="ImportedStyle42">
    <w:name w:val="Imported Style 42"/>
    <w:rsid w:val="00763A7D"/>
    <w:pPr>
      <w:numPr>
        <w:numId w:val="100"/>
      </w:numPr>
    </w:pPr>
  </w:style>
  <w:style w:type="numbering" w:customStyle="1" w:styleId="ImportedStyle43">
    <w:name w:val="Imported Style 43"/>
    <w:rsid w:val="00763A7D"/>
    <w:pPr>
      <w:numPr>
        <w:numId w:val="73"/>
      </w:numPr>
    </w:pPr>
  </w:style>
  <w:style w:type="numbering" w:customStyle="1" w:styleId="ImportedStyle44">
    <w:name w:val="Imported Style 44"/>
    <w:rsid w:val="00763A7D"/>
  </w:style>
  <w:style w:type="numbering" w:customStyle="1" w:styleId="ImportedStyle45">
    <w:name w:val="Imported Style 45"/>
    <w:rsid w:val="00763A7D"/>
    <w:pPr>
      <w:numPr>
        <w:numId w:val="86"/>
      </w:numPr>
    </w:pPr>
  </w:style>
  <w:style w:type="numbering" w:customStyle="1" w:styleId="ImportedStyle46">
    <w:name w:val="Imported Style 46"/>
    <w:rsid w:val="00763A7D"/>
    <w:pPr>
      <w:numPr>
        <w:numId w:val="75"/>
      </w:numPr>
    </w:pPr>
  </w:style>
  <w:style w:type="numbering" w:customStyle="1" w:styleId="ImportedStyle47">
    <w:name w:val="Imported Style 47"/>
    <w:rsid w:val="00763A7D"/>
    <w:pPr>
      <w:numPr>
        <w:numId w:val="87"/>
      </w:numPr>
    </w:pPr>
  </w:style>
  <w:style w:type="numbering" w:customStyle="1" w:styleId="ImportedStyle48">
    <w:name w:val="Imported Style 48"/>
    <w:rsid w:val="00763A7D"/>
    <w:pPr>
      <w:numPr>
        <w:numId w:val="76"/>
      </w:numPr>
    </w:pPr>
  </w:style>
  <w:style w:type="numbering" w:customStyle="1" w:styleId="ImportedStyle36">
    <w:name w:val="Imported Style 36"/>
    <w:rsid w:val="00763A7D"/>
    <w:pPr>
      <w:numPr>
        <w:numId w:val="88"/>
      </w:numPr>
    </w:pPr>
  </w:style>
  <w:style w:type="numbering" w:customStyle="1" w:styleId="ImportedStyle49">
    <w:name w:val="Imported Style 49"/>
    <w:rsid w:val="00763A7D"/>
  </w:style>
  <w:style w:type="numbering" w:customStyle="1" w:styleId="ImportedStyle50">
    <w:name w:val="Imported Style 50"/>
    <w:rsid w:val="00763A7D"/>
  </w:style>
  <w:style w:type="numbering" w:customStyle="1" w:styleId="ImportedStyle51">
    <w:name w:val="Imported Style 51"/>
    <w:rsid w:val="00763A7D"/>
    <w:pPr>
      <w:numPr>
        <w:numId w:val="77"/>
      </w:numPr>
    </w:pPr>
  </w:style>
  <w:style w:type="numbering" w:customStyle="1" w:styleId="ImportedStyle52">
    <w:name w:val="Imported Style 52"/>
    <w:rsid w:val="00763A7D"/>
    <w:pPr>
      <w:numPr>
        <w:numId w:val="78"/>
      </w:numPr>
    </w:pPr>
  </w:style>
  <w:style w:type="numbering" w:customStyle="1" w:styleId="ImportedStyle53">
    <w:name w:val="Imported Style 53"/>
    <w:rsid w:val="00763A7D"/>
    <w:pPr>
      <w:numPr>
        <w:numId w:val="79"/>
      </w:numPr>
    </w:pPr>
  </w:style>
  <w:style w:type="numbering" w:customStyle="1" w:styleId="ImportedStyle54">
    <w:name w:val="Imported Style 54"/>
    <w:rsid w:val="00763A7D"/>
    <w:pPr>
      <w:numPr>
        <w:numId w:val="97"/>
      </w:numPr>
    </w:pPr>
  </w:style>
  <w:style w:type="numbering" w:customStyle="1" w:styleId="ImportedStyle55">
    <w:name w:val="Imported Style 55"/>
    <w:rsid w:val="00763A7D"/>
    <w:pPr>
      <w:numPr>
        <w:numId w:val="80"/>
      </w:numPr>
    </w:pPr>
  </w:style>
  <w:style w:type="numbering" w:customStyle="1" w:styleId="ImportedStyle56">
    <w:name w:val="Imported Style 56"/>
    <w:rsid w:val="00763A7D"/>
    <w:pPr>
      <w:numPr>
        <w:numId w:val="81"/>
      </w:numPr>
    </w:pPr>
  </w:style>
  <w:style w:type="numbering" w:customStyle="1" w:styleId="ImportedStyle57">
    <w:name w:val="Imported Style 57"/>
    <w:rsid w:val="00763A7D"/>
    <w:pPr>
      <w:numPr>
        <w:numId w:val="82"/>
      </w:numPr>
    </w:pPr>
  </w:style>
  <w:style w:type="numbering" w:customStyle="1" w:styleId="ImportedStyle58">
    <w:name w:val="Imported Style 58"/>
    <w:rsid w:val="00763A7D"/>
    <w:pPr>
      <w:numPr>
        <w:numId w:val="83"/>
      </w:numPr>
    </w:pPr>
  </w:style>
  <w:style w:type="numbering" w:customStyle="1" w:styleId="ImportedStyle59">
    <w:name w:val="Imported Style 59"/>
    <w:rsid w:val="00763A7D"/>
    <w:pPr>
      <w:numPr>
        <w:numId w:val="84"/>
      </w:numPr>
    </w:pPr>
  </w:style>
  <w:style w:type="numbering" w:customStyle="1" w:styleId="ImportedStyle60">
    <w:name w:val="Imported Style 60"/>
    <w:rsid w:val="00763A7D"/>
    <w:pPr>
      <w:numPr>
        <w:numId w:val="74"/>
      </w:numPr>
    </w:pPr>
  </w:style>
  <w:style w:type="numbering" w:customStyle="1" w:styleId="ImportedStyle61">
    <w:name w:val="Imported Style 61"/>
    <w:rsid w:val="00763A7D"/>
    <w:pPr>
      <w:numPr>
        <w:numId w:val="8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763A7D"/>
    <w:rPr>
      <w:sz w:val="24"/>
      <w:lang w:val="fr-FR"/>
    </w:rPr>
  </w:style>
  <w:style w:type="paragraph" w:customStyle="1" w:styleId="Style1">
    <w:name w:val="Style1"/>
    <w:basedOn w:val="Text1"/>
    <w:qFormat/>
    <w:rsid w:val="00763A7D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763A7D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763A7D"/>
    <w:pPr>
      <w:numPr>
        <w:numId w:val="8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763A7D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763A7D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763A7D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763A7D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763A7D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763A7D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eastAsia="en-US"/>
    </w:rPr>
  </w:style>
  <w:style w:type="paragraph" w:customStyle="1" w:styleId="CM1">
    <w:name w:val="CM1"/>
    <w:basedOn w:val="Default"/>
    <w:next w:val="Default"/>
    <w:uiPriority w:val="99"/>
    <w:rsid w:val="00763A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763A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763A7D"/>
    <w:rPr>
      <w:i/>
      <w:iCs/>
    </w:rPr>
  </w:style>
  <w:style w:type="paragraph" w:customStyle="1" w:styleId="Tetxt1">
    <w:name w:val="Tetxt 1"/>
    <w:basedOn w:val="Normal"/>
    <w:rsid w:val="00763A7D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763A7D"/>
    <w:pPr>
      <w:numPr>
        <w:numId w:val="9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763A7D"/>
    <w:pPr>
      <w:numPr>
        <w:numId w:val="90"/>
      </w:numPr>
    </w:pPr>
    <w:rPr>
      <w:szCs w:val="24"/>
    </w:rPr>
  </w:style>
  <w:style w:type="paragraph" w:customStyle="1" w:styleId="Pi">
    <w:name w:val="Pi"/>
    <w:basedOn w:val="ListNumber1Level2"/>
    <w:rsid w:val="00763A7D"/>
  </w:style>
  <w:style w:type="paragraph" w:customStyle="1" w:styleId="Numbpar">
    <w:name w:val="Numb par"/>
    <w:basedOn w:val="ManualNumbpar"/>
    <w:rsid w:val="00763A7D"/>
  </w:style>
  <w:style w:type="paragraph" w:customStyle="1" w:styleId="Numbpar1">
    <w:name w:val="Numb par 1"/>
    <w:basedOn w:val="ManualNumbpar"/>
    <w:rsid w:val="00763A7D"/>
  </w:style>
  <w:style w:type="paragraph" w:customStyle="1" w:styleId="Point1letter0">
    <w:name w:val="Point 1 letter"/>
    <w:basedOn w:val="NormalWeb"/>
    <w:rsid w:val="00763A7D"/>
    <w:pPr>
      <w:numPr>
        <w:ilvl w:val="1"/>
        <w:numId w:val="9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763A7D"/>
    <w:pPr>
      <w:numPr>
        <w:numId w:val="9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Point2">
    <w:name w:val="Point 2"/>
    <w:basedOn w:val="Normal"/>
    <w:rsid w:val="00763A7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63A7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763A7D"/>
    <w:pPr>
      <w:numPr>
        <w:numId w:val="102"/>
      </w:numPr>
      <w:tabs>
        <w:tab w:val="clear" w:pos="3685"/>
      </w:tabs>
      <w:ind w:left="850" w:hanging="850"/>
    </w:pPr>
  </w:style>
  <w:style w:type="paragraph" w:customStyle="1" w:styleId="NumPar5">
    <w:name w:val="NumPar 5"/>
    <w:basedOn w:val="Normal"/>
    <w:next w:val="Text2"/>
    <w:rsid w:val="00763A7D"/>
    <w:pPr>
      <w:widowControl/>
      <w:numPr>
        <w:ilvl w:val="4"/>
        <w:numId w:val="103"/>
      </w:numPr>
      <w:spacing w:before="120" w:after="120"/>
      <w:ind w:left="360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63A7D"/>
    <w:pPr>
      <w:widowControl/>
      <w:numPr>
        <w:ilvl w:val="5"/>
        <w:numId w:val="103"/>
      </w:numPr>
      <w:spacing w:before="120" w:after="120"/>
      <w:ind w:left="432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63A7D"/>
    <w:pPr>
      <w:widowControl/>
      <w:numPr>
        <w:ilvl w:val="6"/>
        <w:numId w:val="103"/>
      </w:numPr>
      <w:spacing w:before="120" w:after="120"/>
      <w:ind w:left="504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63A7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63A7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63A7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63A7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63A7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63A7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763A7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63A7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63A7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63A7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63A7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63A7D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763A7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63A7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63A7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763A7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63A7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63A7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63A7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63A7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63A7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763A7D"/>
    <w:pPr>
      <w:numPr>
        <w:numId w:val="104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763A7D"/>
    <w:pPr>
      <w:numPr>
        <w:numId w:val="105"/>
      </w:numPr>
      <w:tabs>
        <w:tab w:val="clear" w:pos="1417"/>
      </w:tabs>
      <w:ind w:left="720" w:hanging="360"/>
    </w:pPr>
  </w:style>
  <w:style w:type="paragraph" w:customStyle="1" w:styleId="Tiret2">
    <w:name w:val="Tiret 2"/>
    <w:basedOn w:val="Point2"/>
    <w:rsid w:val="00763A7D"/>
    <w:pPr>
      <w:numPr>
        <w:numId w:val="106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763A7D"/>
    <w:pPr>
      <w:numPr>
        <w:numId w:val="107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763A7D"/>
    <w:pPr>
      <w:numPr>
        <w:numId w:val="108"/>
      </w:numPr>
      <w:tabs>
        <w:tab w:val="clear" w:pos="3118"/>
      </w:tabs>
      <w:ind w:left="850" w:hanging="850"/>
    </w:pPr>
  </w:style>
  <w:style w:type="paragraph" w:customStyle="1" w:styleId="PointDouble0">
    <w:name w:val="PointDouble 0"/>
    <w:basedOn w:val="Normal"/>
    <w:rsid w:val="00763A7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63A7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63A7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63A7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63A7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63A7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63A7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63A7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63A7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63A7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63A7D"/>
    <w:pPr>
      <w:widowControl/>
      <w:numPr>
        <w:numId w:val="103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63A7D"/>
    <w:pPr>
      <w:widowControl/>
      <w:numPr>
        <w:ilvl w:val="1"/>
        <w:numId w:val="103"/>
      </w:numPr>
      <w:tabs>
        <w:tab w:val="clear" w:pos="85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63A7D"/>
    <w:pPr>
      <w:widowControl/>
      <w:numPr>
        <w:ilvl w:val="2"/>
        <w:numId w:val="103"/>
      </w:numPr>
      <w:tabs>
        <w:tab w:val="clear" w:pos="850"/>
      </w:tabs>
      <w:spacing w:before="120" w:after="120"/>
      <w:ind w:left="2160" w:hanging="29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63A7D"/>
    <w:pPr>
      <w:widowControl/>
      <w:numPr>
        <w:ilvl w:val="3"/>
        <w:numId w:val="103"/>
      </w:numPr>
      <w:tabs>
        <w:tab w:val="clear" w:pos="850"/>
      </w:tabs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63A7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63A7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63A7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63A7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63A7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63A7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63A7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63A7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63A7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63A7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63A7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63A7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63A7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763A7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63A7D"/>
    <w:pPr>
      <w:widowControl/>
      <w:numPr>
        <w:numId w:val="109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63A7D"/>
    <w:pPr>
      <w:widowControl/>
      <w:numPr>
        <w:ilvl w:val="2"/>
        <w:numId w:val="109"/>
      </w:numPr>
      <w:tabs>
        <w:tab w:val="clear" w:pos="1417"/>
      </w:tabs>
      <w:spacing w:before="120" w:after="120"/>
      <w:ind w:left="1800" w:hanging="29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63A7D"/>
    <w:pPr>
      <w:widowControl/>
      <w:numPr>
        <w:ilvl w:val="4"/>
        <w:numId w:val="109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63A7D"/>
    <w:pPr>
      <w:widowControl/>
      <w:numPr>
        <w:ilvl w:val="6"/>
        <w:numId w:val="109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63A7D"/>
    <w:pPr>
      <w:widowControl/>
      <w:numPr>
        <w:ilvl w:val="1"/>
        <w:numId w:val="109"/>
      </w:numPr>
      <w:tabs>
        <w:tab w:val="clear" w:pos="85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63A7D"/>
    <w:pPr>
      <w:widowControl/>
      <w:numPr>
        <w:ilvl w:val="3"/>
        <w:numId w:val="109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63A7D"/>
    <w:pPr>
      <w:widowControl/>
      <w:numPr>
        <w:ilvl w:val="5"/>
        <w:numId w:val="109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63A7D"/>
    <w:pPr>
      <w:widowControl/>
      <w:numPr>
        <w:ilvl w:val="7"/>
        <w:numId w:val="109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63A7D"/>
    <w:pPr>
      <w:widowControl/>
      <w:numPr>
        <w:ilvl w:val="8"/>
        <w:numId w:val="109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63A7D"/>
    <w:pPr>
      <w:widowControl/>
      <w:numPr>
        <w:numId w:val="9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63A7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63A7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63A7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63A7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63A7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63A7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63A7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763A7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763A7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63A7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63A7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63A7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63A7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63A7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63A7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63A7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63A7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63A7D"/>
    <w:pPr>
      <w:widowControl/>
      <w:numPr>
        <w:numId w:val="110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63A7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63A7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63A7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63A7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63A7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63A7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63A7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63A7D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63A7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63A7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63A7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63A7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63A7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63A7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63A7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763A7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63A7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63A7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63A7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63A7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63A7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763A7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63A7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63A7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63A7D"/>
  </w:style>
  <w:style w:type="paragraph" w:customStyle="1" w:styleId="StatutPagedecouverture">
    <w:name w:val="Statut (Page de couverture)"/>
    <w:basedOn w:val="Statut"/>
    <w:next w:val="TypedudocumentPagedecouverture"/>
    <w:rsid w:val="00763A7D"/>
  </w:style>
  <w:style w:type="paragraph" w:customStyle="1" w:styleId="TitreobjetPagedecouverture">
    <w:name w:val="Titre objet (Page de couverture)"/>
    <w:basedOn w:val="Titreobjet"/>
    <w:next w:val="IntrtEEEPagedecouverture"/>
    <w:rsid w:val="00763A7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63A7D"/>
  </w:style>
  <w:style w:type="paragraph" w:customStyle="1" w:styleId="Volume">
    <w:name w:val="Volume"/>
    <w:basedOn w:val="Normal"/>
    <w:next w:val="Confidentialit"/>
    <w:rsid w:val="00763A7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63A7D"/>
    <w:pPr>
      <w:spacing w:after="240"/>
    </w:pPr>
  </w:style>
  <w:style w:type="paragraph" w:customStyle="1" w:styleId="Accompagnant">
    <w:name w:val="Accompagnant"/>
    <w:basedOn w:val="Normal"/>
    <w:next w:val="Typeacteprincipal"/>
    <w:rsid w:val="00763A7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63A7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63A7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63A7D"/>
  </w:style>
  <w:style w:type="paragraph" w:customStyle="1" w:styleId="AccompagnantPagedecouverture">
    <w:name w:val="Accompagnant (Page de couverture)"/>
    <w:basedOn w:val="Accompagnant"/>
    <w:next w:val="TypeacteprincipalPagedecouverture"/>
    <w:rsid w:val="00763A7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63A7D"/>
  </w:style>
  <w:style w:type="paragraph" w:customStyle="1" w:styleId="ObjetacteprincipalPagedecouverture">
    <w:name w:val="Objet acte principal (Page de couverture)"/>
    <w:basedOn w:val="Objetacteprincipal"/>
    <w:next w:val="Rfrencecroise"/>
    <w:rsid w:val="00763A7D"/>
  </w:style>
  <w:style w:type="paragraph" w:customStyle="1" w:styleId="LanguesfaisantfoiPagedecouverture">
    <w:name w:val="Langues faisant foi (Page de couverture)"/>
    <w:basedOn w:val="Normal"/>
    <w:next w:val="Normal"/>
    <w:rsid w:val="00763A7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63A7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63A7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763A7D"/>
    <w:pPr>
      <w:ind w:left="-1134" w:right="-1134"/>
    </w:pPr>
  </w:style>
  <w:style w:type="character" w:customStyle="1" w:styleId="pjChar">
    <w:name w:val="p.j. Char"/>
    <w:basedOn w:val="TechnicalBlockChar"/>
    <w:link w:val="pj"/>
    <w:rsid w:val="00763A7D"/>
    <w:rPr>
      <w:rFonts w:eastAsia="Calibri"/>
      <w:sz w:val="24"/>
      <w:szCs w:val="22"/>
      <w:lang w:val="fr-FR" w:eastAsia="en-US"/>
    </w:rPr>
  </w:style>
  <w:style w:type="character" w:customStyle="1" w:styleId="HeaderCouncilChar">
    <w:name w:val="Header Council Char"/>
    <w:basedOn w:val="pjChar"/>
    <w:link w:val="HeaderCouncil"/>
    <w:rsid w:val="00763A7D"/>
    <w:rPr>
      <w:rFonts w:eastAsia="Calibri"/>
      <w:sz w:val="2"/>
      <w:szCs w:val="22"/>
      <w:lang w:val="fr-FR" w:eastAsia="en-US"/>
    </w:rPr>
  </w:style>
  <w:style w:type="character" w:customStyle="1" w:styleId="FooterCouncilChar">
    <w:name w:val="Footer Council Char"/>
    <w:basedOn w:val="pjChar"/>
    <w:link w:val="FooterCouncil"/>
    <w:rsid w:val="00763A7D"/>
    <w:rPr>
      <w:rFonts w:eastAsia="Calibri"/>
      <w:sz w:val="2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763A7D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63A7D"/>
    <w:rPr>
      <w:rFonts w:ascii="Calibri" w:eastAsia="Calibri" w:hAnsi="Calibri" w:cs="Calibri"/>
      <w:sz w:val="22"/>
      <w:szCs w:val="22"/>
      <w:lang w:val="fr-FR" w:eastAsia="en-US"/>
    </w:rPr>
  </w:style>
  <w:style w:type="paragraph" w:customStyle="1" w:styleId="TableParagraph">
    <w:name w:val="Table Paragraph"/>
    <w:basedOn w:val="Normal"/>
    <w:uiPriority w:val="1"/>
    <w:qFormat/>
    <w:rsid w:val="00763A7D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763A7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63A7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63A7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63A7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63A7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63A7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63A7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63A7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63A7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63A7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63A7D"/>
    <w:pPr>
      <w:widowControl/>
      <w:numPr>
        <w:numId w:val="111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63A7D"/>
    <w:pPr>
      <w:widowControl/>
      <w:numPr>
        <w:numId w:val="112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63A7D"/>
    <w:pPr>
      <w:widowControl/>
      <w:numPr>
        <w:numId w:val="113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63A7D"/>
    <w:pPr>
      <w:widowControl/>
      <w:numPr>
        <w:numId w:val="114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63A7D"/>
    <w:pPr>
      <w:widowControl/>
      <w:numPr>
        <w:numId w:val="115"/>
      </w:numPr>
      <w:tabs>
        <w:tab w:val="clear" w:pos="4252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63A7D"/>
    <w:pPr>
      <w:widowControl/>
      <w:numPr>
        <w:numId w:val="116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63A7D"/>
    <w:pPr>
      <w:widowControl/>
      <w:numPr>
        <w:numId w:val="117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63A7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763A7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63A7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63A7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63A7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63A7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63A7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63A7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63A7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63A7D"/>
    <w:pPr>
      <w:spacing w:before="240"/>
    </w:pPr>
  </w:style>
  <w:style w:type="paragraph" w:customStyle="1" w:styleId="Accordtitre">
    <w:name w:val="Accord titre"/>
    <w:basedOn w:val="Normal"/>
    <w:rsid w:val="00763A7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63A7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63A7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63A7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63A7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63A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63A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63A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63A7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63A7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63A7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63A7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63A7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63A7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63A7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63A7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63A7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63A7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63A7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63A7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63A7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63A7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63A7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63A7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63A7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63A7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63A7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63A7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63A7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63A7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63A7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63A7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763A7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63A7D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63A7D"/>
    <w:rPr>
      <w:b/>
      <w:i/>
    </w:rPr>
  </w:style>
  <w:style w:type="character" w:customStyle="1" w:styleId="diff-tte-removed">
    <w:name w:val="diff-tte-removed"/>
    <w:basedOn w:val="DefaultParagraphFont"/>
    <w:rsid w:val="00763A7D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3A7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3A7D"/>
    <w:rPr>
      <w:color w:val="605E5C"/>
      <w:shd w:val="clear" w:color="auto" w:fill="E1DFDD"/>
    </w:rPr>
  </w:style>
  <w:style w:type="paragraph" w:customStyle="1" w:styleId="Title1">
    <w:name w:val="Title1"/>
    <w:basedOn w:val="Normal"/>
    <w:next w:val="Normal"/>
    <w:uiPriority w:val="10"/>
    <w:qFormat/>
    <w:rsid w:val="00763A7D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63A7D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763A7D"/>
    <w:pPr>
      <w:widowControl/>
      <w:spacing w:after="60"/>
      <w:jc w:val="center"/>
      <w:outlineLvl w:val="1"/>
    </w:pPr>
    <w:rPr>
      <w:rFonts w:ascii="Arial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63A7D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763A7D"/>
    <w:rPr>
      <w:b/>
      <w:bCs/>
    </w:rPr>
  </w:style>
  <w:style w:type="paragraph" w:styleId="NoSpacing">
    <w:name w:val="No Spacing"/>
    <w:basedOn w:val="Normal"/>
    <w:uiPriority w:val="1"/>
    <w:qFormat/>
    <w:rsid w:val="00763A7D"/>
    <w:pPr>
      <w:widowControl/>
      <w:jc w:val="both"/>
    </w:pPr>
    <w:rPr>
      <w:rFonts w:eastAsia="Calibri"/>
      <w:szCs w:val="3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63A7D"/>
    <w:pPr>
      <w:widowControl/>
      <w:jc w:val="both"/>
    </w:pPr>
    <w:rPr>
      <w:rFonts w:eastAsia="Calibr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763A7D"/>
    <w:rPr>
      <w:rFonts w:eastAsia="Calibr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A7D"/>
    <w:pPr>
      <w:widowControl/>
      <w:ind w:left="720" w:right="720"/>
      <w:jc w:val="both"/>
    </w:pPr>
    <w:rPr>
      <w:rFonts w:eastAsia="Calibr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A7D"/>
    <w:rPr>
      <w:rFonts w:eastAsia="Calibri"/>
      <w:b/>
      <w:i/>
      <w:sz w:val="24"/>
      <w:szCs w:val="22"/>
      <w:lang w:eastAsia="en-US"/>
    </w:rPr>
  </w:style>
  <w:style w:type="character" w:customStyle="1" w:styleId="SubtleEmphasis1">
    <w:name w:val="Subtle Emphasis1"/>
    <w:uiPriority w:val="19"/>
    <w:qFormat/>
    <w:rsid w:val="00763A7D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763A7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63A7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63A7D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763A7D"/>
    <w:rPr>
      <w:rFonts w:ascii="Cambria" w:eastAsia="Times New Roman" w:hAnsi="Cambria"/>
      <w:b/>
      <w:i/>
      <w:sz w:val="24"/>
      <w:szCs w:val="24"/>
    </w:rPr>
  </w:style>
  <w:style w:type="paragraph" w:customStyle="1" w:styleId="pf0">
    <w:name w:val="pf0"/>
    <w:basedOn w:val="Normal"/>
    <w:rsid w:val="00763A7D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val="fr-BE" w:eastAsia="fr-BE"/>
    </w:rPr>
  </w:style>
  <w:style w:type="character" w:customStyle="1" w:styleId="cf01">
    <w:name w:val="cf01"/>
    <w:basedOn w:val="DefaultParagraphFont"/>
    <w:rsid w:val="00763A7D"/>
    <w:rPr>
      <w:rFonts w:ascii="Segoe UI" w:hAnsi="Segoe UI" w:cs="Segoe UI" w:hint="default"/>
    </w:rPr>
  </w:style>
  <w:style w:type="paragraph" w:styleId="Title">
    <w:name w:val="Title"/>
    <w:basedOn w:val="Normal"/>
    <w:next w:val="Normal"/>
    <w:link w:val="TitleChar"/>
    <w:uiPriority w:val="10"/>
    <w:qFormat/>
    <w:rsid w:val="00763A7D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763A7D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A7D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763A7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/>
    </w:rPr>
  </w:style>
  <w:style w:type="character" w:styleId="SubtleEmphasis">
    <w:name w:val="Subtle Emphasis"/>
    <w:basedOn w:val="DefaultParagraphFont"/>
    <w:uiPriority w:val="19"/>
    <w:qFormat/>
    <w:rsid w:val="00763A7D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763A7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E27A8-863D-4A2B-BA3E-E6046094C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418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NEUKELMANCE Charlotte Anne Alain Ghislaine</cp:lastModifiedBy>
  <cp:revision>2</cp:revision>
  <cp:lastPrinted>2004-11-19T15:42:00Z</cp:lastPrinted>
  <dcterms:created xsi:type="dcterms:W3CDTF">2024-09-11T12:57:00Z</dcterms:created>
  <dcterms:modified xsi:type="dcterms:W3CDTF">2024-09-11T12:57:00Z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