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1C2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41C2A" w:rsidRDefault="008669D6" w:rsidP="0010095E">
            <w:pPr>
              <w:pStyle w:val="EPName"/>
            </w:pPr>
            <w:r w:rsidRPr="00C41C2A">
              <w:t>Europski parlament</w:t>
            </w:r>
          </w:p>
          <w:p w:rsidR="00751A4A" w:rsidRPr="00C41C2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051A6">
              <w:t>2019</w:t>
            </w:r>
            <w:r w:rsidRPr="00C41C2A">
              <w:t>-</w:t>
            </w:r>
            <w:r w:rsidRPr="002051A6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41C2A" w:rsidRDefault="00187494" w:rsidP="0010095E">
            <w:pPr>
              <w:pStyle w:val="EPLogo"/>
            </w:pPr>
            <w:r w:rsidRPr="00C41C2A">
              <w:rPr>
                <w:noProof/>
                <w:lang w:val="en-GB" w:eastAsia="zh-CN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41C2A" w:rsidRDefault="00D058B8" w:rsidP="004C5D52">
      <w:pPr>
        <w:pStyle w:val="LineTop"/>
      </w:pPr>
    </w:p>
    <w:p w:rsidR="00680577" w:rsidRPr="00C41C2A" w:rsidRDefault="008669D6" w:rsidP="00680577">
      <w:pPr>
        <w:pStyle w:val="EPBodyTA1"/>
      </w:pPr>
      <w:r w:rsidRPr="00C41C2A">
        <w:t>USVOJENI TEKSTOVI</w:t>
      </w:r>
    </w:p>
    <w:p w:rsidR="00D058B8" w:rsidRPr="00C41C2A" w:rsidRDefault="00D058B8" w:rsidP="00D058B8">
      <w:pPr>
        <w:pStyle w:val="LineBottom"/>
      </w:pPr>
    </w:p>
    <w:p w:rsidR="008669D6" w:rsidRPr="00C41C2A" w:rsidRDefault="008669D6" w:rsidP="008669D6">
      <w:pPr>
        <w:pStyle w:val="ATHeading1"/>
      </w:pPr>
      <w:bookmarkStart w:id="0" w:name="TANumber"/>
      <w:r w:rsidRPr="00C41C2A">
        <w:t>P</w:t>
      </w:r>
      <w:r w:rsidRPr="002051A6">
        <w:t>9</w:t>
      </w:r>
      <w:r w:rsidRPr="00C41C2A">
        <w:t>_TA(</w:t>
      </w:r>
      <w:r w:rsidRPr="002051A6">
        <w:t>2024</w:t>
      </w:r>
      <w:r w:rsidRPr="00C41C2A">
        <w:t>)</w:t>
      </w:r>
      <w:r w:rsidRPr="002051A6">
        <w:t>0</w:t>
      </w:r>
      <w:r w:rsidR="00C41C2A" w:rsidRPr="002051A6">
        <w:t>364</w:t>
      </w:r>
      <w:bookmarkEnd w:id="0"/>
    </w:p>
    <w:p w:rsidR="008669D6" w:rsidRPr="00C41C2A" w:rsidRDefault="008669D6" w:rsidP="008669D6">
      <w:pPr>
        <w:pStyle w:val="ATHeading2"/>
      </w:pPr>
      <w:bookmarkStart w:id="1" w:name="title"/>
      <w:r w:rsidRPr="00C41C2A">
        <w:t>Šesta direktiva o suzbijanju pranja novca</w:t>
      </w:r>
      <w:bookmarkEnd w:id="1"/>
    </w:p>
    <w:p w:rsidR="008669D6" w:rsidRPr="00C41C2A" w:rsidRDefault="008669D6" w:rsidP="008669D6">
      <w:pPr>
        <w:rPr>
          <w:i/>
          <w:vanish/>
        </w:rPr>
      </w:pPr>
      <w:r w:rsidRPr="00C41C2A">
        <w:rPr>
          <w:i/>
        </w:rPr>
        <w:fldChar w:fldCharType="begin"/>
      </w:r>
      <w:r w:rsidRPr="00C41C2A">
        <w:rPr>
          <w:i/>
        </w:rPr>
        <w:instrText xml:space="preserve"> TC"(</w:instrText>
      </w:r>
      <w:bookmarkStart w:id="2" w:name="DocNumber"/>
      <w:r w:rsidRPr="00C41C2A">
        <w:rPr>
          <w:i/>
        </w:rPr>
        <w:instrText>A</w:instrText>
      </w:r>
      <w:r w:rsidRPr="002051A6">
        <w:rPr>
          <w:i/>
        </w:rPr>
        <w:instrText>9</w:instrText>
      </w:r>
      <w:r w:rsidRPr="00C41C2A">
        <w:rPr>
          <w:i/>
        </w:rPr>
        <w:instrText>-</w:instrText>
      </w:r>
      <w:r w:rsidRPr="002051A6">
        <w:rPr>
          <w:i/>
        </w:rPr>
        <w:instrText>0150</w:instrText>
      </w:r>
      <w:r w:rsidRPr="00C41C2A">
        <w:rPr>
          <w:i/>
        </w:rPr>
        <w:instrText>/</w:instrText>
      </w:r>
      <w:r w:rsidRPr="002051A6">
        <w:rPr>
          <w:i/>
        </w:rPr>
        <w:instrText>2023</w:instrText>
      </w:r>
      <w:bookmarkEnd w:id="2"/>
      <w:r w:rsidRPr="00C41C2A">
        <w:rPr>
          <w:i/>
        </w:rPr>
        <w:instrText xml:space="preserve"> - Izvjestitelji: </w:instrText>
      </w:r>
      <w:proofErr w:type="spellStart"/>
      <w:r w:rsidRPr="00C41C2A">
        <w:rPr>
          <w:i/>
        </w:rPr>
        <w:instrText>Luděk</w:instrText>
      </w:r>
      <w:proofErr w:type="spellEnd"/>
      <w:r w:rsidRPr="00C41C2A">
        <w:rPr>
          <w:i/>
        </w:rPr>
        <w:instrText xml:space="preserve"> </w:instrText>
      </w:r>
      <w:proofErr w:type="spellStart"/>
      <w:r w:rsidRPr="00C41C2A">
        <w:rPr>
          <w:i/>
        </w:rPr>
        <w:instrText>Niedermayer</w:instrText>
      </w:r>
      <w:proofErr w:type="spellEnd"/>
      <w:r w:rsidRPr="00C41C2A">
        <w:rPr>
          <w:i/>
        </w:rPr>
        <w:instrText xml:space="preserve">, Paul </w:instrText>
      </w:r>
      <w:proofErr w:type="spellStart"/>
      <w:r w:rsidRPr="00C41C2A">
        <w:rPr>
          <w:i/>
        </w:rPr>
        <w:instrText>Tang</w:instrText>
      </w:r>
      <w:proofErr w:type="spellEnd"/>
      <w:r w:rsidRPr="00C41C2A">
        <w:rPr>
          <w:i/>
        </w:rPr>
        <w:instrText>)"\l</w:instrText>
      </w:r>
      <w:r w:rsidRPr="002051A6">
        <w:rPr>
          <w:i/>
        </w:rPr>
        <w:instrText>3</w:instrText>
      </w:r>
      <w:r w:rsidRPr="00C41C2A">
        <w:rPr>
          <w:i/>
        </w:rPr>
        <w:instrText xml:space="preserve"> \n&gt; \* MERGEFORMAT </w:instrText>
      </w:r>
      <w:r w:rsidRPr="00C41C2A">
        <w:rPr>
          <w:i/>
        </w:rPr>
        <w:fldChar w:fldCharType="end"/>
      </w:r>
    </w:p>
    <w:p w:rsidR="008669D6" w:rsidRPr="00C41C2A" w:rsidRDefault="008669D6" w:rsidP="008669D6">
      <w:pPr>
        <w:rPr>
          <w:vanish/>
        </w:rPr>
      </w:pPr>
      <w:bookmarkStart w:id="3" w:name="Commission"/>
      <w:r w:rsidRPr="00C41C2A">
        <w:rPr>
          <w:vanish/>
        </w:rPr>
        <w:t>Odbor za ekonomsku i monetarnu politiku</w:t>
      </w:r>
      <w:bookmarkEnd w:id="3"/>
      <w:r w:rsidR="00CF1075" w:rsidRPr="00C41C2A">
        <w:rPr>
          <w:vanish/>
        </w:rPr>
        <w:t>, Odbor za građanske slobode, pravosuđe i unutarnje poslove</w:t>
      </w:r>
    </w:p>
    <w:p w:rsidR="008669D6" w:rsidRPr="00C41C2A" w:rsidRDefault="008669D6" w:rsidP="008669D6">
      <w:pPr>
        <w:rPr>
          <w:vanish/>
        </w:rPr>
      </w:pPr>
      <w:bookmarkStart w:id="4" w:name="PE"/>
      <w:r w:rsidRPr="00C41C2A">
        <w:rPr>
          <w:vanish/>
        </w:rPr>
        <w:t>PE</w:t>
      </w:r>
      <w:r w:rsidRPr="002051A6">
        <w:rPr>
          <w:vanish/>
        </w:rPr>
        <w:t>730</w:t>
      </w:r>
      <w:r w:rsidRPr="00C41C2A">
        <w:rPr>
          <w:vanish/>
        </w:rPr>
        <w:t>.</w:t>
      </w:r>
      <w:r w:rsidRPr="002051A6">
        <w:rPr>
          <w:vanish/>
        </w:rPr>
        <w:t>070</w:t>
      </w:r>
      <w:bookmarkEnd w:id="4"/>
    </w:p>
    <w:p w:rsidR="008669D6" w:rsidRPr="00C41C2A" w:rsidRDefault="008669D6" w:rsidP="008669D6">
      <w:pPr>
        <w:pStyle w:val="ATHeading3"/>
      </w:pPr>
      <w:bookmarkStart w:id="5" w:name="Sujet"/>
      <w:r w:rsidRPr="00C41C2A">
        <w:t xml:space="preserve">Zakonodavna rezolucija Europskog parlamenta od </w:t>
      </w:r>
      <w:r w:rsidR="00CF1075" w:rsidRPr="002051A6">
        <w:t>24</w:t>
      </w:r>
      <w:r w:rsidR="00CF1075" w:rsidRPr="00C41C2A">
        <w:t>. travnja</w:t>
      </w:r>
      <w:r w:rsidRPr="00C41C2A">
        <w:t xml:space="preserve"> </w:t>
      </w:r>
      <w:r w:rsidRPr="002051A6">
        <w:t>2024</w:t>
      </w:r>
      <w:r w:rsidRPr="00C41C2A">
        <w:t xml:space="preserve">. o Prijedlogu direktive Europskog parlamenta i Vijeća o mehanizmima koje države članice trebaju uspostaviti radi sprečavanja korištenja financijskog sustava u svrhu pranja novca ili financiranja terorizma i o stavljanju izvan snage Direktive (EU) </w:t>
      </w:r>
      <w:r w:rsidRPr="002051A6">
        <w:t>2015</w:t>
      </w:r>
      <w:r w:rsidRPr="00C41C2A">
        <w:t>/</w:t>
      </w:r>
      <w:r w:rsidRPr="002051A6">
        <w:t>849</w:t>
      </w:r>
      <w:bookmarkEnd w:id="5"/>
      <w:r w:rsidRPr="00C41C2A">
        <w:t xml:space="preserve"> </w:t>
      </w:r>
      <w:bookmarkStart w:id="6" w:name="References"/>
      <w:r w:rsidRPr="00C41C2A">
        <w:t>(COM(</w:t>
      </w:r>
      <w:r w:rsidRPr="002051A6">
        <w:t>2021</w:t>
      </w:r>
      <w:r w:rsidRPr="00C41C2A">
        <w:t>)</w:t>
      </w:r>
      <w:r w:rsidRPr="002051A6">
        <w:t>0423</w:t>
      </w:r>
      <w:r w:rsidRPr="00C41C2A">
        <w:t xml:space="preserve"> – C</w:t>
      </w:r>
      <w:r w:rsidRPr="002051A6">
        <w:t>9</w:t>
      </w:r>
      <w:r w:rsidRPr="00C41C2A">
        <w:t>-</w:t>
      </w:r>
      <w:r w:rsidRPr="002051A6">
        <w:t>0342</w:t>
      </w:r>
      <w:r w:rsidRPr="00C41C2A">
        <w:t>/</w:t>
      </w:r>
      <w:r w:rsidRPr="002051A6">
        <w:t>2021</w:t>
      </w:r>
      <w:r w:rsidRPr="00C41C2A">
        <w:t xml:space="preserve"> – </w:t>
      </w:r>
      <w:r w:rsidRPr="002051A6">
        <w:t>2021</w:t>
      </w:r>
      <w:r w:rsidRPr="00C41C2A">
        <w:t>/</w:t>
      </w:r>
      <w:r w:rsidRPr="002051A6">
        <w:t>0250</w:t>
      </w:r>
      <w:r w:rsidRPr="00C41C2A">
        <w:t>(COD))</w:t>
      </w:r>
      <w:bookmarkEnd w:id="6"/>
    </w:p>
    <w:p w:rsidR="008669D6" w:rsidRPr="00C41C2A" w:rsidRDefault="008669D6" w:rsidP="008669D6"/>
    <w:p w:rsidR="005905B4" w:rsidRPr="00C41C2A" w:rsidRDefault="005905B4" w:rsidP="005905B4">
      <w:pPr>
        <w:pStyle w:val="NormalBold"/>
      </w:pPr>
      <w:bookmarkStart w:id="7" w:name="TextBodyBegin"/>
      <w:bookmarkEnd w:id="7"/>
      <w:r w:rsidRPr="00C41C2A">
        <w:t>(Redovni zakonodavni postupak: prvo čitanje)</w:t>
      </w:r>
    </w:p>
    <w:p w:rsidR="005905B4" w:rsidRPr="00C41C2A" w:rsidRDefault="005905B4" w:rsidP="005905B4">
      <w:pPr>
        <w:pStyle w:val="EPComma"/>
      </w:pPr>
      <w:r w:rsidRPr="00C41C2A">
        <w:rPr>
          <w:i/>
        </w:rPr>
        <w:t>Europski parlament</w:t>
      </w:r>
      <w:r w:rsidRPr="00C41C2A">
        <w:t>,</w:t>
      </w:r>
    </w:p>
    <w:p w:rsidR="005905B4" w:rsidRPr="00C41C2A" w:rsidRDefault="005905B4" w:rsidP="005905B4">
      <w:pPr>
        <w:pStyle w:val="NormalHanging12a"/>
      </w:pPr>
      <w:r w:rsidRPr="00C41C2A">
        <w:t>–</w:t>
      </w:r>
      <w:r w:rsidRPr="00C41C2A">
        <w:tab/>
        <w:t>uzimajući u obzir Prijedlog Komisije upućen Europskom parlamentu i Vijeću (COM(</w:t>
      </w:r>
      <w:r w:rsidRPr="002051A6">
        <w:t>2021</w:t>
      </w:r>
      <w:r w:rsidRPr="00C41C2A">
        <w:t>)</w:t>
      </w:r>
      <w:r w:rsidRPr="002051A6">
        <w:t>0423</w:t>
      </w:r>
      <w:r w:rsidRPr="00C41C2A">
        <w:t>),</w:t>
      </w:r>
    </w:p>
    <w:p w:rsidR="005905B4" w:rsidRPr="00C41C2A" w:rsidRDefault="005905B4" w:rsidP="005905B4">
      <w:pPr>
        <w:pStyle w:val="NormalHanging12a"/>
      </w:pPr>
      <w:r w:rsidRPr="00C41C2A">
        <w:t>–</w:t>
      </w:r>
      <w:r w:rsidRPr="00C41C2A">
        <w:tab/>
        <w:t xml:space="preserve">uzimajući u obzir članak </w:t>
      </w:r>
      <w:r w:rsidRPr="002051A6">
        <w:t>294</w:t>
      </w:r>
      <w:r w:rsidRPr="00C41C2A">
        <w:t xml:space="preserve">. stavak </w:t>
      </w:r>
      <w:r w:rsidRPr="002051A6">
        <w:t>2</w:t>
      </w:r>
      <w:r w:rsidRPr="00C41C2A">
        <w:t xml:space="preserve">. i članak </w:t>
      </w:r>
      <w:r w:rsidRPr="002051A6">
        <w:t>114</w:t>
      </w:r>
      <w:r w:rsidRPr="00C41C2A">
        <w:t>. Ugovora o funkcioniranju Europske unije, u skladu s kojima je Komisija podnijela Prijedlog Parlamentu (C</w:t>
      </w:r>
      <w:r w:rsidRPr="002051A6">
        <w:t>9</w:t>
      </w:r>
      <w:r w:rsidRPr="00C41C2A">
        <w:noBreakHyphen/>
      </w:r>
      <w:r w:rsidRPr="002051A6">
        <w:t>0342</w:t>
      </w:r>
      <w:r w:rsidRPr="00C41C2A">
        <w:t>/</w:t>
      </w:r>
      <w:r w:rsidRPr="002051A6">
        <w:t>2021</w:t>
      </w:r>
      <w:r w:rsidRPr="00C41C2A">
        <w:t>),</w:t>
      </w:r>
    </w:p>
    <w:p w:rsidR="005905B4" w:rsidRPr="00C41C2A" w:rsidRDefault="005905B4" w:rsidP="005905B4">
      <w:pPr>
        <w:pStyle w:val="NormalHanging12a"/>
      </w:pPr>
      <w:r w:rsidRPr="00C41C2A">
        <w:t>–</w:t>
      </w:r>
      <w:r w:rsidRPr="00C41C2A">
        <w:tab/>
        <w:t xml:space="preserve">uzimajući u obzir članak </w:t>
      </w:r>
      <w:r w:rsidRPr="002051A6">
        <w:t>294</w:t>
      </w:r>
      <w:r w:rsidRPr="00C41C2A">
        <w:t xml:space="preserve">. stavak </w:t>
      </w:r>
      <w:r w:rsidRPr="002051A6">
        <w:t>3</w:t>
      </w:r>
      <w:r w:rsidRPr="00C41C2A">
        <w:t>. Ugovora o funkcioniranju Europske unije,</w:t>
      </w:r>
    </w:p>
    <w:p w:rsidR="005905B4" w:rsidRPr="00C41C2A" w:rsidRDefault="005905B4" w:rsidP="005905B4">
      <w:pPr>
        <w:pStyle w:val="NormalHanging12a"/>
        <w:rPr>
          <w:b/>
        </w:rPr>
      </w:pPr>
      <w:r w:rsidRPr="00C41C2A">
        <w:t>–</w:t>
      </w:r>
      <w:r w:rsidRPr="00C41C2A">
        <w:tab/>
        <w:t>uzimajući u obzir mišljenje Europske središnje banke</w:t>
      </w:r>
      <w:r w:rsidR="00AA780B">
        <w:t xml:space="preserve"> od </w:t>
      </w:r>
      <w:r w:rsidR="00AA780B" w:rsidRPr="00F33AA3">
        <w:t>16. veljače 2022</w:t>
      </w:r>
      <w:r w:rsidR="00F33AA3">
        <w:t>.</w:t>
      </w:r>
      <w:r w:rsidRPr="00C41C2A">
        <w:rPr>
          <w:rStyle w:val="FootnoteReference"/>
        </w:rPr>
        <w:footnoteReference w:id="1"/>
      </w:r>
      <w:r w:rsidRPr="00C41C2A">
        <w:t>,</w:t>
      </w:r>
    </w:p>
    <w:p w:rsidR="005905B4" w:rsidRPr="00C41C2A" w:rsidRDefault="005905B4" w:rsidP="005905B4">
      <w:pPr>
        <w:pStyle w:val="NormalHanging12a"/>
      </w:pPr>
      <w:r w:rsidRPr="00C41C2A">
        <w:t>–</w:t>
      </w:r>
      <w:r w:rsidRPr="00C41C2A">
        <w:tab/>
        <w:t xml:space="preserve">uzimajući u obzir mišljenje Europskoga gospodarskog i socijalnog odbora od </w:t>
      </w:r>
      <w:r w:rsidRPr="002051A6">
        <w:t>8</w:t>
      </w:r>
      <w:r w:rsidRPr="00C41C2A">
        <w:t xml:space="preserve">. prosinca </w:t>
      </w:r>
      <w:r w:rsidRPr="002051A6">
        <w:t>2021</w:t>
      </w:r>
      <w:r w:rsidRPr="00C41C2A">
        <w:t>.</w:t>
      </w:r>
      <w:r w:rsidRPr="00C41C2A">
        <w:rPr>
          <w:rStyle w:val="FootnoteReference"/>
        </w:rPr>
        <w:footnoteReference w:id="2"/>
      </w:r>
      <w:r w:rsidRPr="00C41C2A">
        <w:t>,</w:t>
      </w:r>
      <w:bookmarkStart w:id="8" w:name="_GoBack"/>
      <w:bookmarkEnd w:id="8"/>
    </w:p>
    <w:p w:rsidR="00CF1075" w:rsidRPr="00C41C2A" w:rsidRDefault="00CF1075" w:rsidP="005905B4">
      <w:pPr>
        <w:pStyle w:val="NormalHanging12a"/>
      </w:pPr>
      <w:r w:rsidRPr="00C41C2A">
        <w:t>–</w:t>
      </w:r>
      <w:r w:rsidRPr="00C41C2A">
        <w:tab/>
        <w:t xml:space="preserve">uzimajući u obzir privremeni sporazum koji su odobrili nadležni odbori u skladu s člankom </w:t>
      </w:r>
      <w:r w:rsidRPr="002051A6">
        <w:t>74</w:t>
      </w:r>
      <w:r w:rsidRPr="00C41C2A">
        <w:t xml:space="preserve">. stavkom </w:t>
      </w:r>
      <w:r w:rsidRPr="002051A6">
        <w:t>4</w:t>
      </w:r>
      <w:r w:rsidRPr="00C41C2A">
        <w:t xml:space="preserve">. Poslovnika te činjenicu da se predstavnik Vijeća pismom od </w:t>
      </w:r>
      <w:r w:rsidRPr="002051A6">
        <w:t>14</w:t>
      </w:r>
      <w:r w:rsidRPr="00C41C2A">
        <w:t xml:space="preserve">. veljače </w:t>
      </w:r>
      <w:r w:rsidRPr="002051A6">
        <w:t>2024</w:t>
      </w:r>
      <w:r w:rsidRPr="00C41C2A">
        <w:t xml:space="preserve">. obvezao prihvatiti stajalište Europskog parlamenta u skladu s člankom </w:t>
      </w:r>
      <w:r w:rsidRPr="002051A6">
        <w:t>294</w:t>
      </w:r>
      <w:r w:rsidRPr="00C41C2A">
        <w:t xml:space="preserve">. stavkom </w:t>
      </w:r>
      <w:r w:rsidRPr="002051A6">
        <w:t>4</w:t>
      </w:r>
      <w:r w:rsidRPr="00C41C2A">
        <w:t>. Ugovora o funkcioniranju Europske unije,</w:t>
      </w:r>
    </w:p>
    <w:p w:rsidR="00CF1075" w:rsidRPr="00C41C2A" w:rsidRDefault="00CF1075" w:rsidP="005905B4">
      <w:pPr>
        <w:pStyle w:val="NormalHanging12a"/>
        <w:rPr>
          <w:b/>
        </w:rPr>
      </w:pPr>
      <w:r w:rsidRPr="00C41C2A">
        <w:t>–</w:t>
      </w:r>
      <w:r w:rsidRPr="00C41C2A">
        <w:tab/>
        <w:t xml:space="preserve">uzimajući u obzir članak </w:t>
      </w:r>
      <w:r w:rsidRPr="002051A6">
        <w:t>59</w:t>
      </w:r>
      <w:r w:rsidRPr="00C41C2A">
        <w:t>. Poslovnika,</w:t>
      </w:r>
    </w:p>
    <w:p w:rsidR="005905B4" w:rsidRPr="00C41C2A" w:rsidRDefault="005905B4" w:rsidP="005905B4">
      <w:pPr>
        <w:pStyle w:val="NormalHanging12a"/>
      </w:pPr>
      <w:r w:rsidRPr="00C41C2A">
        <w:t>–</w:t>
      </w:r>
      <w:r w:rsidRPr="00C41C2A">
        <w:tab/>
        <w:t xml:space="preserve">uzimajući u obzir zajedničke rasprave Odbora za ekonomsku i monetarnu politiku i Odbora za građanske slobode, pravosuđe i unutarnje poslove u skladu s člankom </w:t>
      </w:r>
      <w:r w:rsidRPr="002051A6">
        <w:t>58</w:t>
      </w:r>
      <w:r w:rsidRPr="00C41C2A">
        <w:t>. Poslovnika,</w:t>
      </w:r>
    </w:p>
    <w:p w:rsidR="005905B4" w:rsidRPr="00C41C2A" w:rsidRDefault="005905B4" w:rsidP="005905B4">
      <w:pPr>
        <w:pStyle w:val="NormalHanging12a"/>
      </w:pPr>
      <w:r w:rsidRPr="00C41C2A">
        <w:lastRenderedPageBreak/>
        <w:t>–</w:t>
      </w:r>
      <w:r w:rsidRPr="00C41C2A">
        <w:tab/>
        <w:t>uzimajući u obzir izvješće Odbora za ekonomsku i monetarnu politiku i Odbora za građanske slobode, pravosuđe i unutarnje poslove (A</w:t>
      </w:r>
      <w:r w:rsidRPr="002051A6">
        <w:t>9</w:t>
      </w:r>
      <w:r w:rsidRPr="00C41C2A">
        <w:noBreakHyphen/>
      </w:r>
      <w:r w:rsidRPr="002051A6">
        <w:t>0150</w:t>
      </w:r>
      <w:r w:rsidRPr="00C41C2A">
        <w:t>/</w:t>
      </w:r>
      <w:r w:rsidRPr="002051A6">
        <w:t>2023</w:t>
      </w:r>
      <w:r w:rsidRPr="00C41C2A">
        <w:t>),</w:t>
      </w:r>
    </w:p>
    <w:p w:rsidR="005905B4" w:rsidRPr="00C41C2A" w:rsidRDefault="005905B4" w:rsidP="005905B4">
      <w:pPr>
        <w:pStyle w:val="NormalHanging12a"/>
      </w:pPr>
      <w:r w:rsidRPr="002051A6">
        <w:t>1</w:t>
      </w:r>
      <w:r w:rsidRPr="00C41C2A">
        <w:t>.</w:t>
      </w:r>
      <w:r w:rsidRPr="00C41C2A">
        <w:tab/>
        <w:t>usvaja sljedeće stajalište u prvom čitanju;</w:t>
      </w:r>
    </w:p>
    <w:p w:rsidR="005905B4" w:rsidRPr="00C41C2A" w:rsidRDefault="005905B4" w:rsidP="005905B4">
      <w:pPr>
        <w:pStyle w:val="NormalHanging12a"/>
      </w:pPr>
      <w:r w:rsidRPr="002051A6">
        <w:t>2</w:t>
      </w:r>
      <w:r w:rsidRPr="00C41C2A">
        <w:t>.</w:t>
      </w:r>
      <w:r w:rsidRPr="00C41C2A">
        <w:tab/>
        <w:t>poziva Komisiju da predmet ponovno uputi Parlamentu ako zamijeni, bitno izmijeni ili namjerava bitno izmijeniti svoj Prijedlog;</w:t>
      </w:r>
    </w:p>
    <w:p w:rsidR="005905B4" w:rsidRPr="00C41C2A" w:rsidRDefault="005905B4" w:rsidP="005905B4">
      <w:pPr>
        <w:pStyle w:val="NormalHanging12a"/>
      </w:pPr>
      <w:r w:rsidRPr="002051A6">
        <w:t>3</w:t>
      </w:r>
      <w:r w:rsidRPr="00C41C2A">
        <w:t>.</w:t>
      </w:r>
      <w:r w:rsidRPr="00C41C2A">
        <w:tab/>
        <w:t>nalaže svojoj predsjednici da stajalište Parlamenta proslijedi Vijeću, Komisiji i nacionalnim parlamentima.</w:t>
      </w:r>
    </w:p>
    <w:p w:rsidR="00DD6C89" w:rsidRPr="00C41C2A" w:rsidRDefault="00DD6C89" w:rsidP="005905B4">
      <w:pPr>
        <w:pStyle w:val="NormalHanging12a"/>
        <w:sectPr w:rsidR="00DD6C89" w:rsidRPr="00C41C2A" w:rsidSect="00DD6C89">
          <w:headerReference w:type="default" r:id="rId9"/>
          <w:headerReference w:type="first" r:id="rId10"/>
          <w:footnotePr>
            <w:numRestart w:val="eachSect"/>
          </w:footnotePr>
          <w:pgSz w:w="11907" w:h="16839"/>
          <w:pgMar w:top="624" w:right="1134" w:bottom="1134" w:left="1134" w:header="567" w:footer="567" w:gutter="0"/>
          <w:pgNumType w:start="1"/>
          <w:cols w:space="720"/>
          <w:docGrid w:linePitch="360"/>
        </w:sectPr>
      </w:pPr>
    </w:p>
    <w:p w:rsidR="00CF1075" w:rsidRPr="00C41C2A" w:rsidRDefault="00CF1075" w:rsidP="005905B4">
      <w:pPr>
        <w:pStyle w:val="NormalHanging12a"/>
      </w:pPr>
    </w:p>
    <w:p w:rsidR="00DD6C89" w:rsidRPr="00C41C2A" w:rsidRDefault="00DD6C89" w:rsidP="00DD6C89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41C2A">
        <w:rPr>
          <w:rFonts w:eastAsia="Calibri"/>
          <w:b/>
          <w:bCs/>
          <w:color w:val="000000"/>
          <w:szCs w:val="24"/>
        </w:rPr>
        <w:t>P</w:t>
      </w:r>
      <w:r w:rsidRPr="002051A6">
        <w:rPr>
          <w:rFonts w:eastAsia="Calibri"/>
          <w:b/>
          <w:bCs/>
          <w:color w:val="000000"/>
          <w:szCs w:val="24"/>
        </w:rPr>
        <w:t>9</w:t>
      </w:r>
      <w:r w:rsidRPr="00C41C2A">
        <w:rPr>
          <w:rFonts w:eastAsia="Calibri"/>
          <w:b/>
          <w:bCs/>
          <w:color w:val="000000"/>
          <w:szCs w:val="24"/>
        </w:rPr>
        <w:t>_TC</w:t>
      </w:r>
      <w:r w:rsidRPr="002051A6">
        <w:rPr>
          <w:rFonts w:eastAsia="Calibri"/>
          <w:b/>
          <w:bCs/>
          <w:color w:val="000000"/>
          <w:szCs w:val="24"/>
        </w:rPr>
        <w:t>1</w:t>
      </w:r>
      <w:r w:rsidRPr="00C41C2A">
        <w:rPr>
          <w:rFonts w:eastAsia="Calibri"/>
          <w:b/>
          <w:bCs/>
          <w:color w:val="000000"/>
          <w:szCs w:val="24"/>
        </w:rPr>
        <w:t>-COD(</w:t>
      </w:r>
      <w:r w:rsidRPr="002051A6">
        <w:rPr>
          <w:rFonts w:eastAsia="Calibri"/>
          <w:b/>
          <w:bCs/>
          <w:color w:val="000000"/>
          <w:szCs w:val="24"/>
        </w:rPr>
        <w:t>2021</w:t>
      </w:r>
      <w:r w:rsidRPr="00C41C2A">
        <w:rPr>
          <w:rFonts w:eastAsia="Calibri"/>
          <w:b/>
          <w:bCs/>
          <w:color w:val="000000"/>
          <w:szCs w:val="24"/>
        </w:rPr>
        <w:t>)</w:t>
      </w:r>
      <w:r w:rsidRPr="002051A6">
        <w:rPr>
          <w:rFonts w:eastAsia="Calibri"/>
          <w:b/>
          <w:bCs/>
          <w:color w:val="000000"/>
          <w:szCs w:val="24"/>
        </w:rPr>
        <w:t>0250</w:t>
      </w:r>
    </w:p>
    <w:p w:rsidR="00DD6C89" w:rsidRDefault="00DD6C89" w:rsidP="00C41C2A">
      <w:pPr>
        <w:widowControl/>
        <w:spacing w:before="240" w:after="360"/>
        <w:rPr>
          <w:rFonts w:eastAsia="Calibri"/>
          <w:b/>
          <w:szCs w:val="22"/>
          <w:lang w:eastAsia="en-US"/>
        </w:rPr>
      </w:pPr>
      <w:bookmarkStart w:id="9" w:name="TextBodyEnd"/>
      <w:bookmarkEnd w:id="9"/>
      <w:r w:rsidRPr="00C41C2A">
        <w:rPr>
          <w:b/>
        </w:rPr>
        <w:t xml:space="preserve">Stajalište Europskog parlamenta usvojeno u prvom čitanju </w:t>
      </w:r>
      <w:r w:rsidRPr="002051A6">
        <w:rPr>
          <w:b/>
        </w:rPr>
        <w:t>24</w:t>
      </w:r>
      <w:r w:rsidRPr="00C41C2A">
        <w:rPr>
          <w:b/>
        </w:rPr>
        <w:t xml:space="preserve">. travnja </w:t>
      </w:r>
      <w:r w:rsidRPr="002051A6">
        <w:rPr>
          <w:b/>
        </w:rPr>
        <w:t>2024</w:t>
      </w:r>
      <w:r w:rsidRPr="00C41C2A">
        <w:rPr>
          <w:b/>
        </w:rPr>
        <w:t xml:space="preserve">. radi donošenja Direktive (EU) </w:t>
      </w:r>
      <w:r w:rsidRPr="002051A6">
        <w:rPr>
          <w:b/>
        </w:rPr>
        <w:t>2024</w:t>
      </w:r>
      <w:r w:rsidRPr="00C41C2A">
        <w:rPr>
          <w:b/>
        </w:rPr>
        <w:t xml:space="preserve">/… Europskog parlamenta i Vijeća </w:t>
      </w:r>
      <w:r w:rsidRPr="00C41C2A">
        <w:rPr>
          <w:rFonts w:eastAsia="Calibri"/>
          <w:b/>
          <w:szCs w:val="22"/>
          <w:lang w:eastAsia="en-US"/>
        </w:rPr>
        <w:t xml:space="preserve">o mehanizmima koje države članice trebaju uspostaviti radi sprečavanja korištenja financijskog sustava u svrhu pranja novca ili financiranja terorizma, </w:t>
      </w:r>
      <w:r w:rsidRPr="00F33AA3">
        <w:rPr>
          <w:rFonts w:eastAsia="Calibri"/>
          <w:b/>
          <w:szCs w:val="22"/>
          <w:lang w:eastAsia="en-US"/>
        </w:rPr>
        <w:t>o izmjeni Direktive (EU) 2019/1937</w:t>
      </w:r>
      <w:r w:rsidRPr="00C41C2A">
        <w:rPr>
          <w:rFonts w:eastAsia="Calibri"/>
          <w:b/>
          <w:szCs w:val="22"/>
          <w:lang w:eastAsia="en-US"/>
        </w:rPr>
        <w:t xml:space="preserve"> te izmjeni i stavljanju izvan snage Direktive (EU) </w:t>
      </w:r>
      <w:r w:rsidRPr="002051A6">
        <w:rPr>
          <w:rFonts w:eastAsia="Calibri"/>
          <w:b/>
          <w:szCs w:val="22"/>
          <w:lang w:eastAsia="en-US"/>
        </w:rPr>
        <w:t>2015</w:t>
      </w:r>
      <w:r w:rsidRPr="00C41C2A">
        <w:rPr>
          <w:rFonts w:eastAsia="Calibri"/>
          <w:b/>
          <w:szCs w:val="22"/>
          <w:lang w:eastAsia="en-US"/>
        </w:rPr>
        <w:t>/</w:t>
      </w:r>
      <w:r w:rsidRPr="002051A6">
        <w:rPr>
          <w:rFonts w:eastAsia="Calibri"/>
          <w:b/>
          <w:szCs w:val="22"/>
          <w:lang w:eastAsia="en-US"/>
        </w:rPr>
        <w:t>849</w:t>
      </w:r>
    </w:p>
    <w:p w:rsidR="00F33AA3" w:rsidRPr="009715E7" w:rsidRDefault="00F33AA3" w:rsidP="00F33AA3">
      <w:pPr>
        <w:widowControl/>
        <w:spacing w:before="360" w:after="360"/>
        <w:rPr>
          <w:rFonts w:eastAsia="Calibri"/>
          <w:noProof/>
          <w:szCs w:val="22"/>
          <w:lang w:eastAsia="en-US"/>
        </w:rPr>
      </w:pPr>
      <w:r w:rsidRPr="00C07241">
        <w:rPr>
          <w:i/>
        </w:rPr>
        <w:t>(S obzirom da je postignut sporaz</w:t>
      </w:r>
      <w:r>
        <w:rPr>
          <w:i/>
        </w:rPr>
        <w:t>u</w:t>
      </w:r>
      <w:r w:rsidRPr="00C07241">
        <w:rPr>
          <w:i/>
        </w:rPr>
        <w:t>m Parlamenta i Vijeća, stajalište Parlamenta odgovara konačnom za</w:t>
      </w:r>
      <w:r>
        <w:rPr>
          <w:i/>
        </w:rPr>
        <w:t>konodavnom aktu, Direktivi (EU) 2024/1640</w:t>
      </w:r>
      <w:r>
        <w:rPr>
          <w:i/>
        </w:rPr>
        <w:t>.)</w:t>
      </w:r>
    </w:p>
    <w:p w:rsidR="00F33AA3" w:rsidRPr="00F33AA3" w:rsidRDefault="00F33AA3" w:rsidP="00C41C2A">
      <w:pPr>
        <w:widowControl/>
        <w:spacing w:before="240" w:after="360"/>
        <w:rPr>
          <w:rFonts w:eastAsia="Calibri"/>
          <w:bCs/>
          <w:szCs w:val="22"/>
          <w:lang w:eastAsia="en-US"/>
        </w:rPr>
      </w:pPr>
    </w:p>
    <w:sectPr w:rsidR="00F33AA3" w:rsidRPr="00F33AA3" w:rsidSect="00F33AA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62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715" w:rsidRPr="00367C4A" w:rsidRDefault="00A37715">
      <w:r w:rsidRPr="00367C4A">
        <w:separator/>
      </w:r>
    </w:p>
  </w:endnote>
  <w:endnote w:type="continuationSeparator" w:id="0">
    <w:p w:rsidR="00A37715" w:rsidRPr="00367C4A" w:rsidRDefault="00A37715">
      <w:r w:rsidRPr="00367C4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Yu Gothic UI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715" w:rsidRPr="00367C4A" w:rsidRDefault="00A3771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715" w:rsidRPr="00367C4A" w:rsidRDefault="00A3771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715" w:rsidRPr="00367C4A" w:rsidRDefault="00A3771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715" w:rsidRPr="00367C4A" w:rsidRDefault="00A37715">
      <w:r w:rsidRPr="00367C4A">
        <w:separator/>
      </w:r>
    </w:p>
  </w:footnote>
  <w:footnote w:type="continuationSeparator" w:id="0">
    <w:p w:rsidR="00A37715" w:rsidRPr="00367C4A" w:rsidRDefault="00A37715">
      <w:r w:rsidRPr="00367C4A">
        <w:continuationSeparator/>
      </w:r>
    </w:p>
  </w:footnote>
  <w:footnote w:id="1">
    <w:p w:rsidR="00A37715" w:rsidRPr="00367C4A" w:rsidRDefault="00A37715" w:rsidP="00367C4A">
      <w:pPr>
        <w:pStyle w:val="FootnoteText"/>
        <w:ind w:left="567" w:hanging="567"/>
        <w:rPr>
          <w:sz w:val="24"/>
          <w:lang w:val="hr-HR"/>
        </w:rPr>
      </w:pPr>
      <w:r w:rsidRPr="00367C4A">
        <w:rPr>
          <w:rStyle w:val="FootnoteReference"/>
          <w:sz w:val="24"/>
          <w:lang w:val="hr-HR"/>
        </w:rPr>
        <w:footnoteRef/>
      </w:r>
      <w:r w:rsidRPr="00367C4A">
        <w:rPr>
          <w:sz w:val="24"/>
          <w:lang w:val="hr-HR"/>
        </w:rPr>
        <w:t xml:space="preserve"> </w:t>
      </w:r>
      <w:r w:rsidRPr="00367C4A">
        <w:rPr>
          <w:sz w:val="24"/>
          <w:lang w:val="hr-HR"/>
        </w:rPr>
        <w:tab/>
        <w:t>SL C </w:t>
      </w:r>
      <w:r w:rsidRPr="002051A6">
        <w:rPr>
          <w:sz w:val="24"/>
          <w:lang w:val="hr-HR"/>
        </w:rPr>
        <w:t>210</w:t>
      </w:r>
      <w:r w:rsidRPr="00367C4A">
        <w:rPr>
          <w:sz w:val="24"/>
          <w:lang w:val="hr-HR"/>
        </w:rPr>
        <w:t xml:space="preserve">, </w:t>
      </w:r>
      <w:r w:rsidR="00AA780B" w:rsidRPr="002051A6">
        <w:rPr>
          <w:sz w:val="24"/>
          <w:lang w:val="hr-HR"/>
        </w:rPr>
        <w:t>25</w:t>
      </w:r>
      <w:r w:rsidRPr="00367C4A">
        <w:rPr>
          <w:sz w:val="24"/>
          <w:lang w:val="hr-HR"/>
        </w:rPr>
        <w:t>.</w:t>
      </w:r>
      <w:r w:rsidR="00AA780B" w:rsidRPr="002051A6">
        <w:rPr>
          <w:sz w:val="24"/>
          <w:lang w:val="hr-HR"/>
        </w:rPr>
        <w:t>5</w:t>
      </w:r>
      <w:r w:rsidRPr="00367C4A">
        <w:rPr>
          <w:sz w:val="24"/>
          <w:lang w:val="hr-HR"/>
        </w:rPr>
        <w:t>.</w:t>
      </w:r>
      <w:r w:rsidRPr="002051A6">
        <w:rPr>
          <w:sz w:val="24"/>
          <w:lang w:val="hr-HR"/>
        </w:rPr>
        <w:t>2022</w:t>
      </w:r>
      <w:r w:rsidRPr="00367C4A">
        <w:rPr>
          <w:sz w:val="24"/>
          <w:lang w:val="hr-HR"/>
        </w:rPr>
        <w:t>., str. </w:t>
      </w:r>
      <w:r w:rsidRPr="002051A6">
        <w:rPr>
          <w:sz w:val="24"/>
          <w:lang w:val="hr-HR"/>
        </w:rPr>
        <w:t>15</w:t>
      </w:r>
      <w:r w:rsidRPr="00367C4A">
        <w:rPr>
          <w:sz w:val="24"/>
          <w:lang w:val="hr-HR"/>
        </w:rPr>
        <w:t>.</w:t>
      </w:r>
    </w:p>
  </w:footnote>
  <w:footnote w:id="2">
    <w:p w:rsidR="00A37715" w:rsidRPr="00367C4A" w:rsidRDefault="00A37715" w:rsidP="00367C4A">
      <w:pPr>
        <w:pStyle w:val="FootnoteText"/>
        <w:ind w:left="567" w:hanging="567"/>
        <w:rPr>
          <w:sz w:val="24"/>
          <w:lang w:val="hr-HR"/>
        </w:rPr>
      </w:pPr>
      <w:r w:rsidRPr="00367C4A">
        <w:rPr>
          <w:rStyle w:val="FootnoteReference"/>
          <w:sz w:val="24"/>
          <w:lang w:val="hr-HR"/>
        </w:rPr>
        <w:footnoteRef/>
      </w:r>
      <w:r w:rsidRPr="00367C4A">
        <w:rPr>
          <w:sz w:val="24"/>
          <w:lang w:val="hr-HR"/>
        </w:rPr>
        <w:t xml:space="preserve"> </w:t>
      </w:r>
      <w:r w:rsidRPr="00367C4A">
        <w:rPr>
          <w:sz w:val="24"/>
          <w:lang w:val="hr-HR"/>
        </w:rPr>
        <w:tab/>
      </w:r>
      <w:r w:rsidRPr="00367C4A">
        <w:rPr>
          <w:sz w:val="24"/>
          <w:lang w:val="hr-HR"/>
        </w:rPr>
        <w:t xml:space="preserve">SL C </w:t>
      </w:r>
      <w:r w:rsidRPr="002051A6">
        <w:rPr>
          <w:sz w:val="24"/>
          <w:lang w:val="hr-HR"/>
        </w:rPr>
        <w:t>152</w:t>
      </w:r>
      <w:r w:rsidRPr="00367C4A">
        <w:rPr>
          <w:sz w:val="24"/>
          <w:lang w:val="hr-HR"/>
        </w:rPr>
        <w:t xml:space="preserve">, </w:t>
      </w:r>
      <w:r w:rsidRPr="002051A6">
        <w:rPr>
          <w:sz w:val="24"/>
          <w:lang w:val="hr-HR"/>
        </w:rPr>
        <w:t>6</w:t>
      </w:r>
      <w:r w:rsidRPr="00367C4A">
        <w:rPr>
          <w:sz w:val="24"/>
          <w:lang w:val="hr-HR"/>
        </w:rPr>
        <w:t>.</w:t>
      </w:r>
      <w:r w:rsidRPr="002051A6">
        <w:rPr>
          <w:sz w:val="24"/>
          <w:lang w:val="hr-HR"/>
        </w:rPr>
        <w:t>4</w:t>
      </w:r>
      <w:r w:rsidRPr="00367C4A">
        <w:rPr>
          <w:sz w:val="24"/>
          <w:lang w:val="hr-HR"/>
        </w:rPr>
        <w:t>.</w:t>
      </w:r>
      <w:r w:rsidRPr="002051A6">
        <w:rPr>
          <w:sz w:val="24"/>
          <w:lang w:val="hr-HR"/>
        </w:rPr>
        <w:t>2022</w:t>
      </w:r>
      <w:r w:rsidRPr="00367C4A">
        <w:rPr>
          <w:sz w:val="24"/>
          <w:lang w:val="hr-HR"/>
        </w:rPr>
        <w:t xml:space="preserve">., str. </w:t>
      </w:r>
      <w:r w:rsidRPr="002051A6">
        <w:rPr>
          <w:sz w:val="24"/>
          <w:lang w:val="hr-HR"/>
        </w:rPr>
        <w:t>89</w:t>
      </w:r>
      <w:r w:rsidRPr="00367C4A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715" w:rsidRPr="005B240D" w:rsidRDefault="00A37715" w:rsidP="00DD6C89">
    <w:pPr>
      <w:pStyle w:val="HeaderCouncilLarge"/>
    </w:pPr>
    <w:r w:rsidRPr="005B240D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715" w:rsidRPr="005B240D" w:rsidRDefault="00A37715" w:rsidP="00DD6C89">
    <w:pPr>
      <w:pStyle w:val="EPFooter2"/>
    </w:pPr>
    <w:r w:rsidRPr="005B240D"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715" w:rsidRPr="00367C4A" w:rsidRDefault="00A37715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715" w:rsidRPr="00367C4A" w:rsidRDefault="00A37715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7715" w:rsidRPr="00367C4A" w:rsidRDefault="00A3771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4F69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7187E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060163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362C8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A829F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3A413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E8A85A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C4265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7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8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0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4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6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2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4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5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6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20324DBC"/>
    <w:multiLevelType w:val="hybridMultilevel"/>
    <w:tmpl w:val="0E0AE9F0"/>
    <w:numStyleLink w:val="ImportedStyle33"/>
  </w:abstractNum>
  <w:abstractNum w:abstractNumId="28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8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0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highlight w:val="none"/>
        <w:vertAlign w:val="baseline"/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3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4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5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8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9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0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1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3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5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6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7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8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6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6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62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64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5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6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7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68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70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71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2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3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4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6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77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8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9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80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8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84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85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6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88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9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0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92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3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4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5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6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abstractNum w:abstractNumId="97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99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01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02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3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4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5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0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0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0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09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11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1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1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1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115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116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0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8"/>
  </w:num>
  <w:num w:numId="2">
    <w:abstractNumId w:val="54"/>
  </w:num>
  <w:num w:numId="3">
    <w:abstractNumId w:val="15"/>
  </w:num>
  <w:num w:numId="4">
    <w:abstractNumId w:val="67"/>
  </w:num>
  <w:num w:numId="5">
    <w:abstractNumId w:val="79"/>
  </w:num>
  <w:num w:numId="6">
    <w:abstractNumId w:val="76"/>
  </w:num>
  <w:num w:numId="7">
    <w:abstractNumId w:val="115"/>
  </w:num>
  <w:num w:numId="8">
    <w:abstractNumId w:val="59"/>
  </w:num>
  <w:num w:numId="9">
    <w:abstractNumId w:val="60"/>
  </w:num>
  <w:num w:numId="10">
    <w:abstractNumId w:val="61"/>
  </w:num>
  <w:num w:numId="11">
    <w:abstractNumId w:val="69"/>
  </w:num>
  <w:num w:numId="12">
    <w:abstractNumId w:val="24"/>
  </w:num>
  <w:num w:numId="13">
    <w:abstractNumId w:val="116"/>
  </w:num>
  <w:num w:numId="14">
    <w:abstractNumId w:val="46"/>
  </w:num>
  <w:num w:numId="15">
    <w:abstractNumId w:val="12"/>
  </w:num>
  <w:num w:numId="16">
    <w:abstractNumId w:val="10"/>
  </w:num>
  <w:num w:numId="17">
    <w:abstractNumId w:val="107"/>
  </w:num>
  <w:num w:numId="18">
    <w:abstractNumId w:val="101"/>
  </w:num>
  <w:num w:numId="19">
    <w:abstractNumId w:val="83"/>
  </w:num>
  <w:num w:numId="20">
    <w:abstractNumId w:val="112"/>
  </w:num>
  <w:num w:numId="21">
    <w:abstractNumId w:val="111"/>
  </w:num>
  <w:num w:numId="22">
    <w:abstractNumId w:val="113"/>
  </w:num>
  <w:num w:numId="23">
    <w:abstractNumId w:val="13"/>
  </w:num>
  <w:num w:numId="24">
    <w:abstractNumId w:val="98"/>
  </w:num>
  <w:num w:numId="25">
    <w:abstractNumId w:val="7"/>
  </w:num>
  <w:num w:numId="26">
    <w:abstractNumId w:val="100"/>
  </w:num>
  <w:num w:numId="27">
    <w:abstractNumId w:val="87"/>
  </w:num>
  <w:num w:numId="28">
    <w:abstractNumId w:val="9"/>
  </w:num>
  <w:num w:numId="29">
    <w:abstractNumId w:val="110"/>
  </w:num>
  <w:num w:numId="30">
    <w:abstractNumId w:val="114"/>
  </w:num>
  <w:num w:numId="31">
    <w:abstractNumId w:val="81"/>
  </w:num>
  <w:num w:numId="32">
    <w:abstractNumId w:val="106"/>
  </w:num>
  <w:num w:numId="33">
    <w:abstractNumId w:val="91"/>
  </w:num>
  <w:num w:numId="34">
    <w:abstractNumId w:val="63"/>
  </w:num>
  <w:num w:numId="35">
    <w:abstractNumId w:val="6"/>
  </w:num>
  <w:num w:numId="36">
    <w:abstractNumId w:val="30"/>
  </w:num>
  <w:num w:numId="37">
    <w:abstractNumId w:val="22"/>
  </w:num>
  <w:num w:numId="38">
    <w:abstractNumId w:val="32"/>
  </w:num>
  <w:num w:numId="39">
    <w:abstractNumId w:val="82"/>
  </w:num>
  <w:num w:numId="40">
    <w:abstractNumId w:val="5"/>
  </w:num>
  <w:num w:numId="41">
    <w:abstractNumId w:val="84"/>
  </w:num>
  <w:num w:numId="42">
    <w:abstractNumId w:val="37"/>
  </w:num>
  <w:num w:numId="43">
    <w:abstractNumId w:val="70"/>
  </w:num>
  <w:num w:numId="44">
    <w:abstractNumId w:val="65"/>
  </w:num>
  <w:num w:numId="45">
    <w:abstractNumId w:val="104"/>
  </w:num>
  <w:num w:numId="46">
    <w:abstractNumId w:val="88"/>
  </w:num>
  <w:num w:numId="47">
    <w:abstractNumId w:val="105"/>
  </w:num>
  <w:num w:numId="48">
    <w:abstractNumId w:val="108"/>
  </w:num>
  <w:num w:numId="49">
    <w:abstractNumId w:val="17"/>
  </w:num>
  <w:num w:numId="50">
    <w:abstractNumId w:val="42"/>
  </w:num>
  <w:num w:numId="51">
    <w:abstractNumId w:val="19"/>
  </w:num>
  <w:num w:numId="52">
    <w:abstractNumId w:val="55"/>
  </w:num>
  <w:num w:numId="53">
    <w:abstractNumId w:val="39"/>
  </w:num>
  <w:num w:numId="54">
    <w:abstractNumId w:val="77"/>
  </w:num>
  <w:num w:numId="55">
    <w:abstractNumId w:val="1"/>
  </w:num>
  <w:num w:numId="56">
    <w:abstractNumId w:val="75"/>
  </w:num>
  <w:num w:numId="57">
    <w:abstractNumId w:val="85"/>
  </w:num>
  <w:num w:numId="58">
    <w:abstractNumId w:val="50"/>
  </w:num>
  <w:num w:numId="59">
    <w:abstractNumId w:val="0"/>
  </w:num>
  <w:num w:numId="60">
    <w:abstractNumId w:val="78"/>
  </w:num>
  <w:num w:numId="61">
    <w:abstractNumId w:val="4"/>
  </w:num>
  <w:num w:numId="62">
    <w:abstractNumId w:val="89"/>
  </w:num>
  <w:num w:numId="63">
    <w:abstractNumId w:val="48"/>
  </w:num>
  <w:num w:numId="64">
    <w:abstractNumId w:val="92"/>
  </w:num>
  <w:num w:numId="65">
    <w:abstractNumId w:val="49"/>
  </w:num>
  <w:num w:numId="66">
    <w:abstractNumId w:val="90"/>
  </w:num>
  <w:num w:numId="67">
    <w:abstractNumId w:val="25"/>
  </w:num>
  <w:num w:numId="68">
    <w:abstractNumId w:val="62"/>
  </w:num>
  <w:num w:numId="69">
    <w:abstractNumId w:val="36"/>
  </w:num>
  <w:num w:numId="70">
    <w:abstractNumId w:val="53"/>
  </w:num>
  <w:num w:numId="71">
    <w:abstractNumId w:val="43"/>
  </w:num>
  <w:num w:numId="72">
    <w:abstractNumId w:val="96"/>
  </w:num>
  <w:num w:numId="73">
    <w:abstractNumId w:val="86"/>
  </w:num>
  <w:num w:numId="74">
    <w:abstractNumId w:val="95"/>
  </w:num>
  <w:num w:numId="75">
    <w:abstractNumId w:val="97"/>
  </w:num>
  <w:num w:numId="76">
    <w:abstractNumId w:val="34"/>
  </w:num>
  <w:num w:numId="77">
    <w:abstractNumId w:val="56"/>
  </w:num>
  <w:num w:numId="78">
    <w:abstractNumId w:val="52"/>
  </w:num>
  <w:num w:numId="79">
    <w:abstractNumId w:val="20"/>
  </w:num>
  <w:num w:numId="80">
    <w:abstractNumId w:val="11"/>
  </w:num>
  <w:num w:numId="81">
    <w:abstractNumId w:val="41"/>
  </w:num>
  <w:num w:numId="82">
    <w:abstractNumId w:val="3"/>
  </w:num>
  <w:num w:numId="83">
    <w:abstractNumId w:val="102"/>
  </w:num>
  <w:num w:numId="84">
    <w:abstractNumId w:val="33"/>
  </w:num>
  <w:num w:numId="85">
    <w:abstractNumId w:val="23"/>
  </w:num>
  <w:num w:numId="86">
    <w:abstractNumId w:val="80"/>
  </w:num>
  <w:num w:numId="87">
    <w:abstractNumId w:val="44"/>
  </w:num>
  <w:num w:numId="88">
    <w:abstractNumId w:val="66"/>
  </w:num>
  <w:num w:numId="89">
    <w:abstractNumId w:val="28"/>
  </w:num>
  <w:num w:numId="90">
    <w:abstractNumId w:val="109"/>
  </w:num>
  <w:num w:numId="91">
    <w:abstractNumId w:val="14"/>
  </w:num>
  <w:num w:numId="92">
    <w:abstractNumId w:val="38"/>
  </w:num>
  <w:num w:numId="93">
    <w:abstractNumId w:val="99"/>
  </w:num>
  <w:num w:numId="94">
    <w:abstractNumId w:val="18"/>
  </w:num>
  <w:num w:numId="95">
    <w:abstractNumId w:val="45"/>
  </w:num>
  <w:num w:numId="96">
    <w:abstractNumId w:val="72"/>
  </w:num>
  <w:num w:numId="97">
    <w:abstractNumId w:val="57"/>
  </w:num>
  <w:num w:numId="98">
    <w:abstractNumId w:val="29"/>
  </w:num>
  <w:num w:numId="99">
    <w:abstractNumId w:val="93"/>
  </w:num>
  <w:num w:numId="100">
    <w:abstractNumId w:val="71"/>
  </w:num>
  <w:num w:numId="101">
    <w:abstractNumId w:val="58"/>
  </w:num>
  <w:num w:numId="102">
    <w:abstractNumId w:val="27"/>
    <w:lvlOverride w:ilvl="0">
      <w:lvl w:ilvl="0" w:tplc="FAA09792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3">
    <w:abstractNumId w:val="16"/>
  </w:num>
  <w:num w:numId="104">
    <w:abstractNumId w:val="68"/>
  </w:num>
  <w:num w:numId="105">
    <w:abstractNumId w:val="47"/>
  </w:num>
  <w:num w:numId="106">
    <w:abstractNumId w:val="21"/>
  </w:num>
  <w:num w:numId="107">
    <w:abstractNumId w:val="40"/>
  </w:num>
  <w:num w:numId="108">
    <w:abstractNumId w:val="26"/>
  </w:num>
  <w:num w:numId="109">
    <w:abstractNumId w:val="74"/>
  </w:num>
  <w:num w:numId="110">
    <w:abstractNumId w:val="51"/>
  </w:num>
  <w:num w:numId="111">
    <w:abstractNumId w:val="2"/>
  </w:num>
  <w:num w:numId="112">
    <w:abstractNumId w:val="31"/>
  </w:num>
  <w:num w:numId="113">
    <w:abstractNumId w:val="35"/>
  </w:num>
  <w:num w:numId="114">
    <w:abstractNumId w:val="64"/>
  </w:num>
  <w:num w:numId="115">
    <w:abstractNumId w:val="73"/>
  </w:num>
  <w:num w:numId="116">
    <w:abstractNumId w:val="94"/>
  </w:num>
  <w:num w:numId="117">
    <w:abstractNumId w:val="103"/>
  </w:num>
  <w:numIdMacAtCleanup w:val="1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3"/>
    <w:docVar w:name="dvlangue" w:val="HR"/>
    <w:docVar w:name="dvnumam" w:val="0"/>
    <w:docVar w:name="dvpe" w:val="730.070"/>
    <w:docVar w:name="dvrapporteur" w:val="Izvjestitelji: "/>
    <w:docVar w:name="dvstar" w:val="***I"/>
    <w:docVar w:name="dvtitre" w:val="Zakonodavna rezolucija Europskog parlamenta od .... 2024. o Prijedlogu direktive Europskog parlamenta i Vijeća o mehanizmima koje države članice trebaju uspostaviti radi sprečavanja korištenja financijskog sustava u svrhu pranja novca ili financiranja terorizma i o stavljanju izvan snage Direktive (EU) 2015/849(COM(2021)0423 – C9-0342/2021 – 2021/0250(COD))"/>
  </w:docVars>
  <w:rsids>
    <w:rsidRoot w:val="008669D6"/>
    <w:rsid w:val="00002272"/>
    <w:rsid w:val="00044E20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051A6"/>
    <w:rsid w:val="002767FF"/>
    <w:rsid w:val="002B18FE"/>
    <w:rsid w:val="002B5493"/>
    <w:rsid w:val="00330F54"/>
    <w:rsid w:val="00343214"/>
    <w:rsid w:val="00361C00"/>
    <w:rsid w:val="00367C4A"/>
    <w:rsid w:val="00373819"/>
    <w:rsid w:val="00395FA1"/>
    <w:rsid w:val="003C02E5"/>
    <w:rsid w:val="003E15D4"/>
    <w:rsid w:val="003E616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05B4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669D6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7715"/>
    <w:rsid w:val="00A43E52"/>
    <w:rsid w:val="00A4678D"/>
    <w:rsid w:val="00A778C7"/>
    <w:rsid w:val="00AA780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1C2A"/>
    <w:rsid w:val="00C61C0C"/>
    <w:rsid w:val="00C941CB"/>
    <w:rsid w:val="00CC2357"/>
    <w:rsid w:val="00CF071A"/>
    <w:rsid w:val="00CF1075"/>
    <w:rsid w:val="00D058B8"/>
    <w:rsid w:val="00D56C11"/>
    <w:rsid w:val="00D834A0"/>
    <w:rsid w:val="00D872DF"/>
    <w:rsid w:val="00D91E21"/>
    <w:rsid w:val="00DA7FCD"/>
    <w:rsid w:val="00DD6C8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3AA3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C85B3"/>
  <w15:chartTrackingRefBased/>
  <w15:docId w15:val="{26BE8472-6B41-40B1-AF83-3409700B7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List" w:uiPriority="99"/>
    <w:lsdException w:name="List Bullet" w:qFormat="1"/>
    <w:lsdException w:name="List 2" w:uiPriority="99"/>
    <w:lsdException w:name="List 3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5905B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5905B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05B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05B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05B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05B4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05B4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05B4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05B4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5905B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905B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905B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905B4"/>
    <w:pPr>
      <w:spacing w:after="120"/>
    </w:pPr>
  </w:style>
  <w:style w:type="paragraph" w:customStyle="1" w:styleId="PageHeading">
    <w:name w:val="PageHeading"/>
    <w:basedOn w:val="Normal"/>
    <w:rsid w:val="005905B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905B4"/>
    <w:rPr>
      <w:b/>
    </w:rPr>
  </w:style>
  <w:style w:type="paragraph" w:customStyle="1" w:styleId="NormalBold12a">
    <w:name w:val="NormalBold12a"/>
    <w:basedOn w:val="Normal"/>
    <w:rsid w:val="005905B4"/>
    <w:pPr>
      <w:spacing w:after="240"/>
    </w:pPr>
    <w:rPr>
      <w:b/>
    </w:rPr>
  </w:style>
  <w:style w:type="paragraph" w:customStyle="1" w:styleId="AmJustText">
    <w:name w:val="AmJustText"/>
    <w:basedOn w:val="Normal"/>
    <w:rsid w:val="005905B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905B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905B4"/>
    <w:pPr>
      <w:spacing w:after="480"/>
      <w:ind w:left="1417"/>
    </w:pPr>
  </w:style>
  <w:style w:type="paragraph" w:customStyle="1" w:styleId="CoverNormal">
    <w:name w:val="CoverNormal"/>
    <w:basedOn w:val="Normal"/>
    <w:rsid w:val="005905B4"/>
    <w:pPr>
      <w:ind w:left="1418"/>
    </w:pPr>
  </w:style>
  <w:style w:type="paragraph" w:customStyle="1" w:styleId="AmCrossRef">
    <w:name w:val="AmCrossRef"/>
    <w:basedOn w:val="Normal"/>
    <w:rsid w:val="005905B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905B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905B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905B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905B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905B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5905B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905B4"/>
    <w:rPr>
      <w:sz w:val="24"/>
      <w:lang w:val="hr-HR"/>
    </w:rPr>
  </w:style>
  <w:style w:type="paragraph" w:customStyle="1" w:styleId="AmOrLang">
    <w:name w:val="AmOrLang"/>
    <w:basedOn w:val="Normal"/>
    <w:rsid w:val="005905B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5905B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905B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905B4"/>
    <w:pPr>
      <w:spacing w:before="240"/>
    </w:pPr>
    <w:rPr>
      <w:b/>
    </w:rPr>
  </w:style>
  <w:style w:type="paragraph" w:customStyle="1" w:styleId="EPBody">
    <w:name w:val="EPBody"/>
    <w:basedOn w:val="Normal"/>
    <w:rsid w:val="005905B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905B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905B4"/>
    <w:pPr>
      <w:spacing w:before="480" w:after="240"/>
    </w:pPr>
  </w:style>
  <w:style w:type="character" w:customStyle="1" w:styleId="epname0">
    <w:name w:val="ep_name"/>
    <w:basedOn w:val="DefaultParagraphFont"/>
    <w:rsid w:val="005905B4"/>
  </w:style>
  <w:style w:type="paragraph" w:customStyle="1" w:styleId="Lgendesigne">
    <w:name w:val="Légende signe"/>
    <w:basedOn w:val="Normal"/>
    <w:rsid w:val="005905B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905B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905B4"/>
    <w:rPr>
      <w:sz w:val="18"/>
    </w:rPr>
  </w:style>
  <w:style w:type="paragraph" w:customStyle="1" w:styleId="msonormal0">
    <w:name w:val="msonormal"/>
    <w:basedOn w:val="Normal"/>
    <w:rsid w:val="005905B4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5905B4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hr-HR"/>
    </w:rPr>
  </w:style>
  <w:style w:type="character" w:customStyle="1" w:styleId="FooterChar">
    <w:name w:val="Footer Char"/>
    <w:basedOn w:val="DefaultParagraphFont"/>
    <w:link w:val="Footer"/>
    <w:uiPriority w:val="99"/>
    <w:rsid w:val="005905B4"/>
    <w:rPr>
      <w:sz w:val="22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5905B4"/>
    <w:rPr>
      <w:noProof/>
      <w:sz w:val="24"/>
    </w:rPr>
  </w:style>
  <w:style w:type="paragraph" w:customStyle="1" w:styleId="Normal12">
    <w:name w:val="Normal12"/>
    <w:basedOn w:val="Normal"/>
    <w:link w:val="Normal12Char"/>
    <w:rsid w:val="005905B4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5905B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5905B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5905B4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5905B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5905B4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5905B4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5905B4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5905B4"/>
    <w:rPr>
      <w:b/>
      <w:sz w:val="24"/>
      <w:lang w:val="hr-HR"/>
    </w:rPr>
  </w:style>
  <w:style w:type="paragraph" w:customStyle="1" w:styleId="Normal12Italic">
    <w:name w:val="Normal12Italic"/>
    <w:basedOn w:val="Normal12"/>
    <w:rsid w:val="005905B4"/>
    <w:rPr>
      <w:i/>
    </w:rPr>
  </w:style>
  <w:style w:type="paragraph" w:customStyle="1" w:styleId="JustificationTitle">
    <w:name w:val="JustificationTitle"/>
    <w:basedOn w:val="Normal"/>
    <w:next w:val="Normal12"/>
    <w:rsid w:val="005905B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5905B4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5905B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905B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5905B4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5905B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5905B4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5905B4"/>
    <w:pPr>
      <w:jc w:val="center"/>
    </w:pPr>
    <w:rPr>
      <w:noProof w:val="0"/>
      <w:sz w:val="56"/>
    </w:r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EC"/>
    <w:basedOn w:val="Normal"/>
    <w:link w:val="ListParagraphChar"/>
    <w:uiPriority w:val="34"/>
    <w:qFormat/>
    <w:rsid w:val="005905B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5905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5905B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05B4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905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905B4"/>
    <w:rPr>
      <w:b/>
      <w:bCs/>
      <w:lang w:val="hr-HR"/>
    </w:rPr>
  </w:style>
  <w:style w:type="paragraph" w:styleId="BalloonText">
    <w:name w:val="Balloon Text"/>
    <w:basedOn w:val="Normal"/>
    <w:link w:val="BalloonTextChar"/>
    <w:unhideWhenUsed/>
    <w:rsid w:val="005905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905B4"/>
    <w:rPr>
      <w:rFonts w:ascii="Segoe UI" w:hAnsi="Segoe UI" w:cs="Segoe UI"/>
      <w:sz w:val="18"/>
      <w:szCs w:val="18"/>
      <w:lang w:val="hr-HR"/>
    </w:rPr>
  </w:style>
  <w:style w:type="paragraph" w:customStyle="1" w:styleId="Normal12a">
    <w:name w:val="Normal12a"/>
    <w:basedOn w:val="Normal"/>
    <w:rsid w:val="005905B4"/>
    <w:pPr>
      <w:spacing w:after="240"/>
    </w:pPr>
  </w:style>
  <w:style w:type="paragraph" w:customStyle="1" w:styleId="RollCallVotes">
    <w:name w:val="RollCallVotes"/>
    <w:basedOn w:val="Normal"/>
    <w:rsid w:val="005905B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5905B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5905B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5905B4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DD6C89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DD6C89"/>
    <w:pPr>
      <w:spacing w:after="240"/>
      <w:jc w:val="center"/>
    </w:pPr>
  </w:style>
  <w:style w:type="paragraph" w:customStyle="1" w:styleId="AmDateTab">
    <w:name w:val="AmDateTab"/>
    <w:basedOn w:val="Normal"/>
    <w:rsid w:val="00DD6C89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DD6C89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DD6C89"/>
  </w:style>
  <w:style w:type="paragraph" w:styleId="TOC4">
    <w:name w:val="toc 4"/>
    <w:basedOn w:val="Normal"/>
    <w:next w:val="Normal"/>
    <w:uiPriority w:val="39"/>
    <w:unhideWhenUsed/>
    <w:rsid w:val="00DD6C89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DD6C89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DD6C89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DD6C89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DD6C8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DD6C89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DD6C89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DD6C89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DD6C89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DD6C89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DD6C89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DD6C89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DD6C89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DD6C8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DD6C8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DD6C8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DD6C8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DD6C8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DD6C8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DD6C8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DD6C8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DD6C8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DD6C8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DD6C89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DD6C8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DD6C89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DD6C8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DD6C8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DD6C8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DD6C8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DD6C8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DD6C8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DD6C8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DD6C8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DD6C8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DD6C8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DD6C8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DD6C89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DD6C89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DD6C89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DD6C89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DD6C89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DD6C89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DD6C89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DD6C89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DD6C89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DD6C89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DD6C89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DD6C89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DD6C89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DD6C89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DD6C89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DD6C89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DD6C89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DD6C89"/>
    <w:pPr>
      <w:widowControl/>
      <w:numPr>
        <w:numId w:val="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DD6C89"/>
    <w:pPr>
      <w:widowControl/>
      <w:numPr>
        <w:numId w:val="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DD6C89"/>
    <w:pPr>
      <w:widowControl/>
      <w:numPr>
        <w:numId w:val="1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DD6C89"/>
    <w:pPr>
      <w:widowControl/>
      <w:numPr>
        <w:numId w:val="1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DD6C89"/>
    <w:pPr>
      <w:widowControl/>
      <w:numPr>
        <w:numId w:val="12"/>
      </w:numPr>
      <w:tabs>
        <w:tab w:val="left" w:pos="85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DD6C89"/>
    <w:pPr>
      <w:widowControl/>
      <w:numPr>
        <w:ilvl w:val="1"/>
        <w:numId w:val="12"/>
      </w:numPr>
      <w:tabs>
        <w:tab w:val="left" w:pos="85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DD6C89"/>
    <w:pPr>
      <w:widowControl/>
      <w:numPr>
        <w:ilvl w:val="2"/>
        <w:numId w:val="12"/>
      </w:numPr>
      <w:tabs>
        <w:tab w:val="left" w:pos="85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DD6C89"/>
    <w:pPr>
      <w:widowControl/>
      <w:numPr>
        <w:ilvl w:val="3"/>
        <w:numId w:val="12"/>
      </w:numPr>
      <w:tabs>
        <w:tab w:val="left" w:pos="85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DD6C89"/>
    <w:pPr>
      <w:widowControl/>
      <w:numPr>
        <w:ilvl w:val="4"/>
        <w:numId w:val="12"/>
      </w:numPr>
      <w:tabs>
        <w:tab w:val="left" w:pos="1417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DD6C89"/>
    <w:pPr>
      <w:widowControl/>
      <w:numPr>
        <w:ilvl w:val="5"/>
        <w:numId w:val="12"/>
      </w:numPr>
      <w:tabs>
        <w:tab w:val="left" w:pos="1417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DD6C89"/>
    <w:pPr>
      <w:widowControl/>
      <w:numPr>
        <w:ilvl w:val="6"/>
        <w:numId w:val="12"/>
      </w:numPr>
      <w:tabs>
        <w:tab w:val="left" w:pos="1417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DD6C8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DD6C8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DD6C8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DD6C8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DD6C8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DD6C8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DD6C89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DD6C8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DD6C89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DD6C8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DD6C8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DD6C8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DD6C8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DD6C8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DD6C89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DD6C89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DD6C89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DD6C89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DD6C89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DD6C89"/>
    <w:pPr>
      <w:widowControl/>
      <w:numPr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DD6C89"/>
    <w:pPr>
      <w:widowControl/>
      <w:numPr>
        <w:ilvl w:val="2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DD6C89"/>
    <w:pPr>
      <w:widowControl/>
      <w:numPr>
        <w:ilvl w:val="4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DD6C89"/>
    <w:pPr>
      <w:widowControl/>
      <w:numPr>
        <w:ilvl w:val="6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DD6C89"/>
    <w:pPr>
      <w:widowControl/>
      <w:numPr>
        <w:ilvl w:val="1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letter0">
    <w:name w:val="Point 1 (letter)"/>
    <w:basedOn w:val="Normal"/>
    <w:rsid w:val="00DD6C89"/>
    <w:pPr>
      <w:widowControl/>
      <w:numPr>
        <w:ilvl w:val="3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DD6C89"/>
    <w:pPr>
      <w:widowControl/>
      <w:numPr>
        <w:ilvl w:val="5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DD6C89"/>
    <w:pPr>
      <w:widowControl/>
      <w:numPr>
        <w:ilvl w:val="7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DD6C89"/>
    <w:pPr>
      <w:widowControl/>
      <w:numPr>
        <w:ilvl w:val="8"/>
        <w:numId w:val="1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DD6C89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DD6C89"/>
    <w:pPr>
      <w:widowControl/>
      <w:numPr>
        <w:numId w:val="1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DD6C89"/>
    <w:pPr>
      <w:widowControl/>
      <w:numPr>
        <w:numId w:val="1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DD6C89"/>
    <w:pPr>
      <w:widowControl/>
      <w:numPr>
        <w:numId w:val="1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DD6C89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DD6C89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DD6C89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DD6C89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DD6C89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DD6C8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DD6C8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DD6C89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DD6C89"/>
    <w:pPr>
      <w:widowControl/>
      <w:numPr>
        <w:numId w:val="2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DD6C8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DD6C89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DD6C89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DD6C89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DD6C89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DD6C8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DD6C89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DD6C89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DD6C8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DD6C89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DD6C89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DD6C89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DD6C8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DD6C8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DD6C89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DD6C89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DD6C89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DD6C89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DD6C89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DD6C8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DD6C89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DD6C8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DD6C89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DD6C89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DD6C89"/>
    <w:pPr>
      <w:spacing w:before="240"/>
    </w:pPr>
  </w:style>
  <w:style w:type="paragraph" w:customStyle="1" w:styleId="Accordtitre">
    <w:name w:val="Accord titre"/>
    <w:basedOn w:val="Normal"/>
    <w:rsid w:val="00DD6C89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DD6C89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DD6C89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DD6C89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DD6C89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DD6C89"/>
    <w:pPr>
      <w:spacing w:after="240"/>
    </w:pPr>
  </w:style>
  <w:style w:type="paragraph" w:customStyle="1" w:styleId="Annexetitre">
    <w:name w:val="Annexe titre"/>
    <w:basedOn w:val="Normal"/>
    <w:next w:val="Normal"/>
    <w:rsid w:val="00DD6C89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DD6C89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nhideWhenUsed/>
    <w:rsid w:val="00DD6C89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DD6C89"/>
    <w:rPr>
      <w:rFonts w:eastAsia="Calibri"/>
      <w:lang w:val="hr-HR" w:eastAsia="en-US"/>
    </w:rPr>
  </w:style>
  <w:style w:type="character" w:styleId="EndnoteReference">
    <w:name w:val="endnote reference"/>
    <w:basedOn w:val="DefaultParagraphFont"/>
    <w:unhideWhenUsed/>
    <w:rsid w:val="00DD6C89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DD6C8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DD6C8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DD6C8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DD6C89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DD6C89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DD6C89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DD6C89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DD6C89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DD6C89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DD6C89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DD6C89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DD6C89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DD6C89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DD6C89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DD6C89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DD6C89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DD6C89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DD6C89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DD6C89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DD6C89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DD6C89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DD6C89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DD6C89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DD6C89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DD6C89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DD6C89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DD6C89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DD6C89"/>
    <w:rPr>
      <w:rFonts w:eastAsia="Calibri"/>
      <w:sz w:val="24"/>
      <w:szCs w:val="22"/>
      <w:lang w:val="hr-HR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DD6C89"/>
    <w:rPr>
      <w:rFonts w:eastAsia="Calibri"/>
      <w:sz w:val="2"/>
      <w:szCs w:val="22"/>
      <w:lang w:val="hr-HR" w:eastAsia="en-US"/>
    </w:rPr>
  </w:style>
  <w:style w:type="paragraph" w:customStyle="1" w:styleId="FooterText">
    <w:name w:val="Footer Text"/>
    <w:basedOn w:val="Normal"/>
    <w:rsid w:val="00DD6C89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DD6C89"/>
    <w:rPr>
      <w:color w:val="808080"/>
    </w:rPr>
  </w:style>
  <w:style w:type="paragraph" w:customStyle="1" w:styleId="NormalJustified">
    <w:name w:val="Normal Justified"/>
    <w:basedOn w:val="Normal"/>
    <w:rsid w:val="00DD6C89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DD6C89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DD6C89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DD6C89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DD6C89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DD6C89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DD6C89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DD6C89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DD6C89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DD6C89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DD6C89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DD6C89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DD6C89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DD6C89"/>
    <w:pPr>
      <w:widowControl/>
      <w:numPr>
        <w:ilvl w:val="1"/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DD6C89"/>
    <w:pPr>
      <w:widowControl/>
      <w:numPr>
        <w:ilvl w:val="3"/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DD6C89"/>
    <w:pPr>
      <w:widowControl/>
      <w:numPr>
        <w:ilvl w:val="5"/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DD6C89"/>
    <w:pPr>
      <w:widowControl/>
      <w:numPr>
        <w:ilvl w:val="7"/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DD6C89"/>
    <w:pPr>
      <w:widowControl/>
      <w:numPr>
        <w:ilvl w:val="8"/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DD6C89"/>
    <w:pPr>
      <w:widowControl/>
      <w:numPr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DD6C89"/>
    <w:pPr>
      <w:widowControl/>
      <w:numPr>
        <w:ilvl w:val="2"/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DD6C89"/>
    <w:pPr>
      <w:widowControl/>
      <w:numPr>
        <w:ilvl w:val="4"/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DD6C89"/>
    <w:pPr>
      <w:widowControl/>
      <w:numPr>
        <w:ilvl w:val="6"/>
        <w:numId w:val="3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DD6C89"/>
    <w:pPr>
      <w:widowControl/>
      <w:numPr>
        <w:numId w:val="3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DD6C89"/>
    <w:pPr>
      <w:widowControl/>
      <w:numPr>
        <w:ilvl w:val="1"/>
        <w:numId w:val="3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DD6C89"/>
    <w:pPr>
      <w:widowControl/>
      <w:numPr>
        <w:ilvl w:val="2"/>
        <w:numId w:val="3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DD6C89"/>
    <w:pPr>
      <w:widowControl/>
      <w:numPr>
        <w:ilvl w:val="3"/>
        <w:numId w:val="3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DD6C89"/>
    <w:pPr>
      <w:widowControl/>
      <w:numPr>
        <w:ilvl w:val="4"/>
        <w:numId w:val="3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DD6C89"/>
    <w:pPr>
      <w:widowControl/>
      <w:numPr>
        <w:numId w:val="3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DD6C89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DD6C89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DD6C89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DD6C89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DD6C89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DD6C89"/>
    <w:pPr>
      <w:numPr>
        <w:numId w:val="29"/>
      </w:numPr>
    </w:pPr>
  </w:style>
  <w:style w:type="paragraph" w:customStyle="1" w:styleId="DashEqual1">
    <w:name w:val="Dash Equal 1"/>
    <w:basedOn w:val="Dash1"/>
    <w:rsid w:val="00DD6C89"/>
    <w:pPr>
      <w:numPr>
        <w:numId w:val="30"/>
      </w:numPr>
    </w:pPr>
  </w:style>
  <w:style w:type="paragraph" w:customStyle="1" w:styleId="DashEqual2">
    <w:name w:val="Dash Equal 2"/>
    <w:basedOn w:val="Dash2"/>
    <w:rsid w:val="00DD6C89"/>
    <w:pPr>
      <w:numPr>
        <w:numId w:val="31"/>
      </w:numPr>
    </w:pPr>
  </w:style>
  <w:style w:type="paragraph" w:customStyle="1" w:styleId="DashEqual3">
    <w:name w:val="Dash Equal 3"/>
    <w:basedOn w:val="Dash3"/>
    <w:rsid w:val="00DD6C89"/>
    <w:pPr>
      <w:numPr>
        <w:numId w:val="32"/>
      </w:numPr>
    </w:pPr>
  </w:style>
  <w:style w:type="paragraph" w:customStyle="1" w:styleId="DashEqual4">
    <w:name w:val="Dash Equal 4"/>
    <w:basedOn w:val="Dash4"/>
    <w:rsid w:val="00DD6C89"/>
    <w:pPr>
      <w:numPr>
        <w:numId w:val="33"/>
      </w:numPr>
    </w:pPr>
  </w:style>
  <w:style w:type="paragraph" w:customStyle="1" w:styleId="HeadingLeft">
    <w:name w:val="Heading Left"/>
    <w:basedOn w:val="Normal"/>
    <w:next w:val="Normal"/>
    <w:rsid w:val="00DD6C89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DD6C89"/>
    <w:pPr>
      <w:numPr>
        <w:numId w:val="39"/>
      </w:numPr>
    </w:pPr>
  </w:style>
  <w:style w:type="paragraph" w:customStyle="1" w:styleId="Heading123">
    <w:name w:val="Heading 123"/>
    <w:basedOn w:val="HeadingLeft"/>
    <w:next w:val="Normal"/>
    <w:rsid w:val="00DD6C89"/>
    <w:pPr>
      <w:numPr>
        <w:numId w:val="38"/>
      </w:numPr>
    </w:pPr>
  </w:style>
  <w:style w:type="paragraph" w:customStyle="1" w:styleId="HeadingABC">
    <w:name w:val="Heading ABC"/>
    <w:basedOn w:val="HeadingLeft"/>
    <w:next w:val="Normal"/>
    <w:rsid w:val="00DD6C89"/>
    <w:pPr>
      <w:numPr>
        <w:numId w:val="37"/>
      </w:numPr>
    </w:pPr>
  </w:style>
  <w:style w:type="paragraph" w:customStyle="1" w:styleId="HeadingCentered">
    <w:name w:val="Heading Centered"/>
    <w:basedOn w:val="HeadingLeft"/>
    <w:next w:val="Normal"/>
    <w:rsid w:val="00DD6C89"/>
    <w:pPr>
      <w:jc w:val="center"/>
    </w:pPr>
  </w:style>
  <w:style w:type="paragraph" w:customStyle="1" w:styleId="Jardin">
    <w:name w:val="Jardin"/>
    <w:basedOn w:val="Normal"/>
    <w:rsid w:val="00DD6C89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DD6C89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DD6C89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DD6C89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DD6C89"/>
    <w:rPr>
      <w:b/>
    </w:rPr>
  </w:style>
  <w:style w:type="paragraph" w:customStyle="1" w:styleId="Annex">
    <w:name w:val="Annex"/>
    <w:basedOn w:val="Normal"/>
    <w:next w:val="Normal"/>
    <w:rsid w:val="00DD6C89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DD6C89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DD6C89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rsid w:val="00DD6C89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DD6C89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rsid w:val="00DD6C89"/>
    <w:pPr>
      <w:widowControl/>
      <w:numPr>
        <w:numId w:val="41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DD6C89"/>
    <w:pPr>
      <w:widowControl/>
      <w:numPr>
        <w:numId w:val="45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DD6C89"/>
    <w:pPr>
      <w:widowControl/>
      <w:numPr>
        <w:numId w:val="40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DD6C89"/>
    <w:pPr>
      <w:widowControl/>
      <w:numPr>
        <w:numId w:val="42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DD6C89"/>
    <w:pPr>
      <w:widowControl/>
      <w:numPr>
        <w:numId w:val="43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DD6C89"/>
    <w:pPr>
      <w:widowControl/>
      <w:numPr>
        <w:numId w:val="44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DD6C89"/>
    <w:pPr>
      <w:widowControl/>
      <w:numPr>
        <w:ilvl w:val="1"/>
        <w:numId w:val="45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DD6C89"/>
    <w:pPr>
      <w:widowControl/>
      <w:numPr>
        <w:ilvl w:val="2"/>
        <w:numId w:val="45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DD6C89"/>
    <w:pPr>
      <w:widowControl/>
      <w:numPr>
        <w:ilvl w:val="3"/>
        <w:numId w:val="45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rsid w:val="00DD6C89"/>
    <w:pPr>
      <w:spacing w:before="120" w:after="120"/>
      <w:jc w:val="both"/>
    </w:pPr>
    <w:rPr>
      <w:lang w:val="hr-HR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D6C89"/>
    <w:rPr>
      <w:color w:val="0000FF"/>
      <w:u w:val="single"/>
    </w:rPr>
  </w:style>
  <w:style w:type="paragraph" w:styleId="ListBullet">
    <w:name w:val="List Bullet"/>
    <w:basedOn w:val="Normal"/>
    <w:qFormat/>
    <w:rsid w:val="00DD6C89"/>
    <w:pPr>
      <w:widowControl/>
      <w:numPr>
        <w:numId w:val="46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DD6C89"/>
    <w:pPr>
      <w:widowControl/>
      <w:numPr>
        <w:numId w:val="47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DD6C89"/>
    <w:pPr>
      <w:widowControl/>
      <w:numPr>
        <w:numId w:val="48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DD6C89"/>
    <w:pPr>
      <w:widowControl/>
      <w:numPr>
        <w:numId w:val="52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DD6C89"/>
    <w:pPr>
      <w:widowControl/>
      <w:numPr>
        <w:numId w:val="53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DD6C89"/>
    <w:pPr>
      <w:widowControl/>
      <w:numPr>
        <w:numId w:val="54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DD6C89"/>
    <w:pPr>
      <w:widowControl/>
      <w:numPr>
        <w:numId w:val="49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DD6C89"/>
    <w:pPr>
      <w:widowControl/>
      <w:numPr>
        <w:numId w:val="50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DD6C89"/>
    <w:pPr>
      <w:numPr>
        <w:numId w:val="51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DD6C89"/>
    <w:pPr>
      <w:numPr>
        <w:ilvl w:val="1"/>
        <w:numId w:val="51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DD6C89"/>
    <w:pPr>
      <w:numPr>
        <w:ilvl w:val="1"/>
        <w:numId w:val="5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DD6C89"/>
    <w:pPr>
      <w:numPr>
        <w:ilvl w:val="1"/>
        <w:numId w:val="53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DD6C89"/>
    <w:pPr>
      <w:numPr>
        <w:ilvl w:val="1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DD6C89"/>
    <w:pPr>
      <w:numPr>
        <w:ilvl w:val="2"/>
        <w:numId w:val="51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DD6C89"/>
    <w:pPr>
      <w:numPr>
        <w:ilvl w:val="2"/>
        <w:numId w:val="5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DD6C89"/>
    <w:pPr>
      <w:numPr>
        <w:ilvl w:val="2"/>
        <w:numId w:val="53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DD6C89"/>
    <w:pPr>
      <w:numPr>
        <w:ilvl w:val="2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DD6C89"/>
    <w:pPr>
      <w:numPr>
        <w:ilvl w:val="3"/>
        <w:numId w:val="51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DD6C89"/>
    <w:pPr>
      <w:numPr>
        <w:ilvl w:val="3"/>
        <w:numId w:val="5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DD6C89"/>
    <w:pPr>
      <w:numPr>
        <w:ilvl w:val="3"/>
        <w:numId w:val="53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DD6C89"/>
    <w:pPr>
      <w:numPr>
        <w:ilvl w:val="3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DD6C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DD6C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DD6C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DD6C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DD6C89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DD6C89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DD6C89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DD6C89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DD6C89"/>
    <w:pPr>
      <w:widowControl/>
      <w:spacing w:after="240"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DD6C89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DD6C89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DD6C89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DD6C89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DD6C89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DD6C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DD6C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DD6C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DD6C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DD6C89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DD6C89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DD6C89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DD6C89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DD6C89"/>
    <w:rPr>
      <w:vanish/>
      <w:color w:val="800080"/>
      <w:vertAlign w:val="subscript"/>
    </w:rPr>
  </w:style>
  <w:style w:type="character" w:styleId="FollowedHyperlink">
    <w:name w:val="FollowedHyperlink"/>
    <w:rsid w:val="00DD6C89"/>
    <w:rPr>
      <w:color w:val="800080"/>
      <w:u w:val="single"/>
    </w:rPr>
  </w:style>
  <w:style w:type="paragraph" w:customStyle="1" w:styleId="Sous-titreobjetPagedecouverture">
    <w:name w:val="Sous-titre objet (Page de couverture)"/>
    <w:basedOn w:val="Sous-titreobjet"/>
    <w:rsid w:val="00DD6C89"/>
    <w:pPr>
      <w:spacing w:line="240" w:lineRule="auto"/>
    </w:pPr>
    <w:rPr>
      <w:rFonts w:eastAsia="Times New Roman"/>
      <w:lang w:eastAsia="en-GB"/>
    </w:rPr>
  </w:style>
  <w:style w:type="paragraph" w:styleId="Revision">
    <w:name w:val="Revision"/>
    <w:hidden/>
    <w:uiPriority w:val="99"/>
    <w:semiHidden/>
    <w:rsid w:val="00DD6C89"/>
    <w:pPr>
      <w:spacing w:after="200" w:line="276" w:lineRule="auto"/>
    </w:pPr>
    <w:rPr>
      <w:rFonts w:ascii="Calibri" w:eastAsia="Calibri" w:hAnsi="Calibri"/>
      <w:sz w:val="24"/>
      <w:szCs w:val="22"/>
      <w:lang w:val="hr-HR"/>
    </w:rPr>
  </w:style>
  <w:style w:type="paragraph" w:customStyle="1" w:styleId="FooterCoverPage">
    <w:name w:val="Footer Cover Page"/>
    <w:basedOn w:val="Normal"/>
    <w:link w:val="FooterCoverPageChar"/>
    <w:rsid w:val="00DD6C89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DD6C89"/>
    <w:rPr>
      <w:rFonts w:ascii="Times New Roman" w:hAnsi="Times New Roman" w:cs="Times New Roman"/>
      <w:b/>
      <w:sz w:val="28"/>
      <w:lang w:val="hr-HR"/>
    </w:rPr>
  </w:style>
  <w:style w:type="character" w:customStyle="1" w:styleId="FooterCoverPageChar">
    <w:name w:val="Footer Cover Page Char"/>
    <w:link w:val="FooterCoverPage"/>
    <w:rsid w:val="00DD6C89"/>
    <w:rPr>
      <w:rFonts w:eastAsia="Calibri"/>
      <w:sz w:val="24"/>
      <w:szCs w:val="22"/>
      <w:lang w:val="hr-HR"/>
    </w:rPr>
  </w:style>
  <w:style w:type="paragraph" w:customStyle="1" w:styleId="HeaderCoverPage">
    <w:name w:val="Header Cover Page"/>
    <w:basedOn w:val="Normal"/>
    <w:link w:val="HeaderCoverPageChar"/>
    <w:rsid w:val="00DD6C89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DD6C89"/>
    <w:rPr>
      <w:rFonts w:eastAsia="Calibri"/>
      <w:sz w:val="24"/>
      <w:szCs w:val="22"/>
      <w:lang w:val="hr-HR"/>
    </w:rPr>
  </w:style>
  <w:style w:type="paragraph" w:customStyle="1" w:styleId="Body">
    <w:name w:val="Body"/>
    <w:rsid w:val="00DD6C8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hr-HR" w:eastAsia="en-IE"/>
    </w:rPr>
  </w:style>
  <w:style w:type="paragraph" w:customStyle="1" w:styleId="Heading">
    <w:name w:val="Heading"/>
    <w:next w:val="Body"/>
    <w:rsid w:val="00DD6C89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hr-HR" w:eastAsia="en-IE"/>
    </w:rPr>
  </w:style>
  <w:style w:type="paragraph" w:styleId="NormalWeb">
    <w:name w:val="Normal (Web)"/>
    <w:uiPriority w:val="99"/>
    <w:rsid w:val="00DD6C89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hr-HR" w:eastAsia="en-IE"/>
    </w:rPr>
  </w:style>
  <w:style w:type="numbering" w:customStyle="1" w:styleId="ImportedStyle1">
    <w:name w:val="Imported Style 1"/>
    <w:rsid w:val="00DD6C89"/>
    <w:pPr>
      <w:numPr>
        <w:numId w:val="55"/>
      </w:numPr>
    </w:pPr>
  </w:style>
  <w:style w:type="paragraph" w:customStyle="1" w:styleId="Default">
    <w:name w:val="Default"/>
    <w:rsid w:val="00DD6C89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hr-HR" w:eastAsia="en-IE"/>
    </w:rPr>
  </w:style>
  <w:style w:type="numbering" w:customStyle="1" w:styleId="ImportedStyle2">
    <w:name w:val="Imported Style 2"/>
    <w:rsid w:val="00DD6C89"/>
    <w:pPr>
      <w:numPr>
        <w:numId w:val="56"/>
      </w:numPr>
    </w:pPr>
  </w:style>
  <w:style w:type="numbering" w:customStyle="1" w:styleId="ImportedStyle3">
    <w:name w:val="Imported Style 3"/>
    <w:rsid w:val="00DD6C89"/>
    <w:pPr>
      <w:numPr>
        <w:numId w:val="57"/>
      </w:numPr>
    </w:pPr>
  </w:style>
  <w:style w:type="numbering" w:customStyle="1" w:styleId="ImportedStyle4">
    <w:name w:val="Imported Style 4"/>
    <w:rsid w:val="00DD6C89"/>
    <w:pPr>
      <w:numPr>
        <w:numId w:val="58"/>
      </w:numPr>
    </w:pPr>
  </w:style>
  <w:style w:type="numbering" w:customStyle="1" w:styleId="ImportedStyle5">
    <w:name w:val="Imported Style 5"/>
    <w:rsid w:val="00DD6C89"/>
    <w:pPr>
      <w:numPr>
        <w:numId w:val="59"/>
      </w:numPr>
    </w:pPr>
  </w:style>
  <w:style w:type="numbering" w:customStyle="1" w:styleId="ImportedStyle6">
    <w:name w:val="Imported Style 6"/>
    <w:rsid w:val="00DD6C89"/>
    <w:pPr>
      <w:numPr>
        <w:numId w:val="60"/>
      </w:numPr>
    </w:pPr>
  </w:style>
  <w:style w:type="numbering" w:customStyle="1" w:styleId="ImportedStyle7">
    <w:name w:val="Imported Style 7"/>
    <w:rsid w:val="00DD6C89"/>
    <w:pPr>
      <w:numPr>
        <w:numId w:val="61"/>
      </w:numPr>
    </w:pPr>
  </w:style>
  <w:style w:type="numbering" w:customStyle="1" w:styleId="ImportedStyle8">
    <w:name w:val="Imported Style 8"/>
    <w:rsid w:val="00DD6C89"/>
    <w:pPr>
      <w:numPr>
        <w:numId w:val="62"/>
      </w:numPr>
    </w:pPr>
  </w:style>
  <w:style w:type="numbering" w:customStyle="1" w:styleId="ImportedStyle9">
    <w:name w:val="Imported Style 9"/>
    <w:rsid w:val="00DD6C89"/>
    <w:pPr>
      <w:numPr>
        <w:numId w:val="63"/>
      </w:numPr>
    </w:pPr>
  </w:style>
  <w:style w:type="numbering" w:customStyle="1" w:styleId="ImportedStyle10">
    <w:name w:val="Imported Style 10"/>
    <w:rsid w:val="00DD6C89"/>
    <w:pPr>
      <w:numPr>
        <w:numId w:val="64"/>
      </w:numPr>
    </w:pPr>
  </w:style>
  <w:style w:type="numbering" w:customStyle="1" w:styleId="ImportedStyle11">
    <w:name w:val="Imported Style 11"/>
    <w:rsid w:val="00DD6C89"/>
    <w:pPr>
      <w:numPr>
        <w:numId w:val="65"/>
      </w:numPr>
    </w:pPr>
  </w:style>
  <w:style w:type="numbering" w:customStyle="1" w:styleId="ImportedStyle12">
    <w:name w:val="Imported Style 12"/>
    <w:rsid w:val="00DD6C89"/>
    <w:pPr>
      <w:numPr>
        <w:numId w:val="66"/>
      </w:numPr>
    </w:pPr>
  </w:style>
  <w:style w:type="numbering" w:customStyle="1" w:styleId="ImportedStyle13">
    <w:name w:val="Imported Style 13"/>
    <w:rsid w:val="00DD6C89"/>
    <w:pPr>
      <w:numPr>
        <w:numId w:val="67"/>
      </w:numPr>
    </w:pPr>
  </w:style>
  <w:style w:type="numbering" w:customStyle="1" w:styleId="ImportedStyle14">
    <w:name w:val="Imported Style 14"/>
    <w:rsid w:val="00DD6C89"/>
    <w:pPr>
      <w:numPr>
        <w:numId w:val="68"/>
      </w:numPr>
    </w:pPr>
  </w:style>
  <w:style w:type="numbering" w:customStyle="1" w:styleId="ImportedStyle15">
    <w:name w:val="Imported Style 15"/>
    <w:rsid w:val="00DD6C89"/>
    <w:pPr>
      <w:numPr>
        <w:numId w:val="69"/>
      </w:numPr>
    </w:pPr>
  </w:style>
  <w:style w:type="numbering" w:customStyle="1" w:styleId="ImportedStyle16">
    <w:name w:val="Imported Style 16"/>
    <w:rsid w:val="00DD6C89"/>
    <w:pPr>
      <w:numPr>
        <w:numId w:val="70"/>
      </w:numPr>
    </w:pPr>
  </w:style>
  <w:style w:type="numbering" w:customStyle="1" w:styleId="ImportedStyle17">
    <w:name w:val="Imported Style 17"/>
    <w:rsid w:val="00DD6C89"/>
    <w:pPr>
      <w:numPr>
        <w:numId w:val="71"/>
      </w:numPr>
    </w:pPr>
  </w:style>
  <w:style w:type="numbering" w:customStyle="1" w:styleId="ImportedStyle18">
    <w:name w:val="Imported Style 18"/>
    <w:rsid w:val="00DD6C89"/>
    <w:pPr>
      <w:numPr>
        <w:numId w:val="72"/>
      </w:numPr>
    </w:pPr>
  </w:style>
  <w:style w:type="numbering" w:customStyle="1" w:styleId="ImportedStyle19">
    <w:name w:val="Imported Style 19"/>
    <w:rsid w:val="00DD6C89"/>
    <w:pPr>
      <w:numPr>
        <w:numId w:val="73"/>
      </w:numPr>
    </w:pPr>
  </w:style>
  <w:style w:type="numbering" w:customStyle="1" w:styleId="ImportedStyle20">
    <w:name w:val="Imported Style 20"/>
    <w:rsid w:val="00DD6C89"/>
    <w:pPr>
      <w:numPr>
        <w:numId w:val="74"/>
      </w:numPr>
    </w:pPr>
  </w:style>
  <w:style w:type="numbering" w:customStyle="1" w:styleId="ImportedStyle21">
    <w:name w:val="Imported Style 21"/>
    <w:rsid w:val="00DD6C89"/>
    <w:pPr>
      <w:numPr>
        <w:numId w:val="75"/>
      </w:numPr>
    </w:pPr>
  </w:style>
  <w:style w:type="numbering" w:customStyle="1" w:styleId="ImportedStyle22">
    <w:name w:val="Imported Style 22"/>
    <w:rsid w:val="00DD6C89"/>
    <w:pPr>
      <w:numPr>
        <w:numId w:val="76"/>
      </w:numPr>
    </w:pPr>
  </w:style>
  <w:style w:type="paragraph" w:customStyle="1" w:styleId="CM4">
    <w:name w:val="CM4"/>
    <w:next w:val="Default"/>
    <w:rsid w:val="00DD6C89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hr-HR" w:eastAsia="en-IE"/>
    </w:rPr>
  </w:style>
  <w:style w:type="numbering" w:customStyle="1" w:styleId="ImportedStyle23">
    <w:name w:val="Imported Style 23"/>
    <w:rsid w:val="00DD6C89"/>
    <w:pPr>
      <w:numPr>
        <w:numId w:val="77"/>
      </w:numPr>
    </w:pPr>
  </w:style>
  <w:style w:type="numbering" w:customStyle="1" w:styleId="ImportedStyle24">
    <w:name w:val="Imported Style 24"/>
    <w:rsid w:val="00DD6C89"/>
    <w:pPr>
      <w:numPr>
        <w:numId w:val="78"/>
      </w:numPr>
    </w:pPr>
  </w:style>
  <w:style w:type="numbering" w:customStyle="1" w:styleId="ImportedStyle25">
    <w:name w:val="Imported Style 25"/>
    <w:rsid w:val="00DD6C89"/>
    <w:pPr>
      <w:numPr>
        <w:numId w:val="79"/>
      </w:numPr>
    </w:pPr>
  </w:style>
  <w:style w:type="numbering" w:customStyle="1" w:styleId="ImportedStyle26">
    <w:name w:val="Imported Style 26"/>
    <w:rsid w:val="00DD6C89"/>
    <w:pPr>
      <w:numPr>
        <w:numId w:val="80"/>
      </w:numPr>
    </w:pPr>
  </w:style>
  <w:style w:type="numbering" w:customStyle="1" w:styleId="ImportedStyle27">
    <w:name w:val="Imported Style 27"/>
    <w:rsid w:val="00DD6C89"/>
    <w:pPr>
      <w:numPr>
        <w:numId w:val="81"/>
      </w:numPr>
    </w:pPr>
  </w:style>
  <w:style w:type="numbering" w:customStyle="1" w:styleId="ImportedStyle28">
    <w:name w:val="Imported Style 28"/>
    <w:rsid w:val="00DD6C89"/>
    <w:pPr>
      <w:numPr>
        <w:numId w:val="82"/>
      </w:numPr>
    </w:pPr>
  </w:style>
  <w:style w:type="numbering" w:customStyle="1" w:styleId="ImportedStyle29">
    <w:name w:val="Imported Style 29"/>
    <w:rsid w:val="00DD6C89"/>
    <w:pPr>
      <w:numPr>
        <w:numId w:val="117"/>
      </w:numPr>
    </w:pPr>
  </w:style>
  <w:style w:type="numbering" w:customStyle="1" w:styleId="ImportedStyle30">
    <w:name w:val="Imported Style 30"/>
    <w:rsid w:val="00DD6C89"/>
    <w:pPr>
      <w:numPr>
        <w:numId w:val="114"/>
      </w:numPr>
    </w:pPr>
  </w:style>
  <w:style w:type="numbering" w:customStyle="1" w:styleId="ImportedStyle31">
    <w:name w:val="Imported Style 31"/>
    <w:rsid w:val="00DD6C89"/>
    <w:pPr>
      <w:numPr>
        <w:numId w:val="115"/>
      </w:numPr>
    </w:pPr>
  </w:style>
  <w:style w:type="numbering" w:customStyle="1" w:styleId="ImportedStyle32">
    <w:name w:val="Imported Style 32"/>
    <w:rsid w:val="00DD6C89"/>
    <w:pPr>
      <w:numPr>
        <w:numId w:val="111"/>
      </w:numPr>
    </w:pPr>
  </w:style>
  <w:style w:type="numbering" w:customStyle="1" w:styleId="ImportedStyle33">
    <w:name w:val="Imported Style 33"/>
    <w:rsid w:val="00DD6C89"/>
    <w:pPr>
      <w:numPr>
        <w:numId w:val="83"/>
      </w:numPr>
    </w:pPr>
  </w:style>
  <w:style w:type="numbering" w:customStyle="1" w:styleId="ImportedStyle34">
    <w:name w:val="Imported Style 34"/>
    <w:rsid w:val="00DD6C89"/>
    <w:pPr>
      <w:numPr>
        <w:numId w:val="84"/>
      </w:numPr>
    </w:pPr>
  </w:style>
  <w:style w:type="numbering" w:customStyle="1" w:styleId="ImportedStyle35">
    <w:name w:val="Imported Style 35"/>
    <w:rsid w:val="00DD6C89"/>
    <w:pPr>
      <w:numPr>
        <w:numId w:val="85"/>
      </w:numPr>
    </w:pPr>
  </w:style>
  <w:style w:type="numbering" w:customStyle="1" w:styleId="ImportedStyle37">
    <w:name w:val="Imported Style 37"/>
    <w:rsid w:val="00DD6C89"/>
    <w:pPr>
      <w:numPr>
        <w:numId w:val="86"/>
      </w:numPr>
    </w:pPr>
  </w:style>
  <w:style w:type="numbering" w:customStyle="1" w:styleId="ImportedStyle38">
    <w:name w:val="Imported Style 38"/>
    <w:rsid w:val="00DD6C89"/>
    <w:pPr>
      <w:numPr>
        <w:numId w:val="87"/>
      </w:numPr>
    </w:pPr>
  </w:style>
  <w:style w:type="numbering" w:customStyle="1" w:styleId="ImportedStyle39">
    <w:name w:val="Imported Style 39"/>
    <w:rsid w:val="00DD6C89"/>
    <w:pPr>
      <w:numPr>
        <w:numId w:val="88"/>
      </w:numPr>
    </w:pPr>
  </w:style>
  <w:style w:type="numbering" w:customStyle="1" w:styleId="ImportedStyle40">
    <w:name w:val="Imported Style 40"/>
    <w:rsid w:val="00DD6C89"/>
    <w:pPr>
      <w:numPr>
        <w:numId w:val="112"/>
      </w:numPr>
    </w:pPr>
  </w:style>
  <w:style w:type="numbering" w:customStyle="1" w:styleId="ImportedStyle41">
    <w:name w:val="Imported Style 41"/>
    <w:rsid w:val="00DD6C89"/>
    <w:pPr>
      <w:numPr>
        <w:numId w:val="89"/>
      </w:numPr>
    </w:pPr>
  </w:style>
  <w:style w:type="numbering" w:customStyle="1" w:styleId="ImportedStyle42">
    <w:name w:val="Imported Style 42"/>
    <w:rsid w:val="00DD6C89"/>
    <w:pPr>
      <w:numPr>
        <w:numId w:val="116"/>
      </w:numPr>
    </w:pPr>
  </w:style>
  <w:style w:type="numbering" w:customStyle="1" w:styleId="ImportedStyle43">
    <w:name w:val="Imported Style 43"/>
    <w:rsid w:val="00DD6C89"/>
    <w:pPr>
      <w:numPr>
        <w:numId w:val="90"/>
      </w:numPr>
    </w:pPr>
  </w:style>
  <w:style w:type="numbering" w:customStyle="1" w:styleId="ImportedStyle44">
    <w:name w:val="Imported Style 44"/>
    <w:rsid w:val="00DD6C89"/>
  </w:style>
  <w:style w:type="numbering" w:customStyle="1" w:styleId="ImportedStyle45">
    <w:name w:val="Imported Style 45"/>
    <w:rsid w:val="00DD6C89"/>
    <w:pPr>
      <w:numPr>
        <w:numId w:val="103"/>
      </w:numPr>
    </w:pPr>
  </w:style>
  <w:style w:type="numbering" w:customStyle="1" w:styleId="ImportedStyle46">
    <w:name w:val="Imported Style 46"/>
    <w:rsid w:val="00DD6C89"/>
    <w:pPr>
      <w:numPr>
        <w:numId w:val="92"/>
      </w:numPr>
    </w:pPr>
  </w:style>
  <w:style w:type="numbering" w:customStyle="1" w:styleId="ImportedStyle47">
    <w:name w:val="Imported Style 47"/>
    <w:rsid w:val="00DD6C89"/>
    <w:pPr>
      <w:numPr>
        <w:numId w:val="104"/>
      </w:numPr>
    </w:pPr>
  </w:style>
  <w:style w:type="numbering" w:customStyle="1" w:styleId="ImportedStyle48">
    <w:name w:val="Imported Style 48"/>
    <w:rsid w:val="00DD6C89"/>
    <w:pPr>
      <w:numPr>
        <w:numId w:val="93"/>
      </w:numPr>
    </w:pPr>
  </w:style>
  <w:style w:type="numbering" w:customStyle="1" w:styleId="ImportedStyle36">
    <w:name w:val="Imported Style 36"/>
    <w:rsid w:val="00DD6C89"/>
    <w:pPr>
      <w:numPr>
        <w:numId w:val="105"/>
      </w:numPr>
    </w:pPr>
  </w:style>
  <w:style w:type="numbering" w:customStyle="1" w:styleId="ImportedStyle49">
    <w:name w:val="Imported Style 49"/>
    <w:rsid w:val="00DD6C89"/>
  </w:style>
  <w:style w:type="numbering" w:customStyle="1" w:styleId="ImportedStyle50">
    <w:name w:val="Imported Style 50"/>
    <w:rsid w:val="00DD6C89"/>
  </w:style>
  <w:style w:type="numbering" w:customStyle="1" w:styleId="ImportedStyle51">
    <w:name w:val="Imported Style 51"/>
    <w:rsid w:val="00DD6C89"/>
    <w:pPr>
      <w:numPr>
        <w:numId w:val="94"/>
      </w:numPr>
    </w:pPr>
  </w:style>
  <w:style w:type="numbering" w:customStyle="1" w:styleId="ImportedStyle52">
    <w:name w:val="Imported Style 52"/>
    <w:rsid w:val="00DD6C89"/>
    <w:pPr>
      <w:numPr>
        <w:numId w:val="95"/>
      </w:numPr>
    </w:pPr>
  </w:style>
  <w:style w:type="numbering" w:customStyle="1" w:styleId="ImportedStyle53">
    <w:name w:val="Imported Style 53"/>
    <w:rsid w:val="00DD6C89"/>
    <w:pPr>
      <w:numPr>
        <w:numId w:val="96"/>
      </w:numPr>
    </w:pPr>
  </w:style>
  <w:style w:type="numbering" w:customStyle="1" w:styleId="ImportedStyle54">
    <w:name w:val="Imported Style 54"/>
    <w:rsid w:val="00DD6C89"/>
    <w:pPr>
      <w:numPr>
        <w:numId w:val="113"/>
      </w:numPr>
    </w:pPr>
  </w:style>
  <w:style w:type="numbering" w:customStyle="1" w:styleId="ImportedStyle55">
    <w:name w:val="Imported Style 55"/>
    <w:rsid w:val="00DD6C89"/>
    <w:pPr>
      <w:numPr>
        <w:numId w:val="97"/>
      </w:numPr>
    </w:pPr>
  </w:style>
  <w:style w:type="numbering" w:customStyle="1" w:styleId="ImportedStyle56">
    <w:name w:val="Imported Style 56"/>
    <w:rsid w:val="00DD6C89"/>
    <w:pPr>
      <w:numPr>
        <w:numId w:val="98"/>
      </w:numPr>
    </w:pPr>
  </w:style>
  <w:style w:type="numbering" w:customStyle="1" w:styleId="ImportedStyle57">
    <w:name w:val="Imported Style 57"/>
    <w:rsid w:val="00DD6C89"/>
    <w:pPr>
      <w:numPr>
        <w:numId w:val="99"/>
      </w:numPr>
    </w:pPr>
  </w:style>
  <w:style w:type="numbering" w:customStyle="1" w:styleId="ImportedStyle58">
    <w:name w:val="Imported Style 58"/>
    <w:rsid w:val="00DD6C89"/>
    <w:pPr>
      <w:numPr>
        <w:numId w:val="100"/>
      </w:numPr>
    </w:pPr>
  </w:style>
  <w:style w:type="numbering" w:customStyle="1" w:styleId="ImportedStyle59">
    <w:name w:val="Imported Style 59"/>
    <w:rsid w:val="00DD6C89"/>
    <w:pPr>
      <w:numPr>
        <w:numId w:val="101"/>
      </w:numPr>
    </w:pPr>
  </w:style>
  <w:style w:type="numbering" w:customStyle="1" w:styleId="ImportedStyle60">
    <w:name w:val="Imported Style 60"/>
    <w:rsid w:val="00DD6C89"/>
    <w:pPr>
      <w:numPr>
        <w:numId w:val="91"/>
      </w:numPr>
    </w:pPr>
  </w:style>
  <w:style w:type="numbering" w:customStyle="1" w:styleId="ImportedStyle61">
    <w:name w:val="Imported Style 61"/>
    <w:rsid w:val="00DD6C89"/>
    <w:pPr>
      <w:numPr>
        <w:numId w:val="106"/>
      </w:numPr>
    </w:p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sid w:val="00DD6C89"/>
    <w:rPr>
      <w:sz w:val="24"/>
      <w:lang w:val="hr-HR"/>
    </w:rPr>
  </w:style>
  <w:style w:type="paragraph" w:customStyle="1" w:styleId="Style1">
    <w:name w:val="Style1"/>
    <w:basedOn w:val="Text1"/>
    <w:qFormat/>
    <w:rsid w:val="00DD6C89"/>
    <w:pPr>
      <w:spacing w:line="240" w:lineRule="auto"/>
      <w:ind w:left="0"/>
      <w:jc w:val="both"/>
    </w:pPr>
    <w:rPr>
      <w:noProof/>
      <w:szCs w:val="24"/>
    </w:rPr>
  </w:style>
  <w:style w:type="paragraph" w:customStyle="1" w:styleId="Style2">
    <w:name w:val="Style2"/>
    <w:basedOn w:val="Bullet0"/>
    <w:qFormat/>
    <w:rsid w:val="00DD6C89"/>
    <w:pPr>
      <w:numPr>
        <w:numId w:val="0"/>
      </w:numPr>
      <w:spacing w:line="240" w:lineRule="auto"/>
      <w:ind w:left="850" w:hanging="850"/>
      <w:jc w:val="both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DD6C89"/>
    <w:pPr>
      <w:numPr>
        <w:numId w:val="102"/>
      </w:numPr>
      <w:spacing w:line="240" w:lineRule="auto"/>
      <w:jc w:val="both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rsid w:val="00DD6C89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rsid w:val="00DD6C89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rsid w:val="00DD6C89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rsid w:val="00DD6C89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DD6C89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DD6C89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hr-HR" w:eastAsia="en-US"/>
    </w:rPr>
  </w:style>
  <w:style w:type="paragraph" w:customStyle="1" w:styleId="CM1">
    <w:name w:val="CM1"/>
    <w:basedOn w:val="Default"/>
    <w:next w:val="Default"/>
    <w:uiPriority w:val="99"/>
    <w:rsid w:val="00DD6C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</w:rPr>
  </w:style>
  <w:style w:type="paragraph" w:customStyle="1" w:styleId="CM3">
    <w:name w:val="CM3"/>
    <w:basedOn w:val="Default"/>
    <w:next w:val="Default"/>
    <w:uiPriority w:val="99"/>
    <w:rsid w:val="00DD6C8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</w:rPr>
  </w:style>
  <w:style w:type="character" w:styleId="Emphasis">
    <w:name w:val="Emphasis"/>
    <w:uiPriority w:val="20"/>
    <w:qFormat/>
    <w:rsid w:val="00DD6C89"/>
    <w:rPr>
      <w:i/>
      <w:iCs/>
    </w:rPr>
  </w:style>
  <w:style w:type="paragraph" w:customStyle="1" w:styleId="Tetxt1">
    <w:name w:val="Tetxt 1"/>
    <w:basedOn w:val="Normal"/>
    <w:rsid w:val="00DD6C89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DD6C89"/>
    <w:pPr>
      <w:numPr>
        <w:numId w:val="108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DD6C89"/>
    <w:pPr>
      <w:numPr>
        <w:numId w:val="107"/>
      </w:numPr>
      <w:spacing w:line="240" w:lineRule="auto"/>
      <w:jc w:val="both"/>
    </w:pPr>
    <w:rPr>
      <w:szCs w:val="24"/>
    </w:rPr>
  </w:style>
  <w:style w:type="paragraph" w:customStyle="1" w:styleId="Pi">
    <w:name w:val="Pi"/>
    <w:basedOn w:val="ListNumber1Level2"/>
    <w:rsid w:val="00DD6C89"/>
  </w:style>
  <w:style w:type="paragraph" w:customStyle="1" w:styleId="Numbpar">
    <w:name w:val="Numb par"/>
    <w:basedOn w:val="ManualNumbpar"/>
    <w:rsid w:val="00DD6C89"/>
  </w:style>
  <w:style w:type="paragraph" w:customStyle="1" w:styleId="Numbpar1">
    <w:name w:val="Numb par 1"/>
    <w:basedOn w:val="ManualNumbpar"/>
    <w:rsid w:val="00DD6C89"/>
  </w:style>
  <w:style w:type="paragraph" w:customStyle="1" w:styleId="Point1letter">
    <w:name w:val="Point 1 letter"/>
    <w:basedOn w:val="NormalWeb"/>
    <w:rsid w:val="00DD6C89"/>
    <w:pPr>
      <w:numPr>
        <w:ilvl w:val="1"/>
        <w:numId w:val="109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DD6C89"/>
    <w:pPr>
      <w:numPr>
        <w:numId w:val="110"/>
      </w:numPr>
      <w:pBdr>
        <w:top w:val="nil"/>
        <w:left w:val="nil"/>
        <w:bottom w:val="nil"/>
        <w:right w:val="nil"/>
        <w:between w:val="nil"/>
        <w:bar w:val="nil"/>
      </w:pBdr>
      <w:tabs>
        <w:tab w:val="left" w:pos="850"/>
      </w:tabs>
      <w:spacing w:line="240" w:lineRule="auto"/>
      <w:jc w:val="both"/>
    </w:pPr>
    <w:rPr>
      <w:iCs/>
    </w:rPr>
  </w:style>
  <w:style w:type="paragraph" w:customStyle="1" w:styleId="HeaderSensitivity">
    <w:name w:val="Header Sensitivity"/>
    <w:basedOn w:val="Normal"/>
    <w:rsid w:val="00DD6C8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DD6C89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DD6C89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rsid w:val="00DD6C89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DD6C89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DD6C89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DD6C8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DD6C8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DD6C8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DD6C89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DD6C89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DD6C89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DD6C8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DD6C89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DD6C8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DD6C8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DD6C89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DD6C89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DD6C89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DD6C89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DD6C8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DD6C89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DD6C89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rsid w:val="00DD6C89"/>
    <w:rPr>
      <w:b/>
      <w:u w:val="single"/>
      <w:shd w:val="clear" w:color="auto" w:fill="auto"/>
    </w:rPr>
  </w:style>
  <w:style w:type="character" w:customStyle="1" w:styleId="Deleted">
    <w:name w:val="Deleted"/>
    <w:rsid w:val="00DD6C89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DD6C89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DD6C89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DD6C89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DD6C89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DD6C89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DD6C89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DD6C89"/>
  </w:style>
  <w:style w:type="paragraph" w:customStyle="1" w:styleId="StatutPagedecouverture">
    <w:name w:val="Statut (Page de couverture)"/>
    <w:basedOn w:val="Statut"/>
    <w:next w:val="TypedudocumentPagedecouverture"/>
    <w:rsid w:val="00DD6C89"/>
    <w:pPr>
      <w:spacing w:line="240" w:lineRule="auto"/>
    </w:pPr>
  </w:style>
  <w:style w:type="paragraph" w:customStyle="1" w:styleId="TitreobjetPagedecouverture">
    <w:name w:val="Titre objet (Page de couverture)"/>
    <w:basedOn w:val="Titreobjet"/>
    <w:next w:val="IntrtEEEPagedecouverture"/>
    <w:rsid w:val="00DD6C89"/>
    <w:pPr>
      <w:spacing w:line="240" w:lineRule="auto"/>
    </w:pPr>
  </w:style>
  <w:style w:type="paragraph" w:customStyle="1" w:styleId="TypedudocumentPagedecouverture">
    <w:name w:val="Type du document (Page de couverture)"/>
    <w:basedOn w:val="Typedudocument"/>
    <w:next w:val="TitreobjetPagedecouverture"/>
    <w:rsid w:val="00DD6C89"/>
    <w:pPr>
      <w:spacing w:line="240" w:lineRule="auto"/>
    </w:pPr>
  </w:style>
  <w:style w:type="paragraph" w:customStyle="1" w:styleId="Volume">
    <w:name w:val="Volume"/>
    <w:basedOn w:val="Normal"/>
    <w:next w:val="Confidentialit"/>
    <w:rsid w:val="00DD6C89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DD6C89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DD6C89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DD6C89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DD6C89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DD6C89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DD6C89"/>
  </w:style>
  <w:style w:type="paragraph" w:customStyle="1" w:styleId="ObjetacteprincipalPagedecouverture">
    <w:name w:val="Objet acte principal (Page de couverture)"/>
    <w:basedOn w:val="Objetacteprincipal"/>
    <w:next w:val="Rfrencecroise"/>
    <w:rsid w:val="00DD6C89"/>
  </w:style>
  <w:style w:type="paragraph" w:customStyle="1" w:styleId="LanguesfaisantfoiPagedecouverture">
    <w:name w:val="Langues faisant foi (Page de couverture)"/>
    <w:basedOn w:val="Normal"/>
    <w:next w:val="Normal"/>
    <w:rsid w:val="00DD6C89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pj">
    <w:name w:val="p.j."/>
    <w:basedOn w:val="TechnicalBlock"/>
    <w:link w:val="pjChar"/>
    <w:rsid w:val="00DD6C89"/>
    <w:pPr>
      <w:ind w:left="-1134" w:right="-1134"/>
    </w:pPr>
  </w:style>
  <w:style w:type="character" w:customStyle="1" w:styleId="pjChar">
    <w:name w:val="p.j. Char"/>
    <w:link w:val="pj"/>
    <w:rsid w:val="00DD6C89"/>
    <w:rPr>
      <w:rFonts w:eastAsia="Calibri"/>
      <w:sz w:val="24"/>
      <w:szCs w:val="22"/>
      <w:lang w:val="hr-HR" w:eastAsia="en-US"/>
    </w:rPr>
  </w:style>
  <w:style w:type="character" w:customStyle="1" w:styleId="HeaderCouncilChar">
    <w:name w:val="Header Council Char"/>
    <w:link w:val="HeaderCouncil"/>
    <w:rsid w:val="00DD6C89"/>
    <w:rPr>
      <w:rFonts w:eastAsia="Calibri"/>
      <w:sz w:val="2"/>
      <w:szCs w:val="22"/>
      <w:lang w:val="hr-HR" w:eastAsia="en-US"/>
    </w:rPr>
  </w:style>
  <w:style w:type="character" w:customStyle="1" w:styleId="FooterCouncilChar">
    <w:name w:val="Footer Council Char"/>
    <w:link w:val="FooterCouncil"/>
    <w:rsid w:val="00DD6C89"/>
    <w:rPr>
      <w:rFonts w:eastAsia="Calibri"/>
      <w:sz w:val="2"/>
      <w:szCs w:val="22"/>
      <w:lang w:val="hr-HR" w:eastAsia="en-US"/>
    </w:rPr>
  </w:style>
  <w:style w:type="paragraph" w:styleId="BodyText">
    <w:name w:val="Body Text"/>
    <w:basedOn w:val="Normal"/>
    <w:link w:val="BodyTextChar"/>
    <w:uiPriority w:val="1"/>
    <w:qFormat/>
    <w:rsid w:val="00DD6C89"/>
    <w:pPr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DD6C89"/>
    <w:rPr>
      <w:rFonts w:ascii="Calibri" w:eastAsia="Calibri" w:hAnsi="Calibri" w:cs="Calibri"/>
      <w:sz w:val="22"/>
      <w:szCs w:val="22"/>
      <w:lang w:val="hr-HR" w:eastAsia="en-US"/>
    </w:rPr>
  </w:style>
  <w:style w:type="paragraph" w:customStyle="1" w:styleId="TableParagraph">
    <w:name w:val="Table Paragraph"/>
    <w:basedOn w:val="Normal"/>
    <w:uiPriority w:val="1"/>
    <w:qFormat/>
    <w:rsid w:val="00DD6C89"/>
    <w:pPr>
      <w:autoSpaceDE w:val="0"/>
      <w:autoSpaceDN w:val="0"/>
      <w:ind w:left="110"/>
    </w:pPr>
    <w:rPr>
      <w:sz w:val="22"/>
      <w:szCs w:val="22"/>
      <w:lang w:eastAsia="en-US"/>
    </w:rPr>
  </w:style>
  <w:style w:type="paragraph" w:customStyle="1" w:styleId="CommentQuotedText">
    <w:name w:val="CommentQuotedText"/>
    <w:rsid w:val="00DD6C89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hr-HR" w:eastAsia="en-US"/>
    </w:rPr>
  </w:style>
  <w:style w:type="paragraph" w:customStyle="1" w:styleId="CommentFwdQuotedText">
    <w:name w:val="CommentFwdQuotedText"/>
    <w:basedOn w:val="Normal"/>
    <w:rsid w:val="00DD6C89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DD6C89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rsid w:val="00DD6C89"/>
    <w:rPr>
      <w:b/>
      <w:i/>
    </w:rPr>
  </w:style>
  <w:style w:type="character" w:customStyle="1" w:styleId="diff-tte-removed">
    <w:name w:val="diff-tte-removed"/>
    <w:rsid w:val="00DD6C89"/>
    <w:rPr>
      <w:strike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6C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74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C819E-AE9B-47A7-BA43-2D29960E8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345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JELIC PRIMORAC Ivana</cp:lastModifiedBy>
  <cp:revision>2</cp:revision>
  <cp:lastPrinted>2004-11-19T15:42:00Z</cp:lastPrinted>
  <dcterms:created xsi:type="dcterms:W3CDTF">2024-09-10T12:45:00Z</dcterms:created>
  <dcterms:modified xsi:type="dcterms:W3CDTF">2024-09-10T12:45:00Z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P9_TA(2024)0364_</vt:lpwstr>
  </property>
  <property fmtid="{D5CDD505-2E9C-101B-9397-08002B2CF9AE}" pid="4" name="&lt;Type&gt;">
    <vt:lpwstr>RR</vt:lpwstr>
  </property>
</Properties>
</file>