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P9_TA(2024)0364</w:t>
      </w:r>
      <w:bookmarkEnd w:id="0"/>
    </w:p>
    <w:p>
      <w:pPr>
        <w:pStyle w:val="ATHeading2"/>
      </w:pPr>
      <w:bookmarkStart w:id="1" w:name="title"/>
      <w:r>
        <w:t>Šiesta smernica o boji proti praniu špinavých peňazí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A9-0150/2023</w:instrText>
      </w:r>
      <w:bookmarkEnd w:id="2"/>
      <w:r>
        <w:rPr>
          <w:i/>
        </w:rPr>
        <w:instrText xml:space="preserve"> - Spravodajcovia: Luděk Niedermayer, Paul Tang)"\l3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hospodárske a menové veci a Výbor pre občianske slobody, spravodlivosť a vnútorné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PE730.070</w:t>
      </w:r>
      <w:bookmarkEnd w:id="4"/>
    </w:p>
    <w:p>
      <w:pPr>
        <w:pStyle w:val="ATHeading3"/>
      </w:pPr>
      <w:bookmarkStart w:id="5" w:name="Sujet"/>
      <w:r>
        <w:t>Legislatívne uznesenie Európskeho parlamentu z 24. apríla 2024 o návrhu smernice Európskeho parlamentu a Rady o mechanizmoch, ktoré majú členské štáty zaviesť na predchádzanie využívaniu finančného systému na účely prania špinavých peňazí alebo financovania terorizmu, ktorou sa zrušuje smernica (EÚ) 2015/849</w:t>
      </w:r>
      <w:bookmarkEnd w:id="5"/>
      <w:r>
        <w:t xml:space="preserve"> </w:t>
      </w:r>
      <w:bookmarkStart w:id="6" w:name="References"/>
      <w:r>
        <w:t>(COM(2021)0423 – C9-0342/2021 – 2021/0250(COD))</w:t>
      </w:r>
      <w:bookmarkEnd w:id="6"/>
    </w:p>
    <w:p/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  <w:iCs/>
        </w:rPr>
        <w:t>Európsky parlament,</w:t>
      </w:r>
    </w:p>
    <w:p>
      <w:pPr>
        <w:pStyle w:val="NormalHanging12a"/>
      </w:pPr>
      <w:r>
        <w:t>–</w:t>
      </w:r>
      <w:r>
        <w:tab/>
        <w:t>so zreteľom na návrh Komisie pre Európsky parlament a Radu (COM(2021)0423),</w:t>
      </w:r>
    </w:p>
    <w:p>
      <w:pPr>
        <w:pStyle w:val="NormalHanging12a"/>
      </w:pPr>
      <w:r>
        <w:t>–</w:t>
      </w:r>
      <w:r>
        <w:tab/>
        <w:t>so zreteľom na článok 294 ods. 2 a článok 114 Zmluvy o fungovaní Európskej únie, v súlade s ktorými Komisia predložila návrh Európskemu parlamentu (C9</w:t>
      </w:r>
      <w:r>
        <w:noBreakHyphen/>
        <w:t>0342/2021),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  <w:rPr>
          <w:b/>
        </w:rPr>
      </w:pPr>
      <w:r>
        <w:t>–</w:t>
      </w:r>
      <w:r>
        <w:tab/>
        <w:t>so zreteľom na stanovisko Európskej centrálnej banky zo 16. februára 2022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stanovisko Európskeho hospodárskeho a sociálneho výboru z 8. decembra 2021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  <w:rPr>
          <w:b/>
        </w:rPr>
      </w:pPr>
      <w:r>
        <w:t>–</w:t>
      </w:r>
      <w:r>
        <w:tab/>
        <w:t>so zreteľom na predbežnú dohodu schválenú gestorskými výbormi podľa článku 74 ods. 4 rokovacieho poriadku, a na záväzok zástupcu Rady, vyjadrený v liste zo 14. februára 2024,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 xml:space="preserve">so zreteľom na spoločné rokovania Výboru pre hospodárske a menové veci a Výboru </w:t>
      </w:r>
      <w:r>
        <w:lastRenderedPageBreak/>
        <w:t>pre občianske slobody, spravodlivosť a vnútorné veci podľa článku 58 rokovacieho poriadku,</w:t>
      </w:r>
    </w:p>
    <w:p>
      <w:pPr>
        <w:pStyle w:val="NormalHanging12a"/>
      </w:pPr>
      <w:r>
        <w:t>–</w:t>
      </w:r>
      <w:r>
        <w:tab/>
        <w:t>so zreteľom na správu Výboru pre hospodárske a menové veci a Výboru pre občianske slobody, spravodlivosť a vnútorné veci (A9-0150/2023),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>
      <w:pPr>
        <w:pStyle w:val="NormalHanging12a"/>
        <w:sectPr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>
        <w:rPr>
          <w:b/>
        </w:rPr>
        <w:lastRenderedPageBreak/>
        <w:t>P9_TC1-COD(2021)0250</w:t>
      </w:r>
    </w:p>
    <w:p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>
        <w:rPr>
          <w:b/>
        </w:rPr>
        <w:t xml:space="preserve">Pozícia Európskeho parlamentu prijatá v prvom čítaní 24. apríla 2024 na účely prijatia smernice Európskeho parlamentu a Rady (EÚ) 2024/... </w:t>
      </w:r>
      <w:r>
        <w:rPr>
          <w:rFonts w:eastAsia="Calibri"/>
          <w:b/>
          <w:szCs w:val="22"/>
          <w:lang w:eastAsia="en-US"/>
        </w:rPr>
        <w:t>o mechanizmoch, ktoré majú členské štáty zaviesť na predchádzanie využívaniu finančného systému na účely prania špinavých peňazí alebo financovania terorizmu,</w:t>
      </w:r>
      <w:r>
        <w:rPr>
          <w:rFonts w:eastAsia="Calibri"/>
          <w:b/>
          <w:i/>
          <w:iCs/>
          <w:color w:val="000000"/>
          <w:szCs w:val="22"/>
          <w:lang w:eastAsia="en-US"/>
        </w:rPr>
        <w:t xml:space="preserve"> </w:t>
      </w:r>
      <w:bookmarkStart w:id="8" w:name="_GoBack"/>
      <w:r>
        <w:rPr>
          <w:rFonts w:eastAsia="Calibri"/>
          <w:b/>
          <w:iCs/>
          <w:color w:val="000000"/>
          <w:szCs w:val="22"/>
          <w:lang w:eastAsia="en-US"/>
        </w:rPr>
        <w:t>ktorou sa mení smernica (EÚ) 2019/1937</w:t>
      </w:r>
      <w:r>
        <w:rPr>
          <w:rFonts w:eastAsia="Calibri"/>
          <w:b/>
          <w:szCs w:val="22"/>
          <w:lang w:eastAsia="en-US"/>
        </w:rPr>
        <w:t xml:space="preserve"> a mení a</w:t>
      </w:r>
      <w:r>
        <w:rPr>
          <w:rFonts w:eastAsia="Calibri"/>
          <w:b/>
          <w:i/>
          <w:szCs w:val="22"/>
          <w:lang w:eastAsia="en-US"/>
        </w:rPr>
        <w:t xml:space="preserve"> </w:t>
      </w:r>
      <w:bookmarkEnd w:id="8"/>
      <w:r>
        <w:rPr>
          <w:rFonts w:eastAsia="Calibri"/>
          <w:b/>
          <w:szCs w:val="22"/>
          <w:lang w:eastAsia="en-US"/>
        </w:rPr>
        <w:t>zrušuje smernica (EÚ) 2015/849</w:t>
      </w: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>
        <w:rPr>
          <w:i/>
          <w:iCs/>
        </w:rPr>
        <w:t xml:space="preserve"> </w:t>
      </w:r>
      <w:r>
        <w:rPr>
          <w:i/>
          <w:iCs/>
        </w:rPr>
        <w:t>(EÚ) 2024/1640</w:t>
      </w:r>
      <w:r>
        <w:rPr>
          <w:i/>
          <w:iCs/>
        </w:rPr>
        <w:t>.)</w:t>
      </w:r>
    </w:p>
    <w:p>
      <w:pPr>
        <w:pStyle w:val="NormalHanging12a"/>
        <w:ind w:left="0" w:firstLine="0"/>
        <w:rPr>
          <w:rFonts w:eastAsia="Calibri"/>
          <w:b/>
          <w:bCs/>
          <w:szCs w:val="22"/>
          <w:lang w:eastAsia="en-US"/>
        </w:rPr>
      </w:pPr>
    </w:p>
    <w:sectPr>
      <w:footnotePr>
        <w:numRestart w:val="eachSect"/>
      </w:footnotePr>
      <w:endnotePr>
        <w:numFmt w:val="decimal"/>
      </w:endnotePr>
      <w:pgSz w:w="11907" w:h="1683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 210, 25.5.2022, s. 15.</w:t>
      </w:r>
    </w:p>
  </w:footnote>
  <w:footnote w:id="2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 152, 6.4.2022, s. 89.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F69D54">
      <w:start w:val="1"/>
      <w:numFmt w:val="lowerLetter"/>
      <w:lvlText w:val="%2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187E18">
      <w:start w:val="1"/>
      <w:numFmt w:val="lowerRoman"/>
      <w:lvlText w:val="%3."/>
      <w:lvlJc w:val="left"/>
      <w:pPr>
        <w:ind w:left="144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0163A">
      <w:start w:val="1"/>
      <w:numFmt w:val="decimal"/>
      <w:lvlText w:val="%4.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2C894">
      <w:start w:val="1"/>
      <w:numFmt w:val="lowerLetter"/>
      <w:lvlText w:val="%5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829F18">
      <w:start w:val="1"/>
      <w:numFmt w:val="lowerRoman"/>
      <w:lvlText w:val="%6."/>
      <w:lvlJc w:val="left"/>
      <w:pPr>
        <w:ind w:left="36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413FA">
      <w:start w:val="1"/>
      <w:numFmt w:val="decimal"/>
      <w:lvlText w:val="%7."/>
      <w:lvlJc w:val="left"/>
      <w:pPr>
        <w:ind w:left="43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8A85A4">
      <w:start w:val="1"/>
      <w:numFmt w:val="lowerLetter"/>
      <w:lvlText w:val="%8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26540">
      <w:start w:val="1"/>
      <w:numFmt w:val="lowerRoman"/>
      <w:lvlText w:val="%9."/>
      <w:lvlJc w:val="left"/>
      <w:pPr>
        <w:ind w:left="57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8" w15:restartNumberingAfterBreak="0">
    <w:nsid w:val="0828176C"/>
    <w:multiLevelType w:val="multilevel"/>
    <w:tmpl w:val="95205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5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1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3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6" w15:restartNumberingAfterBreak="0">
    <w:nsid w:val="20324DBC"/>
    <w:multiLevelType w:val="hybridMultilevel"/>
    <w:tmpl w:val="0E0AE9F0"/>
    <w:numStyleLink w:val="ImportedStyle33"/>
  </w:abstractNum>
  <w:abstractNum w:abstractNumId="27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7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9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1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4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5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6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6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2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3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64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67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8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9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0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2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3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8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9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0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1" w15:restartNumberingAfterBreak="0">
    <w:nsid w:val="567C1E4C"/>
    <w:multiLevelType w:val="hybridMultilevel"/>
    <w:tmpl w:val="D5A48472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8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6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90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91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2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9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95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98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0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03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05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6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10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1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1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11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1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1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1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9"/>
  </w:num>
  <w:num w:numId="2">
    <w:abstractNumId w:val="54"/>
  </w:num>
  <w:num w:numId="3">
    <w:abstractNumId w:val="102"/>
  </w:num>
  <w:num w:numId="4">
    <w:abstractNumId w:val="7"/>
  </w:num>
  <w:num w:numId="5">
    <w:abstractNumId w:val="104"/>
  </w:num>
  <w:num w:numId="6">
    <w:abstractNumId w:val="89"/>
  </w:num>
  <w:num w:numId="7">
    <w:abstractNumId w:val="10"/>
  </w:num>
  <w:num w:numId="8">
    <w:abstractNumId w:val="112"/>
  </w:num>
  <w:num w:numId="9">
    <w:abstractNumId w:val="117"/>
  </w:num>
  <w:num w:numId="10">
    <w:abstractNumId w:val="82"/>
  </w:num>
  <w:num w:numId="11">
    <w:abstractNumId w:val="109"/>
  </w:num>
  <w:num w:numId="12">
    <w:abstractNumId w:val="93"/>
  </w:num>
  <w:num w:numId="13">
    <w:abstractNumId w:val="65"/>
  </w:num>
  <w:num w:numId="14">
    <w:abstractNumId w:val="25"/>
  </w:num>
  <w:num w:numId="15">
    <w:abstractNumId w:val="20"/>
  </w:num>
  <w:num w:numId="16">
    <w:abstractNumId w:val="97"/>
  </w:num>
  <w:num w:numId="17">
    <w:abstractNumId w:val="113"/>
  </w:num>
  <w:num w:numId="18">
    <w:abstractNumId w:val="6"/>
  </w:num>
  <w:num w:numId="19">
    <w:abstractNumId w:val="30"/>
  </w:num>
  <w:num w:numId="20">
    <w:abstractNumId w:val="19"/>
  </w:num>
  <w:num w:numId="21">
    <w:abstractNumId w:val="32"/>
  </w:num>
  <w:num w:numId="22">
    <w:abstractNumId w:val="83"/>
  </w:num>
  <w:num w:numId="23">
    <w:abstractNumId w:val="5"/>
  </w:num>
  <w:num w:numId="24">
    <w:abstractNumId w:val="85"/>
  </w:num>
  <w:num w:numId="25">
    <w:abstractNumId w:val="38"/>
  </w:num>
  <w:num w:numId="26">
    <w:abstractNumId w:val="72"/>
  </w:num>
  <w:num w:numId="27">
    <w:abstractNumId w:val="68"/>
  </w:num>
  <w:num w:numId="28">
    <w:abstractNumId w:val="107"/>
  </w:num>
  <w:num w:numId="29">
    <w:abstractNumId w:val="90"/>
  </w:num>
  <w:num w:numId="30">
    <w:abstractNumId w:val="108"/>
  </w:num>
  <w:num w:numId="31">
    <w:abstractNumId w:val="110"/>
  </w:num>
  <w:num w:numId="32">
    <w:abstractNumId w:val="14"/>
  </w:num>
  <w:num w:numId="33">
    <w:abstractNumId w:val="43"/>
  </w:num>
  <w:num w:numId="34">
    <w:abstractNumId w:val="16"/>
  </w:num>
  <w:num w:numId="35">
    <w:abstractNumId w:val="55"/>
  </w:num>
  <w:num w:numId="36">
    <w:abstractNumId w:val="40"/>
  </w:num>
  <w:num w:numId="37">
    <w:abstractNumId w:val="78"/>
  </w:num>
  <w:num w:numId="38">
    <w:abstractNumId w:val="1"/>
  </w:num>
  <w:num w:numId="39">
    <w:abstractNumId w:val="77"/>
  </w:num>
  <w:num w:numId="40">
    <w:abstractNumId w:val="86"/>
  </w:num>
  <w:num w:numId="41">
    <w:abstractNumId w:val="50"/>
  </w:num>
  <w:num w:numId="42">
    <w:abstractNumId w:val="0"/>
  </w:num>
  <w:num w:numId="43">
    <w:abstractNumId w:val="79"/>
  </w:num>
  <w:num w:numId="44">
    <w:abstractNumId w:val="4"/>
  </w:num>
  <w:num w:numId="45">
    <w:abstractNumId w:val="91"/>
  </w:num>
  <w:num w:numId="46">
    <w:abstractNumId w:val="48"/>
  </w:num>
  <w:num w:numId="47">
    <w:abstractNumId w:val="95"/>
  </w:num>
  <w:num w:numId="48">
    <w:abstractNumId w:val="49"/>
  </w:num>
  <w:num w:numId="49">
    <w:abstractNumId w:val="92"/>
  </w:num>
  <w:num w:numId="50">
    <w:abstractNumId w:val="23"/>
  </w:num>
  <w:num w:numId="51">
    <w:abstractNumId w:val="64"/>
  </w:num>
  <w:num w:numId="52">
    <w:abstractNumId w:val="37"/>
  </w:num>
  <w:num w:numId="53">
    <w:abstractNumId w:val="53"/>
  </w:num>
  <w:num w:numId="54">
    <w:abstractNumId w:val="44"/>
  </w:num>
  <w:num w:numId="55">
    <w:abstractNumId w:val="100"/>
  </w:num>
  <w:num w:numId="56">
    <w:abstractNumId w:val="87"/>
  </w:num>
  <w:num w:numId="57">
    <w:abstractNumId w:val="99"/>
  </w:num>
  <w:num w:numId="58">
    <w:abstractNumId w:val="101"/>
  </w:num>
  <w:num w:numId="59">
    <w:abstractNumId w:val="34"/>
  </w:num>
  <w:num w:numId="60">
    <w:abstractNumId w:val="56"/>
  </w:num>
  <w:num w:numId="61">
    <w:abstractNumId w:val="52"/>
  </w:num>
  <w:num w:numId="62">
    <w:abstractNumId w:val="17"/>
  </w:num>
  <w:num w:numId="63">
    <w:abstractNumId w:val="11"/>
  </w:num>
  <w:num w:numId="64">
    <w:abstractNumId w:val="42"/>
  </w:num>
  <w:num w:numId="65">
    <w:abstractNumId w:val="3"/>
  </w:num>
  <w:num w:numId="66">
    <w:abstractNumId w:val="105"/>
  </w:num>
  <w:num w:numId="67">
    <w:abstractNumId w:val="33"/>
  </w:num>
  <w:num w:numId="68">
    <w:abstractNumId w:val="21"/>
  </w:num>
  <w:num w:numId="69">
    <w:abstractNumId w:val="80"/>
  </w:num>
  <w:num w:numId="70">
    <w:abstractNumId w:val="45"/>
  </w:num>
  <w:num w:numId="71">
    <w:abstractNumId w:val="69"/>
  </w:num>
  <w:num w:numId="72">
    <w:abstractNumId w:val="27"/>
  </w:num>
  <w:num w:numId="73">
    <w:abstractNumId w:val="111"/>
  </w:num>
  <w:num w:numId="74">
    <w:abstractNumId w:val="12"/>
  </w:num>
  <w:num w:numId="75">
    <w:abstractNumId w:val="39"/>
  </w:num>
  <w:num w:numId="76">
    <w:abstractNumId w:val="103"/>
  </w:num>
  <w:num w:numId="77">
    <w:abstractNumId w:val="15"/>
  </w:num>
  <w:num w:numId="78">
    <w:abstractNumId w:val="46"/>
  </w:num>
  <w:num w:numId="79">
    <w:abstractNumId w:val="74"/>
  </w:num>
  <w:num w:numId="80">
    <w:abstractNumId w:val="57"/>
  </w:num>
  <w:num w:numId="81">
    <w:abstractNumId w:val="28"/>
  </w:num>
  <w:num w:numId="82">
    <w:abstractNumId w:val="96"/>
  </w:num>
  <w:num w:numId="83">
    <w:abstractNumId w:val="73"/>
  </w:num>
  <w:num w:numId="84">
    <w:abstractNumId w:val="58"/>
  </w:num>
  <w:num w:numId="85">
    <w:abstractNumId w:val="26"/>
    <w:lvlOverride w:ilvl="0">
      <w:lvl w:ilvl="0" w:tplc="89B0B94E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6">
    <w:abstractNumId w:val="13"/>
  </w:num>
  <w:num w:numId="87">
    <w:abstractNumId w:val="70"/>
  </w:num>
  <w:num w:numId="88">
    <w:abstractNumId w:val="47"/>
  </w:num>
  <w:num w:numId="89">
    <w:abstractNumId w:val="18"/>
  </w:num>
  <w:num w:numId="90">
    <w:abstractNumId w:val="41"/>
  </w:num>
  <w:num w:numId="91">
    <w:abstractNumId w:val="24"/>
  </w:num>
  <w:num w:numId="92">
    <w:abstractNumId w:val="76"/>
  </w:num>
  <w:num w:numId="93">
    <w:abstractNumId w:val="51"/>
  </w:num>
  <w:num w:numId="94">
    <w:abstractNumId w:val="66"/>
    <w:lvlOverride w:ilvl="0">
      <w:startOverride w:val="1"/>
    </w:lvlOverride>
  </w:num>
  <w:num w:numId="95">
    <w:abstractNumId w:val="2"/>
  </w:num>
  <w:num w:numId="96">
    <w:abstractNumId w:val="31"/>
  </w:num>
  <w:num w:numId="97">
    <w:abstractNumId w:val="35"/>
  </w:num>
  <w:num w:numId="98">
    <w:abstractNumId w:val="67"/>
  </w:num>
  <w:num w:numId="99">
    <w:abstractNumId w:val="75"/>
  </w:num>
  <w:num w:numId="100">
    <w:abstractNumId w:val="98"/>
  </w:num>
  <w:num w:numId="101">
    <w:abstractNumId w:val="106"/>
  </w:num>
  <w:num w:numId="102">
    <w:abstractNumId w:val="63"/>
  </w:num>
  <w:num w:numId="103">
    <w:abstractNumId w:val="29"/>
  </w:num>
  <w:num w:numId="104">
    <w:abstractNumId w:val="88"/>
    <w:lvlOverride w:ilvl="0">
      <w:startOverride w:val="1"/>
    </w:lvlOverride>
  </w:num>
  <w:num w:numId="105">
    <w:abstractNumId w:val="61"/>
  </w:num>
  <w:num w:numId="106">
    <w:abstractNumId w:val="94"/>
  </w:num>
  <w:num w:numId="107">
    <w:abstractNumId w:val="36"/>
  </w:num>
  <w:num w:numId="108">
    <w:abstractNumId w:val="62"/>
  </w:num>
  <w:num w:numId="109">
    <w:abstractNumId w:val="22"/>
  </w:num>
  <w:num w:numId="110">
    <w:abstractNumId w:val="118"/>
  </w:num>
  <w:num w:numId="111">
    <w:abstractNumId w:val="59"/>
  </w:num>
  <w:num w:numId="112">
    <w:abstractNumId w:val="60"/>
  </w:num>
  <w:num w:numId="113">
    <w:abstractNumId w:val="71"/>
  </w:num>
  <w:num w:numId="114">
    <w:abstractNumId w:val="84"/>
  </w:num>
  <w:num w:numId="115">
    <w:abstractNumId w:val="115"/>
  </w:num>
  <w:num w:numId="116">
    <w:abstractNumId w:val="114"/>
  </w:num>
  <w:num w:numId="117">
    <w:abstractNumId w:val="116"/>
  </w:num>
  <w:num w:numId="118">
    <w:abstractNumId w:val="81"/>
  </w:num>
  <w:num w:numId="119">
    <w:abstractNumId w:val="8"/>
  </w:num>
  <w:numIdMacAtCleanup w:val="1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SK"/>
    <w:docVar w:name="dvnumam" w:val="386"/>
    <w:docVar w:name="dvpe" w:val="730.070"/>
    <w:docVar w:name="dvrapporteur" w:val="Spravodajcovia: "/>
    <w:docVar w:name="dvstar" w:val="***I"/>
    <w:docVar w:name="dvtitre" w:val="Legislatívne uznesenie Európskeho parlamentu z xx. apríla 2024 o návrhu smernice Európskeho parlamentu a Rady o mechanizmoch, ktoré majú členské štáty zaviesť na predchádzanie využívaniu finančného systému na účely prania špinavých peňazí alebo financovania terorizmu, ktorou sa zrušuje smernica (EÚ) 2015/849(COM(2021)0423 – C9-0342/2021 – 2021/0250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72FD54-B559-46AC-B319-1E95BA6D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epname0">
    <w:name w:val="ep_name"/>
    <w:basedOn w:val="DefaultParagraphFont"/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customStyle="1" w:styleId="msonormal0">
    <w:name w:val="msonormal"/>
    <w:basedOn w:val="Normal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k-SK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lang w:val="sk-SK"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12Italic">
    <w:name w:val="Normal12Italic"/>
    <w:basedOn w:val="Normal12"/>
    <w:rPr>
      <w:i/>
    </w:rPr>
  </w:style>
  <w:style w:type="paragraph" w:customStyle="1" w:styleId="JustificationTitle">
    <w:name w:val="JustificationTitle"/>
    <w:basedOn w:val="Normal"/>
    <w:next w:val="Normal1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EC"/>
    <w:basedOn w:val="Normal"/>
    <w:link w:val="ListParagraphChar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BalloonText">
    <w:name w:val="Balloon Text"/>
    <w:basedOn w:val="Normal"/>
    <w:link w:val="BalloonTextChar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customStyle="1" w:styleId="NormalCentered">
    <w:name w:val="Normal Centered"/>
    <w:basedOn w:val="Normal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pPr>
      <w:jc w:val="center"/>
    </w:pPr>
  </w:style>
  <w:style w:type="paragraph" w:customStyle="1" w:styleId="Jardin">
    <w:name w:val="Jardin"/>
    <w:basedOn w:val="Normal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Pr>
      <w:b/>
    </w:rPr>
  </w:style>
  <w:style w:type="paragraph" w:customStyle="1" w:styleId="Annex">
    <w:name w:val="Annex"/>
    <w:basedOn w:val="Normal"/>
    <w:next w:val="Normal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Bullet4">
    <w:name w:val="List Bullet 4"/>
    <w:basedOn w:val="Normal"/>
    <w:pPr>
      <w:widowControl/>
      <w:numPr>
        <w:numId w:val="2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pPr>
      <w:widowControl/>
      <w:numPr>
        <w:numId w:val="2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pPr>
      <w:widowControl/>
      <w:numPr>
        <w:numId w:val="2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pPr>
      <w:widowControl/>
      <w:numPr>
        <w:numId w:val="2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pPr>
      <w:widowControl/>
      <w:numPr>
        <w:numId w:val="2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pPr>
      <w:widowControl/>
      <w:numPr>
        <w:ilvl w:val="1"/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pPr>
      <w:widowControl/>
      <w:numPr>
        <w:ilvl w:val="2"/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pPr>
      <w:widowControl/>
      <w:numPr>
        <w:ilvl w:val="3"/>
        <w:numId w:val="2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pPr>
      <w:spacing w:before="120" w:after="120"/>
      <w:jc w:val="both"/>
    </w:pPr>
    <w:rPr>
      <w:lang w:val="sk-S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Pr>
      <w:color w:val="0000FF"/>
      <w:u w:val="single"/>
    </w:rPr>
  </w:style>
  <w:style w:type="paragraph" w:styleId="ListBullet">
    <w:name w:val="List Bullet"/>
    <w:basedOn w:val="Normal"/>
    <w:qFormat/>
    <w:pPr>
      <w:widowControl/>
      <w:numPr>
        <w:numId w:val="2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pPr>
      <w:widowControl/>
      <w:numPr>
        <w:numId w:val="3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pPr>
      <w:widowControl/>
      <w:numPr>
        <w:numId w:val="3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pPr>
      <w:widowControl/>
      <w:numPr>
        <w:numId w:val="3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pPr>
      <w:widowControl/>
      <w:numPr>
        <w:numId w:val="3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pPr>
      <w:numPr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pPr>
      <w:numPr>
        <w:ilvl w:val="1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pPr>
      <w:numPr>
        <w:ilvl w:val="1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pPr>
      <w:numPr>
        <w:ilvl w:val="1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pPr>
      <w:numPr>
        <w:ilvl w:val="1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pPr>
      <w:numPr>
        <w:ilvl w:val="2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pPr>
      <w:numPr>
        <w:ilvl w:val="2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pPr>
      <w:numPr>
        <w:ilvl w:val="2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pPr>
      <w:numPr>
        <w:ilvl w:val="2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pPr>
      <w:numPr>
        <w:ilvl w:val="3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pPr>
      <w:numPr>
        <w:ilvl w:val="3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pPr>
      <w:numPr>
        <w:ilvl w:val="3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pPr>
      <w:numPr>
        <w:ilvl w:val="3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Pr>
      <w:vanish/>
      <w:color w:val="800080"/>
      <w:vertAlign w:val="subscript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ous-titreobjet">
    <w:name w:val="Sous-titre objet"/>
    <w:basedOn w:val="Normal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</w:style>
  <w:style w:type="paragraph" w:styleId="Revision">
    <w:name w:val="Revision"/>
    <w:hidden/>
    <w:uiPriority w:val="99"/>
    <w:semiHidden/>
    <w:pPr>
      <w:spacing w:after="200" w:line="276" w:lineRule="auto"/>
    </w:pPr>
    <w:rPr>
      <w:rFonts w:ascii="Calibri" w:eastAsia="Calibri" w:hAnsi="Calibri"/>
      <w:sz w:val="24"/>
      <w:szCs w:val="22"/>
      <w:lang w:val="sk-SK"/>
    </w:rPr>
  </w:style>
  <w:style w:type="paragraph" w:customStyle="1" w:styleId="FooterCoverPage">
    <w:name w:val="Footer Cover Page"/>
    <w:basedOn w:val="Normal"/>
    <w:link w:val="FooterCoverPageChar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Pr>
      <w:rFonts w:ascii="Times New Roman" w:hAnsi="Times New Roman" w:cs="Times New Roman"/>
      <w:b/>
      <w:sz w:val="28"/>
      <w:lang w:val="sk-SK"/>
    </w:rPr>
  </w:style>
  <w:style w:type="character" w:customStyle="1" w:styleId="FooterCoverPageChar">
    <w:name w:val="Footer Cover Page Char"/>
    <w:link w:val="FooterCoverPage"/>
    <w:rPr>
      <w:rFonts w:eastAsia="Calibri"/>
      <w:sz w:val="24"/>
      <w:szCs w:val="22"/>
      <w:lang w:val="sk-SK"/>
    </w:rPr>
  </w:style>
  <w:style w:type="paragraph" w:customStyle="1" w:styleId="HeaderCoverPage">
    <w:name w:val="Header Cover Page"/>
    <w:basedOn w:val="Normal"/>
    <w:link w:val="HeaderCoverPageChar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Pr>
      <w:rFonts w:eastAsia="Calibri"/>
      <w:sz w:val="24"/>
      <w:szCs w:val="22"/>
      <w:lang w:val="sk-SK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sk-SK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sk-SK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sk-SK" w:eastAsia="en-IE"/>
    </w:rPr>
  </w:style>
  <w:style w:type="numbering" w:customStyle="1" w:styleId="ImportedStyle1">
    <w:name w:val="Imported Style 1"/>
    <w:pPr>
      <w:numPr>
        <w:numId w:val="38"/>
      </w:numPr>
    </w:pPr>
  </w:style>
  <w:style w:type="paragraph" w:customStyle="1" w:styleId="Default">
    <w:name w:val="Default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sk-SK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pPr>
      <w:numPr>
        <w:numId w:val="39"/>
      </w:numPr>
    </w:pPr>
  </w:style>
  <w:style w:type="numbering" w:customStyle="1" w:styleId="ImportedStyle3">
    <w:name w:val="Imported Style 3"/>
    <w:pPr>
      <w:numPr>
        <w:numId w:val="40"/>
      </w:numPr>
    </w:pPr>
  </w:style>
  <w:style w:type="numbering" w:customStyle="1" w:styleId="ImportedStyle4">
    <w:name w:val="Imported Style 4"/>
    <w:pPr>
      <w:numPr>
        <w:numId w:val="41"/>
      </w:numPr>
    </w:pPr>
  </w:style>
  <w:style w:type="numbering" w:customStyle="1" w:styleId="ImportedStyle5">
    <w:name w:val="Imported Style 5"/>
    <w:pPr>
      <w:numPr>
        <w:numId w:val="42"/>
      </w:numPr>
    </w:pPr>
  </w:style>
  <w:style w:type="numbering" w:customStyle="1" w:styleId="ImportedStyle6">
    <w:name w:val="Imported Style 6"/>
    <w:pPr>
      <w:numPr>
        <w:numId w:val="43"/>
      </w:numPr>
    </w:pPr>
  </w:style>
  <w:style w:type="numbering" w:customStyle="1" w:styleId="ImportedStyle7">
    <w:name w:val="Imported Style 7"/>
    <w:pPr>
      <w:numPr>
        <w:numId w:val="44"/>
      </w:numPr>
    </w:pPr>
  </w:style>
  <w:style w:type="numbering" w:customStyle="1" w:styleId="ImportedStyle8">
    <w:name w:val="Imported Style 8"/>
    <w:pPr>
      <w:numPr>
        <w:numId w:val="45"/>
      </w:numPr>
    </w:pPr>
  </w:style>
  <w:style w:type="numbering" w:customStyle="1" w:styleId="ImportedStyle9">
    <w:name w:val="Imported Style 9"/>
    <w:pPr>
      <w:numPr>
        <w:numId w:val="46"/>
      </w:numPr>
    </w:pPr>
  </w:style>
  <w:style w:type="numbering" w:customStyle="1" w:styleId="ImportedStyle10">
    <w:name w:val="Imported Style 10"/>
    <w:pPr>
      <w:numPr>
        <w:numId w:val="47"/>
      </w:numPr>
    </w:pPr>
  </w:style>
  <w:style w:type="numbering" w:customStyle="1" w:styleId="ImportedStyle11">
    <w:name w:val="Imported Style 11"/>
    <w:pPr>
      <w:numPr>
        <w:numId w:val="48"/>
      </w:numPr>
    </w:pPr>
  </w:style>
  <w:style w:type="numbering" w:customStyle="1" w:styleId="ImportedStyle12">
    <w:name w:val="Imported Style 12"/>
    <w:pPr>
      <w:numPr>
        <w:numId w:val="49"/>
      </w:numPr>
    </w:pPr>
  </w:style>
  <w:style w:type="numbering" w:customStyle="1" w:styleId="ImportedStyle13">
    <w:name w:val="Imported Style 13"/>
    <w:pPr>
      <w:numPr>
        <w:numId w:val="50"/>
      </w:numPr>
    </w:pPr>
  </w:style>
  <w:style w:type="numbering" w:customStyle="1" w:styleId="ImportedStyle14">
    <w:name w:val="Imported Style 14"/>
    <w:pPr>
      <w:numPr>
        <w:numId w:val="51"/>
      </w:numPr>
    </w:pPr>
  </w:style>
  <w:style w:type="numbering" w:customStyle="1" w:styleId="ImportedStyle15">
    <w:name w:val="Imported Style 15"/>
    <w:pPr>
      <w:numPr>
        <w:numId w:val="52"/>
      </w:numPr>
    </w:pPr>
  </w:style>
  <w:style w:type="numbering" w:customStyle="1" w:styleId="ImportedStyle16">
    <w:name w:val="Imported Style 16"/>
    <w:pPr>
      <w:numPr>
        <w:numId w:val="53"/>
      </w:numPr>
    </w:pPr>
  </w:style>
  <w:style w:type="numbering" w:customStyle="1" w:styleId="ImportedStyle17">
    <w:name w:val="Imported Style 17"/>
    <w:pPr>
      <w:numPr>
        <w:numId w:val="54"/>
      </w:numPr>
    </w:pPr>
  </w:style>
  <w:style w:type="numbering" w:customStyle="1" w:styleId="ImportedStyle18">
    <w:name w:val="Imported Style 18"/>
    <w:pPr>
      <w:numPr>
        <w:numId w:val="55"/>
      </w:numPr>
    </w:pPr>
  </w:style>
  <w:style w:type="numbering" w:customStyle="1" w:styleId="ImportedStyle19">
    <w:name w:val="Imported Style 19"/>
    <w:pPr>
      <w:numPr>
        <w:numId w:val="56"/>
      </w:numPr>
    </w:pPr>
  </w:style>
  <w:style w:type="numbering" w:customStyle="1" w:styleId="ImportedStyle20">
    <w:name w:val="Imported Style 20"/>
    <w:pPr>
      <w:numPr>
        <w:numId w:val="57"/>
      </w:numPr>
    </w:pPr>
  </w:style>
  <w:style w:type="numbering" w:customStyle="1" w:styleId="ImportedStyle21">
    <w:name w:val="Imported Style 21"/>
    <w:pPr>
      <w:numPr>
        <w:numId w:val="58"/>
      </w:numPr>
    </w:pPr>
  </w:style>
  <w:style w:type="numbering" w:customStyle="1" w:styleId="ImportedStyle22">
    <w:name w:val="Imported Style 22"/>
    <w:pPr>
      <w:numPr>
        <w:numId w:val="59"/>
      </w:numPr>
    </w:pPr>
  </w:style>
  <w:style w:type="paragraph" w:customStyle="1" w:styleId="CM4">
    <w:name w:val="CM4"/>
    <w:next w:val="Default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sk-SK" w:eastAsia="en-IE"/>
    </w:rPr>
  </w:style>
  <w:style w:type="numbering" w:customStyle="1" w:styleId="ImportedStyle23">
    <w:name w:val="Imported Style 23"/>
    <w:pPr>
      <w:numPr>
        <w:numId w:val="60"/>
      </w:numPr>
    </w:pPr>
  </w:style>
  <w:style w:type="numbering" w:customStyle="1" w:styleId="ImportedStyle24">
    <w:name w:val="Imported Style 24"/>
    <w:pPr>
      <w:numPr>
        <w:numId w:val="61"/>
      </w:numPr>
    </w:pPr>
  </w:style>
  <w:style w:type="numbering" w:customStyle="1" w:styleId="ImportedStyle25">
    <w:name w:val="Imported Style 25"/>
    <w:pPr>
      <w:numPr>
        <w:numId w:val="62"/>
      </w:numPr>
    </w:pPr>
  </w:style>
  <w:style w:type="numbering" w:customStyle="1" w:styleId="ImportedStyle26">
    <w:name w:val="Imported Style 26"/>
    <w:pPr>
      <w:numPr>
        <w:numId w:val="63"/>
      </w:numPr>
    </w:pPr>
  </w:style>
  <w:style w:type="numbering" w:customStyle="1" w:styleId="ImportedStyle27">
    <w:name w:val="Imported Style 27"/>
    <w:pPr>
      <w:numPr>
        <w:numId w:val="64"/>
      </w:numPr>
    </w:pPr>
  </w:style>
  <w:style w:type="numbering" w:customStyle="1" w:styleId="ImportedStyle28">
    <w:name w:val="Imported Style 28"/>
    <w:pPr>
      <w:numPr>
        <w:numId w:val="65"/>
      </w:numPr>
    </w:pPr>
  </w:style>
  <w:style w:type="numbering" w:customStyle="1" w:styleId="ImportedStyle29">
    <w:name w:val="Imported Style 29"/>
    <w:pPr>
      <w:numPr>
        <w:numId w:val="101"/>
      </w:numPr>
    </w:pPr>
  </w:style>
  <w:style w:type="numbering" w:customStyle="1" w:styleId="ImportedStyle30">
    <w:name w:val="Imported Style 30"/>
    <w:pPr>
      <w:numPr>
        <w:numId w:val="98"/>
      </w:numPr>
    </w:pPr>
  </w:style>
  <w:style w:type="numbering" w:customStyle="1" w:styleId="ImportedStyle31">
    <w:name w:val="Imported Style 31"/>
    <w:pPr>
      <w:numPr>
        <w:numId w:val="99"/>
      </w:numPr>
    </w:pPr>
  </w:style>
  <w:style w:type="numbering" w:customStyle="1" w:styleId="ImportedStyle32">
    <w:name w:val="Imported Style 32"/>
    <w:pPr>
      <w:numPr>
        <w:numId w:val="95"/>
      </w:numPr>
    </w:pPr>
  </w:style>
  <w:style w:type="numbering" w:customStyle="1" w:styleId="ImportedStyle33">
    <w:name w:val="Imported Style 33"/>
    <w:pPr>
      <w:numPr>
        <w:numId w:val="66"/>
      </w:numPr>
    </w:pPr>
  </w:style>
  <w:style w:type="numbering" w:customStyle="1" w:styleId="ImportedStyle34">
    <w:name w:val="Imported Style 34"/>
    <w:pPr>
      <w:numPr>
        <w:numId w:val="67"/>
      </w:numPr>
    </w:pPr>
  </w:style>
  <w:style w:type="numbering" w:customStyle="1" w:styleId="ImportedStyle35">
    <w:name w:val="Imported Style 35"/>
    <w:pPr>
      <w:numPr>
        <w:numId w:val="68"/>
      </w:numPr>
    </w:pPr>
  </w:style>
  <w:style w:type="numbering" w:customStyle="1" w:styleId="ImportedStyle37">
    <w:name w:val="Imported Style 37"/>
    <w:pPr>
      <w:numPr>
        <w:numId w:val="69"/>
      </w:numPr>
    </w:pPr>
  </w:style>
  <w:style w:type="numbering" w:customStyle="1" w:styleId="ImportedStyle38">
    <w:name w:val="Imported Style 38"/>
    <w:pPr>
      <w:numPr>
        <w:numId w:val="70"/>
      </w:numPr>
    </w:pPr>
  </w:style>
  <w:style w:type="numbering" w:customStyle="1" w:styleId="ImportedStyle39">
    <w:name w:val="Imported Style 39"/>
    <w:pPr>
      <w:numPr>
        <w:numId w:val="71"/>
      </w:numPr>
    </w:pPr>
  </w:style>
  <w:style w:type="numbering" w:customStyle="1" w:styleId="ImportedStyle40">
    <w:name w:val="Imported Style 40"/>
    <w:pPr>
      <w:numPr>
        <w:numId w:val="96"/>
      </w:numPr>
    </w:pPr>
  </w:style>
  <w:style w:type="numbering" w:customStyle="1" w:styleId="ImportedStyle41">
    <w:name w:val="Imported Style 41"/>
    <w:pPr>
      <w:numPr>
        <w:numId w:val="72"/>
      </w:numPr>
    </w:pPr>
  </w:style>
  <w:style w:type="numbering" w:customStyle="1" w:styleId="ImportedStyle42">
    <w:name w:val="Imported Style 42"/>
    <w:pPr>
      <w:numPr>
        <w:numId w:val="100"/>
      </w:numPr>
    </w:pPr>
  </w:style>
  <w:style w:type="numbering" w:customStyle="1" w:styleId="ImportedStyle43">
    <w:name w:val="Imported Style 43"/>
    <w:pPr>
      <w:numPr>
        <w:numId w:val="73"/>
      </w:numPr>
    </w:pPr>
  </w:style>
  <w:style w:type="numbering" w:customStyle="1" w:styleId="ImportedStyle44">
    <w:name w:val="Imported Style 44"/>
  </w:style>
  <w:style w:type="numbering" w:customStyle="1" w:styleId="ImportedStyle45">
    <w:name w:val="Imported Style 45"/>
    <w:pPr>
      <w:numPr>
        <w:numId w:val="86"/>
      </w:numPr>
    </w:pPr>
  </w:style>
  <w:style w:type="numbering" w:customStyle="1" w:styleId="ImportedStyle46">
    <w:name w:val="Imported Style 46"/>
    <w:pPr>
      <w:numPr>
        <w:numId w:val="75"/>
      </w:numPr>
    </w:pPr>
  </w:style>
  <w:style w:type="numbering" w:customStyle="1" w:styleId="ImportedStyle47">
    <w:name w:val="Imported Style 47"/>
    <w:pPr>
      <w:numPr>
        <w:numId w:val="87"/>
      </w:numPr>
    </w:pPr>
  </w:style>
  <w:style w:type="numbering" w:customStyle="1" w:styleId="ImportedStyle48">
    <w:name w:val="Imported Style 48"/>
    <w:pPr>
      <w:numPr>
        <w:numId w:val="76"/>
      </w:numPr>
    </w:pPr>
  </w:style>
  <w:style w:type="numbering" w:customStyle="1" w:styleId="ImportedStyle36">
    <w:name w:val="Imported Style 36"/>
    <w:pPr>
      <w:numPr>
        <w:numId w:val="88"/>
      </w:numPr>
    </w:pPr>
  </w:style>
  <w:style w:type="numbering" w:customStyle="1" w:styleId="ImportedStyle49">
    <w:name w:val="Imported Style 49"/>
  </w:style>
  <w:style w:type="numbering" w:customStyle="1" w:styleId="ImportedStyle50">
    <w:name w:val="Imported Style 50"/>
  </w:style>
  <w:style w:type="numbering" w:customStyle="1" w:styleId="ImportedStyle51">
    <w:name w:val="Imported Style 51"/>
    <w:pPr>
      <w:numPr>
        <w:numId w:val="77"/>
      </w:numPr>
    </w:pPr>
  </w:style>
  <w:style w:type="numbering" w:customStyle="1" w:styleId="ImportedStyle52">
    <w:name w:val="Imported Style 52"/>
    <w:pPr>
      <w:numPr>
        <w:numId w:val="78"/>
      </w:numPr>
    </w:pPr>
  </w:style>
  <w:style w:type="numbering" w:customStyle="1" w:styleId="ImportedStyle53">
    <w:name w:val="Imported Style 53"/>
    <w:pPr>
      <w:numPr>
        <w:numId w:val="79"/>
      </w:numPr>
    </w:pPr>
  </w:style>
  <w:style w:type="numbering" w:customStyle="1" w:styleId="ImportedStyle54">
    <w:name w:val="Imported Style 54"/>
    <w:pPr>
      <w:numPr>
        <w:numId w:val="97"/>
      </w:numPr>
    </w:pPr>
  </w:style>
  <w:style w:type="numbering" w:customStyle="1" w:styleId="ImportedStyle55">
    <w:name w:val="Imported Style 55"/>
    <w:pPr>
      <w:numPr>
        <w:numId w:val="80"/>
      </w:numPr>
    </w:pPr>
  </w:style>
  <w:style w:type="numbering" w:customStyle="1" w:styleId="ImportedStyle56">
    <w:name w:val="Imported Style 56"/>
    <w:pPr>
      <w:numPr>
        <w:numId w:val="81"/>
      </w:numPr>
    </w:pPr>
  </w:style>
  <w:style w:type="numbering" w:customStyle="1" w:styleId="ImportedStyle57">
    <w:name w:val="Imported Style 57"/>
    <w:pPr>
      <w:numPr>
        <w:numId w:val="82"/>
      </w:numPr>
    </w:pPr>
  </w:style>
  <w:style w:type="numbering" w:customStyle="1" w:styleId="ImportedStyle58">
    <w:name w:val="Imported Style 58"/>
    <w:pPr>
      <w:numPr>
        <w:numId w:val="83"/>
      </w:numPr>
    </w:pPr>
  </w:style>
  <w:style w:type="numbering" w:customStyle="1" w:styleId="ImportedStyle59">
    <w:name w:val="Imported Style 59"/>
    <w:pPr>
      <w:numPr>
        <w:numId w:val="84"/>
      </w:numPr>
    </w:pPr>
  </w:style>
  <w:style w:type="numbering" w:customStyle="1" w:styleId="ImportedStyle60">
    <w:name w:val="Imported Style 60"/>
    <w:pPr>
      <w:numPr>
        <w:numId w:val="74"/>
      </w:numPr>
    </w:pPr>
  </w:style>
  <w:style w:type="numbering" w:customStyle="1" w:styleId="ImportedStyle61">
    <w:name w:val="Imported Style 61"/>
    <w:pPr>
      <w:numPr>
        <w:numId w:val="8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Pr>
      <w:sz w:val="24"/>
      <w:lang w:val="sk-SK"/>
    </w:rPr>
  </w:style>
  <w:style w:type="paragraph" w:customStyle="1" w:styleId="Style1">
    <w:name w:val="Style1"/>
    <w:basedOn w:val="Text1"/>
    <w:qFormat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qFormat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pPr>
      <w:numPr>
        <w:numId w:val="8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sk-SK" w:eastAsia="en-US"/>
    </w:rPr>
  </w:style>
  <w:style w:type="paragraph" w:customStyle="1" w:styleId="CM1">
    <w:name w:val="CM1"/>
    <w:basedOn w:val="Default"/>
    <w:next w:val="Default"/>
    <w:uiPriority w:val="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Tetxt1">
    <w:name w:val="Tetxt 1"/>
    <w:basedOn w:val="Normal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pPr>
      <w:numPr>
        <w:numId w:val="9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pPr>
      <w:numPr>
        <w:numId w:val="90"/>
      </w:numPr>
    </w:pPr>
    <w:rPr>
      <w:szCs w:val="24"/>
    </w:rPr>
  </w:style>
  <w:style w:type="paragraph" w:customStyle="1" w:styleId="Pi">
    <w:name w:val="Pi"/>
    <w:basedOn w:val="ListNumber1Level2"/>
  </w:style>
  <w:style w:type="paragraph" w:customStyle="1" w:styleId="Numbpar">
    <w:name w:val="Numb par"/>
    <w:basedOn w:val="ManualNumbpar"/>
  </w:style>
  <w:style w:type="paragraph" w:customStyle="1" w:styleId="Numbpar1">
    <w:name w:val="Numb par 1"/>
    <w:basedOn w:val="ManualNumbpar"/>
  </w:style>
  <w:style w:type="paragraph" w:customStyle="1" w:styleId="Point1letter0">
    <w:name w:val="Point 1 letter"/>
    <w:basedOn w:val="NormalWeb"/>
    <w:pPr>
      <w:numPr>
        <w:ilvl w:val="1"/>
        <w:numId w:val="9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pPr>
      <w:numPr>
        <w:numId w:val="9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pPr>
      <w:numPr>
        <w:numId w:val="102"/>
      </w:numPr>
      <w:tabs>
        <w:tab w:val="clear" w:pos="3685"/>
      </w:tabs>
      <w:ind w:left="850" w:hanging="850"/>
    </w:pPr>
  </w:style>
  <w:style w:type="paragraph" w:customStyle="1" w:styleId="NumPar5">
    <w:name w:val="NumPar 5"/>
    <w:basedOn w:val="Normal"/>
    <w:next w:val="Text2"/>
    <w:pPr>
      <w:widowControl/>
      <w:numPr>
        <w:ilvl w:val="4"/>
        <w:numId w:val="103"/>
      </w:numPr>
      <w:spacing w:before="120" w:after="120"/>
      <w:ind w:left="360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numPr>
        <w:ilvl w:val="5"/>
        <w:numId w:val="103"/>
      </w:numPr>
      <w:spacing w:before="120" w:after="120"/>
      <w:ind w:left="432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numPr>
        <w:ilvl w:val="6"/>
        <w:numId w:val="103"/>
      </w:numPr>
      <w:spacing w:before="120" w:after="120"/>
      <w:ind w:left="504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pPr>
      <w:numPr>
        <w:numId w:val="104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pPr>
      <w:numPr>
        <w:numId w:val="105"/>
      </w:numPr>
      <w:tabs>
        <w:tab w:val="clear" w:pos="1417"/>
      </w:tabs>
      <w:ind w:left="720" w:hanging="360"/>
    </w:pPr>
  </w:style>
  <w:style w:type="paragraph" w:customStyle="1" w:styleId="Tiret2">
    <w:name w:val="Tiret 2"/>
    <w:basedOn w:val="Point2"/>
    <w:pPr>
      <w:numPr>
        <w:numId w:val="106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pPr>
      <w:numPr>
        <w:numId w:val="107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pPr>
      <w:numPr>
        <w:numId w:val="108"/>
      </w:numPr>
      <w:tabs>
        <w:tab w:val="clear" w:pos="3118"/>
      </w:tabs>
      <w:ind w:left="850" w:hanging="850"/>
    </w:p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pPr>
      <w:widowControl/>
      <w:numPr>
        <w:numId w:val="103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103"/>
      </w:numPr>
      <w:tabs>
        <w:tab w:val="clear" w:pos="85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103"/>
      </w:numPr>
      <w:tabs>
        <w:tab w:val="clear" w:pos="850"/>
      </w:tabs>
      <w:spacing w:before="120" w:after="120"/>
      <w:ind w:left="2160" w:hanging="29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103"/>
      </w:numPr>
      <w:tabs>
        <w:tab w:val="clear" w:pos="850"/>
      </w:tabs>
      <w:spacing w:before="120" w:after="120"/>
      <w:ind w:left="288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widowControl/>
      <w:numPr>
        <w:numId w:val="109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109"/>
      </w:numPr>
      <w:tabs>
        <w:tab w:val="clear" w:pos="1417"/>
      </w:tabs>
      <w:spacing w:before="120" w:after="120"/>
      <w:ind w:left="1800" w:hanging="29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pPr>
      <w:widowControl/>
      <w:numPr>
        <w:ilvl w:val="4"/>
        <w:numId w:val="109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109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109"/>
      </w:numPr>
      <w:tabs>
        <w:tab w:val="clear" w:pos="85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pPr>
      <w:widowControl/>
      <w:numPr>
        <w:ilvl w:val="3"/>
        <w:numId w:val="109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numPr>
        <w:ilvl w:val="5"/>
        <w:numId w:val="109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109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109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9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pPr>
      <w:widowControl/>
      <w:numPr>
        <w:numId w:val="110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TechnicalBlock"/>
    <w:link w:val="pjChar"/>
    <w:pPr>
      <w:ind w:left="-1134" w:right="-1134"/>
    </w:pPr>
  </w:style>
  <w:style w:type="character" w:customStyle="1" w:styleId="pjChar">
    <w:name w:val="p.j. Char"/>
    <w:basedOn w:val="TechnicalBlockChar"/>
    <w:link w:val="pj"/>
    <w:rPr>
      <w:rFonts w:eastAsia="Calibri"/>
      <w:sz w:val="24"/>
      <w:szCs w:val="22"/>
      <w:lang w:val="sk-SK" w:eastAsia="en-US"/>
    </w:rPr>
  </w:style>
  <w:style w:type="character" w:customStyle="1" w:styleId="HeaderCouncilChar">
    <w:name w:val="Header Council Char"/>
    <w:basedOn w:val="pjChar"/>
    <w:link w:val="HeaderCouncil"/>
    <w:rPr>
      <w:rFonts w:eastAsia="Calibri"/>
      <w:sz w:val="2"/>
      <w:szCs w:val="22"/>
      <w:lang w:val="sk-SK" w:eastAsia="en-US"/>
    </w:rPr>
  </w:style>
  <w:style w:type="character" w:customStyle="1" w:styleId="FooterCouncilChar">
    <w:name w:val="Footer Council Char"/>
    <w:basedOn w:val="pjChar"/>
    <w:link w:val="FooterCouncil"/>
    <w:rPr>
      <w:rFonts w:eastAsia="Calibri"/>
      <w:sz w:val="2"/>
      <w:szCs w:val="22"/>
      <w:lang w:val="sk-SK" w:eastAsia="en-US"/>
    </w:rPr>
  </w:style>
  <w:style w:type="paragraph" w:styleId="BodyText">
    <w:name w:val="Body Text"/>
    <w:basedOn w:val="Normal"/>
    <w:link w:val="BodyTextChar"/>
    <w:uiPriority w:val="1"/>
    <w:qFormat/>
    <w:pPr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Calibri" w:eastAsia="Calibri" w:hAnsi="Calibri" w:cs="Calibri"/>
      <w:sz w:val="22"/>
      <w:szCs w:val="22"/>
      <w:lang w:val="sk-SK" w:eastAsia="en-US"/>
    </w:rPr>
  </w:style>
  <w:style w:type="paragraph" w:customStyle="1" w:styleId="TableParagraph">
    <w:name w:val="Table Paragraph"/>
    <w:basedOn w:val="Normal"/>
    <w:uiPriority w:val="1"/>
    <w:qFormat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Text7">
    <w:name w:val="Text 7"/>
    <w:basedOn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pPr>
      <w:widowControl/>
      <w:numPr>
        <w:numId w:val="111"/>
      </w:numPr>
      <w:tabs>
        <w:tab w:val="clear" w:pos="4252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pPr>
      <w:widowControl/>
      <w:numPr>
        <w:numId w:val="112"/>
      </w:numPr>
      <w:tabs>
        <w:tab w:val="clear" w:pos="4819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pPr>
      <w:widowControl/>
      <w:numPr>
        <w:numId w:val="113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pPr>
      <w:widowControl/>
      <w:numPr>
        <w:numId w:val="114"/>
      </w:numPr>
      <w:tabs>
        <w:tab w:val="clear" w:pos="3685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pPr>
      <w:widowControl/>
      <w:numPr>
        <w:numId w:val="115"/>
      </w:numPr>
      <w:tabs>
        <w:tab w:val="clear" w:pos="4252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pPr>
      <w:widowControl/>
      <w:numPr>
        <w:numId w:val="116"/>
      </w:numPr>
      <w:tabs>
        <w:tab w:val="clear" w:pos="4819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pPr>
      <w:widowControl/>
      <w:numPr>
        <w:numId w:val="117"/>
      </w:numPr>
      <w:tabs>
        <w:tab w:val="clear" w:pos="5386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pPr>
      <w:spacing w:before="240"/>
    </w:pPr>
  </w:style>
  <w:style w:type="paragraph" w:customStyle="1" w:styleId="Accordtitre">
    <w:name w:val="Accord titre"/>
    <w:basedOn w:val="Normal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Pr>
      <w:b/>
      <w:i/>
    </w:rPr>
  </w:style>
  <w:style w:type="character" w:customStyle="1" w:styleId="diff-tte-removed">
    <w:name w:val="diff-tte-removed"/>
    <w:basedOn w:val="DefaultParagraphFont"/>
    <w:rPr>
      <w:strike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51664-B36A-4CB8-BB08-A8F9359D2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375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4</cp:revision>
  <cp:lastPrinted>2004-11-19T15:42:00Z</cp:lastPrinted>
  <dcterms:created xsi:type="dcterms:W3CDTF">2024-04-29T16:11:00Z</dcterms:created>
  <dcterms:modified xsi:type="dcterms:W3CDTF">2024-09-09T12:55:00Z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