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11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1148" w:rsidRDefault="00624975" w:rsidP="0010095E">
            <w:pPr>
              <w:pStyle w:val="EPName"/>
            </w:pPr>
            <w:r w:rsidRPr="00771148">
              <w:t>Европейски</w:t>
            </w:r>
            <w:r w:rsidR="005074EB" w:rsidRPr="00771148">
              <w:t xml:space="preserve"> парламент</w:t>
            </w:r>
          </w:p>
          <w:p w:rsidR="00751A4A" w:rsidRPr="007711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1148">
              <w:t>2019</w:t>
            </w:r>
            <w:r w:rsidR="00624975">
              <w:t> – </w:t>
            </w:r>
            <w:r w:rsidRPr="0077114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71148" w:rsidRDefault="00187494" w:rsidP="0010095E">
            <w:pPr>
              <w:pStyle w:val="EPLogo"/>
            </w:pPr>
            <w:r w:rsidRPr="007711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1148" w:rsidRDefault="00D058B8" w:rsidP="004C5D52">
      <w:pPr>
        <w:pStyle w:val="LineTop"/>
      </w:pPr>
    </w:p>
    <w:p w:rsidR="00680577" w:rsidRPr="00771148" w:rsidRDefault="005074EB" w:rsidP="00680577">
      <w:pPr>
        <w:pStyle w:val="EPBodyTA1"/>
      </w:pPr>
      <w:r w:rsidRPr="00771148">
        <w:t>ПРИЕТИ ТЕКСТОВЕ</w:t>
      </w:r>
    </w:p>
    <w:p w:rsidR="00D058B8" w:rsidRPr="00771148" w:rsidRDefault="00D058B8" w:rsidP="00D058B8">
      <w:pPr>
        <w:pStyle w:val="LineBottom"/>
      </w:pPr>
    </w:p>
    <w:p w:rsidR="005074EB" w:rsidRPr="00771148" w:rsidRDefault="005074EB" w:rsidP="009A06D3">
      <w:pPr>
        <w:pStyle w:val="ATHeading1"/>
      </w:pPr>
      <w:bookmarkStart w:id="0" w:name="TANumber"/>
      <w:r w:rsidRPr="00771148">
        <w:t>P9_TA(2024)</w:t>
      </w:r>
      <w:bookmarkEnd w:id="0"/>
      <w:r w:rsidR="009A06D3" w:rsidRPr="00771148">
        <w:t>0</w:t>
      </w:r>
      <w:r w:rsidR="009A06D3">
        <w:t>366</w:t>
      </w:r>
    </w:p>
    <w:p w:rsidR="005074EB" w:rsidRPr="00771148" w:rsidRDefault="005074EB" w:rsidP="005074EB">
      <w:pPr>
        <w:pStyle w:val="ATHeading2"/>
      </w:pPr>
      <w:bookmarkStart w:id="1" w:name="title"/>
      <w:r w:rsidRPr="00771148">
        <w:t>Създаване на Орган за борба с изпирането на пари и финансирането на тероризма</w:t>
      </w:r>
      <w:bookmarkEnd w:id="1"/>
    </w:p>
    <w:p w:rsidR="005074EB" w:rsidRPr="00771148" w:rsidRDefault="005074EB" w:rsidP="005074EB">
      <w:pPr>
        <w:rPr>
          <w:i/>
          <w:vanish/>
        </w:rPr>
      </w:pPr>
      <w:r w:rsidRPr="00771148">
        <w:rPr>
          <w:i/>
        </w:rPr>
        <w:fldChar w:fldCharType="begin"/>
      </w:r>
      <w:r w:rsidRPr="00771148">
        <w:rPr>
          <w:i/>
        </w:rPr>
        <w:instrText xml:space="preserve"> TC"(</w:instrText>
      </w:r>
      <w:bookmarkStart w:id="2" w:name="DocNumber"/>
      <w:r w:rsidRPr="00771148">
        <w:rPr>
          <w:i/>
        </w:rPr>
        <w:instrText>A9-0128/2023</w:instrText>
      </w:r>
      <w:bookmarkEnd w:id="2"/>
      <w:r w:rsidRPr="00771148">
        <w:rPr>
          <w:i/>
        </w:rPr>
        <w:instrText xml:space="preserve"> - Докладчи</w:instrText>
      </w:r>
      <w:r w:rsidR="00B47153">
        <w:rPr>
          <w:i/>
        </w:rPr>
        <w:instrText>ци</w:instrText>
      </w:r>
      <w:r w:rsidRPr="00771148">
        <w:rPr>
          <w:i/>
        </w:rPr>
        <w:instrText xml:space="preserve">: Ева Мария Попчева, Емил Радев)"\l3 \n&gt; \* MERGEFORMAT </w:instrText>
      </w:r>
      <w:r w:rsidRPr="00771148">
        <w:rPr>
          <w:i/>
        </w:rPr>
        <w:fldChar w:fldCharType="end"/>
      </w:r>
    </w:p>
    <w:p w:rsidR="005074EB" w:rsidRPr="00771148" w:rsidRDefault="005074EB" w:rsidP="005074EB">
      <w:pPr>
        <w:rPr>
          <w:vanish/>
        </w:rPr>
      </w:pPr>
      <w:bookmarkStart w:id="3" w:name="Commission"/>
      <w:r w:rsidRPr="00771148">
        <w:rPr>
          <w:vanish/>
        </w:rPr>
        <w:t>Комисия по икономически и парични въпрос</w:t>
      </w:r>
      <w:bookmarkEnd w:id="3"/>
      <w:r w:rsidR="002A631F">
        <w:rPr>
          <w:vanish/>
        </w:rPr>
        <w:t>и, К</w:t>
      </w:r>
      <w:r w:rsidR="00B47153">
        <w:rPr>
          <w:vanish/>
        </w:rPr>
        <w:t xml:space="preserve">омисия </w:t>
      </w:r>
      <w:r w:rsidR="00B47153" w:rsidRPr="00B47153">
        <w:rPr>
          <w:vanish/>
        </w:rPr>
        <w:t>по граждански свободи, правосъдие и вътрешни работи</w:t>
      </w:r>
      <w:r w:rsidR="00B47153">
        <w:rPr>
          <w:vanish/>
        </w:rPr>
        <w:t xml:space="preserve"> </w:t>
      </w:r>
    </w:p>
    <w:p w:rsidR="005074EB" w:rsidRPr="00771148" w:rsidRDefault="005074EB" w:rsidP="005074EB">
      <w:pPr>
        <w:rPr>
          <w:vanish/>
        </w:rPr>
      </w:pPr>
      <w:bookmarkStart w:id="4" w:name="PE"/>
      <w:r w:rsidRPr="00771148">
        <w:rPr>
          <w:vanish/>
        </w:rPr>
        <w:t>PE731.820</w:t>
      </w:r>
      <w:bookmarkEnd w:id="4"/>
    </w:p>
    <w:p w:rsidR="005074EB" w:rsidRPr="00771148" w:rsidRDefault="005074EB" w:rsidP="005074EB">
      <w:pPr>
        <w:pStyle w:val="ATHeading3"/>
      </w:pPr>
      <w:bookmarkStart w:id="5" w:name="Sujet"/>
      <w:r w:rsidRPr="00771148">
        <w:t xml:space="preserve">Законодателна резолюция на Европейския парламент от </w:t>
      </w:r>
      <w:r w:rsidR="00B47153">
        <w:t>24</w:t>
      </w:r>
      <w:r w:rsidRPr="00771148">
        <w:t xml:space="preserve"> </w:t>
      </w:r>
      <w:r w:rsidR="00624975">
        <w:t xml:space="preserve">април </w:t>
      </w:r>
      <w:r w:rsidRPr="00771148">
        <w:t>2024 г. относно предложението за регламент на Европейския парламент и на Съвета за създаване на Орган за борба с изпирането на пари и финансирането на тероризма и за изменение на регламенти (ЕС) № 1093/2010, (ЕС) 1094/2010 и (ЕС) 1095/2010</w:t>
      </w:r>
      <w:bookmarkEnd w:id="5"/>
      <w:r w:rsidRPr="00771148">
        <w:t xml:space="preserve"> </w:t>
      </w:r>
      <w:bookmarkStart w:id="6" w:name="References"/>
      <w:r w:rsidRPr="00771148">
        <w:t>(COM(2021)0421 – C9-0340/2021 – 2021/0240(COD))</w:t>
      </w:r>
      <w:bookmarkEnd w:id="6"/>
    </w:p>
    <w:p w:rsidR="007F22AB" w:rsidRPr="00771148" w:rsidRDefault="007F22AB" w:rsidP="007F22AB">
      <w:pPr>
        <w:pStyle w:val="NormalBold"/>
      </w:pPr>
      <w:bookmarkStart w:id="7" w:name="TextBodyBegin"/>
      <w:bookmarkEnd w:id="7"/>
      <w:r w:rsidRPr="00771148">
        <w:t>(Обикновена законодателна процедура – първо четене)</w:t>
      </w:r>
    </w:p>
    <w:p w:rsidR="007F22AB" w:rsidRPr="00771148" w:rsidRDefault="007F22AB" w:rsidP="007F22AB">
      <w:pPr>
        <w:pStyle w:val="EPComma"/>
      </w:pPr>
      <w:r w:rsidRPr="00771148">
        <w:rPr>
          <w:i/>
        </w:rPr>
        <w:t>Европейският парламент</w:t>
      </w:r>
      <w:r w:rsidRPr="00771148">
        <w:t>,</w:t>
      </w:r>
    </w:p>
    <w:p w:rsidR="007F22AB" w:rsidRPr="00771148" w:rsidRDefault="007F22AB" w:rsidP="00624975">
      <w:pPr>
        <w:pStyle w:val="NormalHanging12a"/>
      </w:pPr>
      <w:r w:rsidRPr="00771148">
        <w:t>–</w:t>
      </w:r>
      <w:r w:rsidRPr="00771148">
        <w:tab/>
        <w:t xml:space="preserve">като взе предвид предложението на Комисията до </w:t>
      </w:r>
      <w:r w:rsidR="00624975">
        <w:t>П</w:t>
      </w:r>
      <w:r w:rsidRPr="00771148">
        <w:t>арламент</w:t>
      </w:r>
      <w:r w:rsidR="00624975">
        <w:t>а</w:t>
      </w:r>
      <w:r w:rsidRPr="00771148">
        <w:t xml:space="preserve"> и Съвета (COM(2021)0421),</w:t>
      </w:r>
    </w:p>
    <w:p w:rsidR="007F22AB" w:rsidRPr="00771148" w:rsidRDefault="007F22AB" w:rsidP="007F22AB">
      <w:pPr>
        <w:pStyle w:val="NormalHanging12a"/>
      </w:pPr>
      <w:r w:rsidRPr="00771148">
        <w:t>–</w:t>
      </w:r>
      <w:r w:rsidRPr="00771148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(C9</w:t>
      </w:r>
      <w:r w:rsidRPr="00771148">
        <w:noBreakHyphen/>
        <w:t>0340/2021),</w:t>
      </w:r>
    </w:p>
    <w:p w:rsidR="007F22AB" w:rsidRPr="00771148" w:rsidRDefault="007F22AB" w:rsidP="007F22AB">
      <w:pPr>
        <w:pStyle w:val="NormalHanging12a"/>
      </w:pPr>
      <w:r w:rsidRPr="00771148">
        <w:t>–</w:t>
      </w:r>
      <w:r w:rsidRPr="00771148">
        <w:tab/>
        <w:t>като взе предвид член 294, параграф 3 от Договора за функционирането на Европейския съюз,</w:t>
      </w:r>
    </w:p>
    <w:p w:rsidR="007F22AB" w:rsidRDefault="007F22AB" w:rsidP="007F22AB">
      <w:pPr>
        <w:spacing w:after="240"/>
        <w:ind w:left="567" w:hanging="567"/>
      </w:pPr>
      <w:r w:rsidRPr="00771148">
        <w:t>–</w:t>
      </w:r>
      <w:r w:rsidRPr="00771148">
        <w:tab/>
        <w:t>като взе предвид становището на Европейския икономически и социален комитет от 8 декември 2021 г.</w:t>
      </w:r>
      <w:r w:rsidRPr="00771148">
        <w:rPr>
          <w:vertAlign w:val="superscript"/>
        </w:rPr>
        <w:footnoteReference w:id="1"/>
      </w:r>
      <w:r w:rsidRPr="00771148">
        <w:t>,</w:t>
      </w:r>
    </w:p>
    <w:p w:rsidR="00B47153" w:rsidRPr="00B47153" w:rsidRDefault="00B47153" w:rsidP="00B47153">
      <w:pPr>
        <w:spacing w:after="240"/>
        <w:ind w:left="567" w:hanging="567"/>
      </w:pPr>
      <w:r w:rsidRPr="00771148">
        <w:t>–</w:t>
      </w:r>
      <w:r w:rsidRPr="00771148">
        <w:tab/>
      </w:r>
      <w:r w:rsidRPr="00B47153">
        <w:t xml:space="preserve">като взе предвид </w:t>
      </w:r>
      <w:r w:rsidRPr="00B47153">
        <w:rPr>
          <w:bCs/>
        </w:rPr>
        <w:t>временното споразумение</w:t>
      </w:r>
      <w:r w:rsidRPr="00B47153">
        <w:t>, одобрено от компетентн</w:t>
      </w:r>
      <w:r>
        <w:t>ите комисии</w:t>
      </w:r>
      <w:r w:rsidRPr="00B47153">
        <w:t xml:space="preserve"> съгласно член 74, параграф 4 </w:t>
      </w:r>
      <w:r w:rsidRPr="00B47153">
        <w:rPr>
          <w:bCs/>
        </w:rPr>
        <w:t>от своя Правилник за дейността,</w:t>
      </w:r>
      <w:r w:rsidRPr="00B47153">
        <w:t xml:space="preserve"> и поетия с писмо от </w:t>
      </w:r>
      <w:r>
        <w:t xml:space="preserve">29 февруари </w:t>
      </w:r>
      <w:r w:rsidRPr="00B47153">
        <w:t>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7F22AB" w:rsidRDefault="007F22AB" w:rsidP="007F22AB">
      <w:pPr>
        <w:pStyle w:val="NormalHanging12a"/>
      </w:pPr>
      <w:r w:rsidRPr="00771148">
        <w:t>–</w:t>
      </w:r>
      <w:r w:rsidRPr="00771148">
        <w:tab/>
        <w:t>като взе предвид член 59 от своя Правилник за дейността,</w:t>
      </w:r>
    </w:p>
    <w:p w:rsidR="00F15B29" w:rsidRPr="00771148" w:rsidRDefault="00F15B29" w:rsidP="00F15B29">
      <w:pPr>
        <w:pStyle w:val="NormalHanging12a"/>
      </w:pPr>
      <w:r w:rsidRPr="00771148">
        <w:t>–</w:t>
      </w:r>
      <w:r w:rsidRPr="00771148">
        <w:tab/>
      </w:r>
      <w:r w:rsidRPr="00F15B29">
        <w:t xml:space="preserve">като взе предвид съвместните разисквания на комисията по икономически и парични </w:t>
      </w:r>
      <w:r w:rsidRPr="00F15B29">
        <w:lastRenderedPageBreak/>
        <w:t>въпроси и на комисията по граждански свободи, правосъдие и вътрешни работи съгласно член 58 от Правилника за дейността,</w:t>
      </w:r>
    </w:p>
    <w:p w:rsidR="007F22AB" w:rsidRPr="00771148" w:rsidRDefault="007F22AB" w:rsidP="007F22AB">
      <w:pPr>
        <w:pStyle w:val="NormalHanging12a"/>
      </w:pPr>
      <w:r w:rsidRPr="00771148">
        <w:t>–</w:t>
      </w:r>
      <w:r w:rsidRPr="00771148">
        <w:tab/>
        <w:t>като взе предвид становищата на комисията по бюджети, комисията по бюджетен контрол и комисията по конституционни въпроси,</w:t>
      </w:r>
    </w:p>
    <w:p w:rsidR="007F22AB" w:rsidRPr="00771148" w:rsidRDefault="007F22AB" w:rsidP="007F22AB">
      <w:pPr>
        <w:pStyle w:val="NormalHanging12a"/>
      </w:pPr>
      <w:r w:rsidRPr="00771148">
        <w:t>–</w:t>
      </w:r>
      <w:r w:rsidRPr="00771148">
        <w:tab/>
        <w:t>като взе предвид доклада на комисията по икономически и парични въпроси и на комисията по граждански свободи, правосъдие и вътрешни работи (A9-0128/2023),</w:t>
      </w:r>
    </w:p>
    <w:p w:rsidR="007F22AB" w:rsidRPr="00771148" w:rsidRDefault="007F22AB" w:rsidP="007F22AB">
      <w:pPr>
        <w:pStyle w:val="NormalHanging12a"/>
      </w:pPr>
      <w:r w:rsidRPr="00771148">
        <w:t>1.</w:t>
      </w:r>
      <w:r w:rsidRPr="00771148">
        <w:tab/>
        <w:t>приема изложената по-долу позиция на първо четене;</w:t>
      </w:r>
    </w:p>
    <w:p w:rsidR="007F22AB" w:rsidRPr="00771148" w:rsidRDefault="007F22AB" w:rsidP="00624975">
      <w:pPr>
        <w:pStyle w:val="NormalHanging12a"/>
      </w:pPr>
      <w:r w:rsidRPr="00771148">
        <w:t>2.</w:t>
      </w:r>
      <w:r w:rsidRPr="00771148">
        <w:tab/>
        <w:t>приканва Комисията да се отнесе до него отново, в случай че замени своето предложение с друг текст</w:t>
      </w:r>
      <w:r w:rsidR="00624975">
        <w:t>,</w:t>
      </w:r>
      <w:r w:rsidRPr="00771148">
        <w:t xml:space="preserve"> внесе или възнамерява да внесе съществени промени в това предложение;</w:t>
      </w:r>
    </w:p>
    <w:p w:rsidR="007F22AB" w:rsidRPr="00771148" w:rsidRDefault="007F22AB" w:rsidP="007F22AB">
      <w:pPr>
        <w:pStyle w:val="NormalHanging12a"/>
      </w:pPr>
      <w:r w:rsidRPr="00771148">
        <w:t>3.</w:t>
      </w:r>
      <w:r w:rsidRPr="0077114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0F0B69" w:rsidRDefault="000F0B69">
      <w:pPr>
        <w:widowControl/>
        <w:sectPr w:rsidR="000F0B69" w:rsidSect="000F0B69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624975" w:rsidRDefault="00624975">
      <w:pPr>
        <w:widowControl/>
      </w:pPr>
    </w:p>
    <w:p w:rsidR="000F0B69" w:rsidRPr="00481D90" w:rsidRDefault="000F0B69" w:rsidP="000F0B69">
      <w:pPr>
        <w:widowControl/>
        <w:rPr>
          <w:rFonts w:eastAsia="Calibri"/>
          <w:b/>
          <w:bCs/>
          <w:noProof/>
          <w:szCs w:val="22"/>
        </w:rPr>
      </w:pPr>
      <w:r w:rsidRPr="000F0B69">
        <w:rPr>
          <w:rFonts w:eastAsia="Calibri"/>
          <w:b/>
          <w:bCs/>
          <w:noProof/>
          <w:szCs w:val="22"/>
          <w:lang w:val="en-GB"/>
        </w:rPr>
        <w:t>P</w:t>
      </w:r>
      <w:r w:rsidRPr="00481D90">
        <w:rPr>
          <w:rFonts w:eastAsia="Calibri"/>
          <w:b/>
          <w:bCs/>
          <w:noProof/>
          <w:szCs w:val="22"/>
        </w:rPr>
        <w:t>9_</w:t>
      </w:r>
      <w:r w:rsidRPr="000F0B69">
        <w:rPr>
          <w:rFonts w:eastAsia="Calibri"/>
          <w:b/>
          <w:bCs/>
          <w:noProof/>
          <w:szCs w:val="22"/>
          <w:lang w:val="en-GB"/>
        </w:rPr>
        <w:t>TC</w:t>
      </w:r>
      <w:r w:rsidRPr="00481D90">
        <w:rPr>
          <w:rFonts w:eastAsia="Calibri"/>
          <w:b/>
          <w:bCs/>
          <w:noProof/>
          <w:szCs w:val="22"/>
        </w:rPr>
        <w:t>1-</w:t>
      </w:r>
      <w:r w:rsidRPr="000F0B69">
        <w:rPr>
          <w:rFonts w:eastAsia="Calibri"/>
          <w:b/>
          <w:bCs/>
          <w:noProof/>
          <w:szCs w:val="22"/>
          <w:lang w:val="en-GB"/>
        </w:rPr>
        <w:t>COD</w:t>
      </w:r>
      <w:r w:rsidRPr="00481D90">
        <w:rPr>
          <w:rFonts w:eastAsia="Calibri"/>
          <w:b/>
          <w:bCs/>
          <w:noProof/>
          <w:szCs w:val="22"/>
        </w:rPr>
        <w:t>(2021)0240</w:t>
      </w:r>
    </w:p>
    <w:p w:rsidR="000F0B69" w:rsidRDefault="000F0B69" w:rsidP="000F0B69">
      <w:pPr>
        <w:spacing w:before="12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на </w:t>
      </w:r>
      <w:r w:rsidRPr="009A06D3">
        <w:rPr>
          <w:b/>
          <w:szCs w:val="24"/>
        </w:rPr>
        <w:t>24 април 2024 г. с оглед на приемането на Регламент (ЕС) 2024/... на Европейския парламент и на</w:t>
      </w:r>
      <w:r w:rsidRPr="00900F1D">
        <w:rPr>
          <w:b/>
          <w:szCs w:val="24"/>
        </w:rPr>
        <w:t xml:space="preserve"> Съвета </w:t>
      </w:r>
      <w:r w:rsidRPr="00A571DC">
        <w:rPr>
          <w:rFonts w:eastAsia="Calibri"/>
          <w:b/>
          <w:color w:val="000000"/>
          <w:szCs w:val="22"/>
          <w:lang w:eastAsia="en-US"/>
        </w:rPr>
        <w:t>за създаване на Орган за борба с изпирането на пари и финансирането на тероризма и за изменение на регламенти (ЕС) № 1093/2010, (ЕС) № 1094/2010 и (ЕС) № 1095/2010</w:t>
      </w:r>
    </w:p>
    <w:p w:rsidR="007F22AB" w:rsidRPr="00771148" w:rsidRDefault="008C7C22" w:rsidP="008C7C22">
      <w:pPr>
        <w:spacing w:before="120"/>
        <w:rPr>
          <w:rFonts w:eastAsia="Calibri"/>
          <w:noProof/>
          <w:szCs w:val="22"/>
        </w:rPr>
      </w:pPr>
      <w:r w:rsidRPr="0051470D">
        <w:rPr>
          <w:i/>
          <w:szCs w:val="24"/>
        </w:rPr>
        <w:t>(Тъй като беше постигнато спор</w:t>
      </w:r>
      <w:bookmarkStart w:id="8" w:name="_GoBack"/>
      <w:bookmarkEnd w:id="8"/>
      <w:r w:rsidRPr="0051470D">
        <w:rPr>
          <w:i/>
          <w:szCs w:val="24"/>
        </w:rPr>
        <w:t>азумение между Парламента и Съвета, позицията на Парламента съответства на окончателния законод</w:t>
      </w:r>
      <w:r w:rsidRPr="008C7C22">
        <w:rPr>
          <w:i/>
          <w:szCs w:val="24"/>
        </w:rPr>
        <w:t xml:space="preserve">ателен акт, </w:t>
      </w:r>
      <w:r w:rsidRPr="008C7C22">
        <w:rPr>
          <w:i/>
          <w:szCs w:val="24"/>
          <w:lang w:val="lt-LT"/>
        </w:rPr>
        <w:t xml:space="preserve">Регламент (ЕС) </w:t>
      </w:r>
      <w:r w:rsidRPr="008C7C22">
        <w:rPr>
          <w:i/>
          <w:szCs w:val="24"/>
          <w:lang w:val="lt-LT"/>
        </w:rPr>
        <w:t>2024/1620</w:t>
      </w:r>
      <w:r w:rsidRPr="008C7C22">
        <w:rPr>
          <w:i/>
          <w:szCs w:val="24"/>
          <w:lang w:val="lt-LT"/>
        </w:rPr>
        <w:t>.)</w:t>
      </w:r>
    </w:p>
    <w:sectPr w:rsidR="007F22AB" w:rsidRPr="00771148" w:rsidSect="008C7C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4EB" w:rsidRPr="00771148" w:rsidRDefault="005074EB">
      <w:r w:rsidRPr="00771148">
        <w:separator/>
      </w:r>
    </w:p>
  </w:endnote>
  <w:endnote w:type="continuationSeparator" w:id="0">
    <w:p w:rsidR="005074EB" w:rsidRPr="00771148" w:rsidRDefault="005074EB">
      <w:r w:rsidRPr="007711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4EB" w:rsidRPr="00771148" w:rsidRDefault="005074EB">
      <w:r w:rsidRPr="00771148">
        <w:separator/>
      </w:r>
    </w:p>
  </w:footnote>
  <w:footnote w:type="continuationSeparator" w:id="0">
    <w:p w:rsidR="005074EB" w:rsidRPr="00771148" w:rsidRDefault="005074EB">
      <w:r w:rsidRPr="00771148">
        <w:continuationSeparator/>
      </w:r>
    </w:p>
  </w:footnote>
  <w:footnote w:id="1">
    <w:p w:rsidR="007F22AB" w:rsidRPr="00F15B29" w:rsidRDefault="007F22AB" w:rsidP="00771148">
      <w:pPr>
        <w:pStyle w:val="FootnoteText"/>
        <w:ind w:left="567" w:hanging="567"/>
        <w:rPr>
          <w:sz w:val="24"/>
          <w:lang w:val="bg-BG"/>
        </w:rPr>
      </w:pPr>
      <w:r w:rsidRPr="00F15B29">
        <w:rPr>
          <w:rStyle w:val="FootnoteReference"/>
          <w:sz w:val="24"/>
          <w:lang w:val="bg-BG"/>
        </w:rPr>
        <w:footnoteRef/>
      </w:r>
      <w:r w:rsidR="00771148" w:rsidRPr="00F15B29">
        <w:rPr>
          <w:sz w:val="24"/>
          <w:lang w:val="bg-BG"/>
        </w:rPr>
        <w:t xml:space="preserve"> </w:t>
      </w:r>
      <w:r w:rsidR="00771148" w:rsidRPr="00F15B29">
        <w:rPr>
          <w:sz w:val="24"/>
          <w:lang w:val="bg-BG"/>
        </w:rPr>
        <w:tab/>
      </w:r>
      <w:r w:rsidRPr="00F15B29">
        <w:rPr>
          <w:sz w:val="24"/>
          <w:lang w:val="bg-BG"/>
        </w:rPr>
        <w:t>ОВ C 152, 6.4.2022 г., стр. 89.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C43EF3B2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D0E8E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C851E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5A1A8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10F7B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5887E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1C59F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FA7D1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50446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C78037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34C36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1EF17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1A06F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BE0BD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76C8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4C41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585C4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32D95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15B28C64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58DA1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CC5F6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BEB81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F4A62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B2EF5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40111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287D3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C602B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E3F6037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0D0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CAEC9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DAFE5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B8BCD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055E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FE10C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862CB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78370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23D862B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969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001DB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EEFC0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78925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F2FFD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CED81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26CD3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BE97A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DE1C68A4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AC44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4E0020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669F1E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B0906E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F256D8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B013C0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EE674C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92F742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775C81F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7247F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5E07B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42620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B2670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0E7DD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D8869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68ED2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DAD7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07F491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B07CF026" w:tentative="1">
      <w:start w:val="1"/>
      <w:numFmt w:val="lowerLetter"/>
      <w:lvlText w:val="%2."/>
      <w:lvlJc w:val="left"/>
      <w:pPr>
        <w:ind w:left="1440" w:hanging="360"/>
      </w:pPr>
    </w:lvl>
    <w:lvl w:ilvl="2" w:tplc="62FE2EBE" w:tentative="1">
      <w:start w:val="1"/>
      <w:numFmt w:val="lowerRoman"/>
      <w:lvlText w:val="%3."/>
      <w:lvlJc w:val="right"/>
      <w:pPr>
        <w:ind w:left="2160" w:hanging="180"/>
      </w:pPr>
    </w:lvl>
    <w:lvl w:ilvl="3" w:tplc="733C3B10" w:tentative="1">
      <w:start w:val="1"/>
      <w:numFmt w:val="decimal"/>
      <w:lvlText w:val="%4."/>
      <w:lvlJc w:val="left"/>
      <w:pPr>
        <w:ind w:left="2880" w:hanging="360"/>
      </w:pPr>
    </w:lvl>
    <w:lvl w:ilvl="4" w:tplc="3C8AE1DC" w:tentative="1">
      <w:start w:val="1"/>
      <w:numFmt w:val="lowerLetter"/>
      <w:lvlText w:val="%5."/>
      <w:lvlJc w:val="left"/>
      <w:pPr>
        <w:ind w:left="3600" w:hanging="360"/>
      </w:pPr>
    </w:lvl>
    <w:lvl w:ilvl="5" w:tplc="5286759E" w:tentative="1">
      <w:start w:val="1"/>
      <w:numFmt w:val="lowerRoman"/>
      <w:lvlText w:val="%6."/>
      <w:lvlJc w:val="right"/>
      <w:pPr>
        <w:ind w:left="4320" w:hanging="180"/>
      </w:pPr>
    </w:lvl>
    <w:lvl w:ilvl="6" w:tplc="908A7A0E" w:tentative="1">
      <w:start w:val="1"/>
      <w:numFmt w:val="decimal"/>
      <w:lvlText w:val="%7."/>
      <w:lvlJc w:val="left"/>
      <w:pPr>
        <w:ind w:left="5040" w:hanging="360"/>
      </w:pPr>
    </w:lvl>
    <w:lvl w:ilvl="7" w:tplc="FFAAA0E8" w:tentative="1">
      <w:start w:val="1"/>
      <w:numFmt w:val="lowerLetter"/>
      <w:lvlText w:val="%8."/>
      <w:lvlJc w:val="left"/>
      <w:pPr>
        <w:ind w:left="5760" w:hanging="360"/>
      </w:pPr>
    </w:lvl>
    <w:lvl w:ilvl="8" w:tplc="5582E5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3FFE51E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92C086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60389A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B6020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2E0710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260A80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82B646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8AE83A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5609D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94423E6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3C0A1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4CDD4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2A12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BA116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C21A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38546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2CEB0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E887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F304797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08C4D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A491C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48A3C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CAF57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7288F6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5A77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525D8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28E958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971A5DD2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C2D02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2A0E7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7E4D0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DC9B9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88559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B6F9A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28DC9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C0066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F510153A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D8072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601ED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626F0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B479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8C020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4DE1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AC1E9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4273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C374B04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EA159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E0CE7C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6232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E4C4E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E6FE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DA27F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B8F0C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7A4BA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241ED866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7449A2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7A2A2A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921DC4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368650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12612C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9C530A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862EE2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948BB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26D05A1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ACF7F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B12333E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A4658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D0149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AC33FE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F864E2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229BC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80F304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715A146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08929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E2C2B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00B3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86BF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908D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7A0A0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5A41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20A6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5974334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26F0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EE85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0A40D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A8E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72A1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E4186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54336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7CF10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C31CBF5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4CBE7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B8CC3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88624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FE5FD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04BC8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78AB6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64198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5C22B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734A41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38C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7C52C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6CD3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6032B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A057C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166BD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460AD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72030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A4A03D7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F64194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60A9C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F677E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5A305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46D00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2ED7F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F4CFE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06E0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247032D4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4E5C728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A05C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66F0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8AC61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D89F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80323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74E8B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F2155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BE100E2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22C76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AC0D3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C6078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26DE5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FE0C9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D6AB4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CA8D2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88FB9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FFB6B5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6CC88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ACFAEC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1C289E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24131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EEA980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8ECAB8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ACB7A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C6FDE4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58DAF5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E2986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E0AE0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32D46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B873E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0AC74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F226D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6235B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8C231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FA985E38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62AC98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E8DF4A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0CA15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CA8F70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F82D94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76679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EFD26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04A91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ED80E59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E40C08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378FFD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42C36A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34B88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30922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F6AC340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FCE7F1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AC54F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C9DA5F8C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DA25FA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60937C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800D0A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3C4D04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38B2A4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08D9E2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6AD072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329268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C4F6C52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D20F7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40D45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2253A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D4777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0CDA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924F8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20F5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D2D5F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B88C594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A6346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C4865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CE02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9AFEE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6CC7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F0C5C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A6DDD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AA3F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D152E292">
      <w:start w:val="1"/>
      <w:numFmt w:val="decimal"/>
      <w:pStyle w:val="NumPar11"/>
      <w:lvlText w:val="%1."/>
      <w:lvlJc w:val="left"/>
      <w:pPr>
        <w:ind w:left="360" w:hanging="360"/>
      </w:pPr>
    </w:lvl>
    <w:lvl w:ilvl="1" w:tplc="9BF45C22" w:tentative="1">
      <w:start w:val="1"/>
      <w:numFmt w:val="lowerLetter"/>
      <w:lvlText w:val="%2."/>
      <w:lvlJc w:val="left"/>
      <w:pPr>
        <w:ind w:left="1080" w:hanging="360"/>
      </w:pPr>
    </w:lvl>
    <w:lvl w:ilvl="2" w:tplc="F1D046DC" w:tentative="1">
      <w:start w:val="1"/>
      <w:numFmt w:val="lowerRoman"/>
      <w:lvlText w:val="%3."/>
      <w:lvlJc w:val="right"/>
      <w:pPr>
        <w:ind w:left="1800" w:hanging="180"/>
      </w:pPr>
    </w:lvl>
    <w:lvl w:ilvl="3" w:tplc="DD4E8662" w:tentative="1">
      <w:start w:val="1"/>
      <w:numFmt w:val="decimal"/>
      <w:lvlText w:val="%4."/>
      <w:lvlJc w:val="left"/>
      <w:pPr>
        <w:ind w:left="2520" w:hanging="360"/>
      </w:pPr>
    </w:lvl>
    <w:lvl w:ilvl="4" w:tplc="060415AE" w:tentative="1">
      <w:start w:val="1"/>
      <w:numFmt w:val="lowerLetter"/>
      <w:lvlText w:val="%5."/>
      <w:lvlJc w:val="left"/>
      <w:pPr>
        <w:ind w:left="3240" w:hanging="360"/>
      </w:pPr>
    </w:lvl>
    <w:lvl w:ilvl="5" w:tplc="01D6E4E8" w:tentative="1">
      <w:start w:val="1"/>
      <w:numFmt w:val="lowerRoman"/>
      <w:lvlText w:val="%6."/>
      <w:lvlJc w:val="right"/>
      <w:pPr>
        <w:ind w:left="3960" w:hanging="180"/>
      </w:pPr>
    </w:lvl>
    <w:lvl w:ilvl="6" w:tplc="1E249804" w:tentative="1">
      <w:start w:val="1"/>
      <w:numFmt w:val="decimal"/>
      <w:lvlText w:val="%7."/>
      <w:lvlJc w:val="left"/>
      <w:pPr>
        <w:ind w:left="4680" w:hanging="360"/>
      </w:pPr>
    </w:lvl>
    <w:lvl w:ilvl="7" w:tplc="3A4CEFC0" w:tentative="1">
      <w:start w:val="1"/>
      <w:numFmt w:val="lowerLetter"/>
      <w:lvlText w:val="%8."/>
      <w:lvlJc w:val="left"/>
      <w:pPr>
        <w:ind w:left="5400" w:hanging="360"/>
      </w:pPr>
    </w:lvl>
    <w:lvl w:ilvl="8" w:tplc="5E2070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D426455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0C1A1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A2508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380C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7C646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167ED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C4BB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8012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F2526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0E88FD8E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D686C8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FA57D2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D8CC60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EC5378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AC24AC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5ECF92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1CE1B0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4445B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5E56A492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C2557E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CEF95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929F5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3CB4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0A927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84BA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A6124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F2261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30EE76A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D07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1873A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BEECB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C414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C10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A681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1469A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402A2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F86CE4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A67D2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4EACC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CA7A2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A2239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78C22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2C23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04188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C20E8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AD8677F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B0A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88F45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6C942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128A3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A6251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E8608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12B8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ABC7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301ADD6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12FEB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E43F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04E2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FE9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7AFE6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6C34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0C7B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0E8D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0098266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E055BE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4267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76B2B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AA645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F488C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4CE92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2E5F0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8C417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2D6017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51E771A" w:tentative="1">
      <w:start w:val="1"/>
      <w:numFmt w:val="lowerLetter"/>
      <w:lvlText w:val="%2."/>
      <w:lvlJc w:val="left"/>
      <w:pPr>
        <w:ind w:left="1080" w:hanging="360"/>
      </w:pPr>
    </w:lvl>
    <w:lvl w:ilvl="2" w:tplc="BB843868" w:tentative="1">
      <w:start w:val="1"/>
      <w:numFmt w:val="lowerRoman"/>
      <w:lvlText w:val="%3."/>
      <w:lvlJc w:val="right"/>
      <w:pPr>
        <w:ind w:left="1800" w:hanging="180"/>
      </w:pPr>
    </w:lvl>
    <w:lvl w:ilvl="3" w:tplc="7C6E0C66" w:tentative="1">
      <w:start w:val="1"/>
      <w:numFmt w:val="decimal"/>
      <w:lvlText w:val="%4."/>
      <w:lvlJc w:val="left"/>
      <w:pPr>
        <w:ind w:left="2520" w:hanging="360"/>
      </w:pPr>
    </w:lvl>
    <w:lvl w:ilvl="4" w:tplc="E82C6D8A" w:tentative="1">
      <w:start w:val="1"/>
      <w:numFmt w:val="lowerLetter"/>
      <w:lvlText w:val="%5."/>
      <w:lvlJc w:val="left"/>
      <w:pPr>
        <w:ind w:left="3240" w:hanging="360"/>
      </w:pPr>
    </w:lvl>
    <w:lvl w:ilvl="5" w:tplc="AE2078B4" w:tentative="1">
      <w:start w:val="1"/>
      <w:numFmt w:val="lowerRoman"/>
      <w:lvlText w:val="%6."/>
      <w:lvlJc w:val="right"/>
      <w:pPr>
        <w:ind w:left="3960" w:hanging="180"/>
      </w:pPr>
    </w:lvl>
    <w:lvl w:ilvl="6" w:tplc="0A6C379A" w:tentative="1">
      <w:start w:val="1"/>
      <w:numFmt w:val="decimal"/>
      <w:lvlText w:val="%7."/>
      <w:lvlJc w:val="left"/>
      <w:pPr>
        <w:ind w:left="4680" w:hanging="360"/>
      </w:pPr>
    </w:lvl>
    <w:lvl w:ilvl="7" w:tplc="78D85C68" w:tentative="1">
      <w:start w:val="1"/>
      <w:numFmt w:val="lowerLetter"/>
      <w:lvlText w:val="%8."/>
      <w:lvlJc w:val="left"/>
      <w:pPr>
        <w:ind w:left="5400" w:hanging="360"/>
      </w:pPr>
    </w:lvl>
    <w:lvl w:ilvl="8" w:tplc="6CA468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B5F634A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6BD9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F866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56EEF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562C1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E64EA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546A5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EE2FF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AE8C6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C66CAF1C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32BB6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EC342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00297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5A8D6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A06F40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F4674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C2B77E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3E073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E9283334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AC1872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6CA38C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82CE22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38DA8E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3AD9CE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12E5A6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0AF84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8AD36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28CE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7B8098E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F708BAA6" w:tentative="1">
      <w:start w:val="1"/>
      <w:numFmt w:val="lowerRoman"/>
      <w:lvlText w:val="%3."/>
      <w:lvlJc w:val="right"/>
      <w:pPr>
        <w:ind w:left="1800" w:hanging="180"/>
      </w:pPr>
    </w:lvl>
    <w:lvl w:ilvl="3" w:tplc="F95E4974" w:tentative="1">
      <w:start w:val="1"/>
      <w:numFmt w:val="decimal"/>
      <w:lvlText w:val="%4."/>
      <w:lvlJc w:val="left"/>
      <w:pPr>
        <w:ind w:left="2520" w:hanging="360"/>
      </w:pPr>
    </w:lvl>
    <w:lvl w:ilvl="4" w:tplc="482897C0" w:tentative="1">
      <w:start w:val="1"/>
      <w:numFmt w:val="lowerLetter"/>
      <w:lvlText w:val="%5."/>
      <w:lvlJc w:val="left"/>
      <w:pPr>
        <w:ind w:left="3240" w:hanging="360"/>
      </w:pPr>
    </w:lvl>
    <w:lvl w:ilvl="5" w:tplc="418892FA" w:tentative="1">
      <w:start w:val="1"/>
      <w:numFmt w:val="lowerRoman"/>
      <w:lvlText w:val="%6."/>
      <w:lvlJc w:val="right"/>
      <w:pPr>
        <w:ind w:left="3960" w:hanging="180"/>
      </w:pPr>
    </w:lvl>
    <w:lvl w:ilvl="6" w:tplc="F21CE5A2" w:tentative="1">
      <w:start w:val="1"/>
      <w:numFmt w:val="decimal"/>
      <w:lvlText w:val="%7."/>
      <w:lvlJc w:val="left"/>
      <w:pPr>
        <w:ind w:left="4680" w:hanging="360"/>
      </w:pPr>
    </w:lvl>
    <w:lvl w:ilvl="7" w:tplc="2D188066" w:tentative="1">
      <w:start w:val="1"/>
      <w:numFmt w:val="lowerLetter"/>
      <w:lvlText w:val="%8."/>
      <w:lvlJc w:val="left"/>
      <w:pPr>
        <w:ind w:left="5400" w:hanging="360"/>
      </w:pPr>
    </w:lvl>
    <w:lvl w:ilvl="8" w:tplc="3A7032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7E5C1DBC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DA0F18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67FBE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5E399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340A08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50B58A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46046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587228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B45366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4D44B3D2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36348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48B66A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A6446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3E7ADC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5CD8F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E6682A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D698C2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66D86E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938ABE22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6649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BCE03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842E0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885A3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E23D7C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28BEF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C46F5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50CFD2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8B98AD2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05B7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1813C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163ED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2A047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1A5D4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A6232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F8AC4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22772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A7C2508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B88DE6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7CFE8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0691CC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A4C282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823892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20ECC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D855A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38576A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62D2A2B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26CB40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4E673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5829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C4C88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58CCB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F013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5CF49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12046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6B92172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CC577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9EBCD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E6812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CED25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062C7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E87B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1282A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56CE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F248070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28668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A4A95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80AB9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E85A2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30E38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A0320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D653F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9615B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67B0681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04966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66A1F8E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8785FFE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BA5D0E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66E600A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3025F62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9404D5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2445298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CC22D3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DA066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2CE66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2EF9D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A0FC6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F2D62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6434D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FC0162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1C432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56EE45C4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7E28B7E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00E5D50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9708748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352C5C8E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8C81C0A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76A31C2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76409E8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9A04C86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6AC80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063F4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4063B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0AA24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6A26A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581A1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D6514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EE23E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66FA7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DFE8810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2A3E24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9A51BA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2004AC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AA44D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9E38AA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0C6A82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E85E2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4E82BC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9F643AA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6C8C0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1A86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66F56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D2944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001C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A829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8A301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64D5C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1226934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E8C08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D29C7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06FFA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4061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205E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0465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6468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4692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AE80146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2C0A50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F4FB6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A2F72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A61C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BEF76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863F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AA464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C8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C32C1EAC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BG"/>
    <w:docVar w:name="dvnumam" w:val="230"/>
    <w:docVar w:name="dvpe" w:val="731.82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създаване на Орган за борба с изпирането на пари и финансирането на тероризма и за изменение на регламенти (ЕС) № 1093/2010, (ЕС) 1094/2010 и (ЕС) 1095/2010(COM(2021)0421 – C9-0340/2021 – 2021/0240(COD))"/>
  </w:docVars>
  <w:rsids>
    <w:rsidRoot w:val="005074EB"/>
    <w:rsid w:val="00002272"/>
    <w:rsid w:val="00064002"/>
    <w:rsid w:val="000677B9"/>
    <w:rsid w:val="000831BA"/>
    <w:rsid w:val="000A42CC"/>
    <w:rsid w:val="000E7DD9"/>
    <w:rsid w:val="000F0B69"/>
    <w:rsid w:val="0010095E"/>
    <w:rsid w:val="00125B37"/>
    <w:rsid w:val="00187494"/>
    <w:rsid w:val="001F32AE"/>
    <w:rsid w:val="002767FF"/>
    <w:rsid w:val="002A631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D90"/>
    <w:rsid w:val="004867E3"/>
    <w:rsid w:val="00494A28"/>
    <w:rsid w:val="004C0004"/>
    <w:rsid w:val="004C5D52"/>
    <w:rsid w:val="0050519A"/>
    <w:rsid w:val="005072A1"/>
    <w:rsid w:val="005074EB"/>
    <w:rsid w:val="00514517"/>
    <w:rsid w:val="00545827"/>
    <w:rsid w:val="00560270"/>
    <w:rsid w:val="005C2568"/>
    <w:rsid w:val="006037C0"/>
    <w:rsid w:val="0062497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148"/>
    <w:rsid w:val="00786EC0"/>
    <w:rsid w:val="007D1690"/>
    <w:rsid w:val="007E22AD"/>
    <w:rsid w:val="007F22AB"/>
    <w:rsid w:val="00817416"/>
    <w:rsid w:val="00842779"/>
    <w:rsid w:val="00865F67"/>
    <w:rsid w:val="00881A7B"/>
    <w:rsid w:val="008840E5"/>
    <w:rsid w:val="00887B3E"/>
    <w:rsid w:val="008C2AC6"/>
    <w:rsid w:val="008C7C22"/>
    <w:rsid w:val="00930C23"/>
    <w:rsid w:val="0093193B"/>
    <w:rsid w:val="009509D8"/>
    <w:rsid w:val="00950B64"/>
    <w:rsid w:val="00981893"/>
    <w:rsid w:val="009A06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15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B29"/>
    <w:rsid w:val="00F5134D"/>
    <w:rsid w:val="00F612B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22FB7"/>
  <w15:chartTrackingRefBased/>
  <w15:docId w15:val="{7EBEE207-80B3-40FE-94A9-57F1584C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F22A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2A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2A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2A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2A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2A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2AB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7F22AB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7F22AB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7F22A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F22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F22AB"/>
    <w:pPr>
      <w:spacing w:before="480" w:after="240"/>
    </w:pPr>
  </w:style>
  <w:style w:type="paragraph" w:customStyle="1" w:styleId="TOCPage">
    <w:name w:val="TOC Page"/>
    <w:basedOn w:val="Normal"/>
    <w:next w:val="TOC1"/>
    <w:rsid w:val="007F22A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F22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F22AB"/>
    <w:rPr>
      <w:b/>
    </w:rPr>
  </w:style>
  <w:style w:type="paragraph" w:customStyle="1" w:styleId="NormalBold12a">
    <w:name w:val="NormalBold12a"/>
    <w:basedOn w:val="Normal"/>
    <w:rsid w:val="007F22A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F22A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F22AB"/>
    <w:pPr>
      <w:spacing w:after="480"/>
      <w:ind w:left="1417"/>
    </w:pPr>
  </w:style>
  <w:style w:type="paragraph" w:customStyle="1" w:styleId="CoverNormal">
    <w:name w:val="CoverNormal"/>
    <w:basedOn w:val="Normal"/>
    <w:rsid w:val="007F22AB"/>
    <w:pPr>
      <w:ind w:left="1418"/>
    </w:pPr>
  </w:style>
  <w:style w:type="paragraph" w:customStyle="1" w:styleId="NormalCenter12a">
    <w:name w:val="NormalCenter12a"/>
    <w:basedOn w:val="Normal"/>
    <w:rsid w:val="007F22AB"/>
    <w:pPr>
      <w:spacing w:after="240"/>
      <w:jc w:val="center"/>
    </w:pPr>
  </w:style>
  <w:style w:type="paragraph" w:customStyle="1" w:styleId="CoverReference">
    <w:name w:val="CoverReference"/>
    <w:basedOn w:val="Normal"/>
    <w:rsid w:val="007F22A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F22A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F22A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F22A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F22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2AB"/>
    <w:rPr>
      <w:sz w:val="24"/>
      <w:lang w:val="bg-BG"/>
    </w:rPr>
  </w:style>
  <w:style w:type="paragraph" w:customStyle="1" w:styleId="AmNumberTabs">
    <w:name w:val="AmNumberTabs"/>
    <w:basedOn w:val="Normal"/>
    <w:rsid w:val="007F22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F22AB"/>
    <w:pPr>
      <w:spacing w:before="720" w:after="240"/>
      <w:jc w:val="center"/>
    </w:pPr>
  </w:style>
  <w:style w:type="paragraph" w:customStyle="1" w:styleId="EPBody">
    <w:name w:val="EPBody"/>
    <w:basedOn w:val="Normal"/>
    <w:rsid w:val="007F22A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F22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F22A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F22A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F22AB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F22AB"/>
    <w:rPr>
      <w:b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7F22AB"/>
  </w:style>
  <w:style w:type="paragraph" w:styleId="ListBullet4">
    <w:name w:val="List Bullet 4"/>
    <w:basedOn w:val="Normal"/>
    <w:rsid w:val="007F22AB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7F22AB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F22AB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F22AB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F22AB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F22AB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F22AB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F22AB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F22AB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7F22AB"/>
    <w:pPr>
      <w:spacing w:before="120" w:after="120"/>
      <w:jc w:val="both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F22AB"/>
    <w:rPr>
      <w:color w:val="0000FF"/>
      <w:u w:val="single"/>
    </w:rPr>
  </w:style>
  <w:style w:type="paragraph" w:styleId="ListBullet">
    <w:name w:val="List Bullet"/>
    <w:basedOn w:val="Normal"/>
    <w:qFormat/>
    <w:rsid w:val="007F22AB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7F22AB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7F22AB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7F22AB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7F22AB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7F22AB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7F22AB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F22AB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F22AB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F22AB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F22AB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F22AB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F22AB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F22AB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F22AB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F22AB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F22AB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F22AB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F22AB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F22AB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F22AB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F22A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F22A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F22A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F22A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F22AB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7F22A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F22A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F22A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F22A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F22A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F22A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F22AB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7F22A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F22AB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2A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F2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F22AB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rsid w:val="007F22AB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22AB"/>
    <w:rPr>
      <w:rFonts w:ascii="Tahoma" w:hAnsi="Tahoma" w:cs="Tahoma"/>
      <w:sz w:val="16"/>
      <w:szCs w:val="16"/>
      <w:lang w:val="bg-BG"/>
    </w:rPr>
  </w:style>
  <w:style w:type="paragraph" w:styleId="Caption">
    <w:name w:val="caption"/>
    <w:basedOn w:val="Normal"/>
    <w:next w:val="Normal"/>
    <w:qFormat/>
    <w:rsid w:val="007F22AB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7F22AB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7F22AB"/>
    <w:rPr>
      <w:vanish/>
      <w:color w:val="800080"/>
      <w:vertAlign w:val="subscript"/>
    </w:rPr>
  </w:style>
  <w:style w:type="character" w:styleId="FollowedHyperlink">
    <w:name w:val="FollowedHyperlink"/>
    <w:rsid w:val="007F22AB"/>
    <w:rPr>
      <w:color w:val="800080"/>
      <w:u w:val="single"/>
    </w:rPr>
  </w:style>
  <w:style w:type="paragraph" w:customStyle="1" w:styleId="Sous-titreobjet">
    <w:name w:val="Sous-titre objet"/>
    <w:basedOn w:val="Normal"/>
    <w:rsid w:val="007F22A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F22AB"/>
  </w:style>
  <w:style w:type="paragraph" w:styleId="Revision">
    <w:name w:val="Revision"/>
    <w:hidden/>
    <w:uiPriority w:val="99"/>
    <w:semiHidden/>
    <w:rsid w:val="007F22AB"/>
    <w:pPr>
      <w:spacing w:after="200" w:line="276" w:lineRule="auto"/>
    </w:pPr>
    <w:rPr>
      <w:rFonts w:ascii="Calibri" w:eastAsia="Calibri" w:hAnsi="Calibri"/>
      <w:sz w:val="24"/>
      <w:szCs w:val="22"/>
      <w:lang w:val="bg-BG"/>
    </w:rPr>
  </w:style>
  <w:style w:type="paragraph" w:customStyle="1" w:styleId="FooterCoverPage">
    <w:name w:val="Footer Cover Page"/>
    <w:basedOn w:val="Normal"/>
    <w:link w:val="FooterCoverPageChar"/>
    <w:rsid w:val="007F22A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7F22AB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link w:val="FooterCoverPage"/>
    <w:rsid w:val="007F22AB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7F22A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F22AB"/>
    <w:rPr>
      <w:rFonts w:eastAsia="Calibri"/>
      <w:sz w:val="24"/>
      <w:szCs w:val="22"/>
      <w:lang w:val="bg-BG"/>
    </w:rPr>
  </w:style>
  <w:style w:type="paragraph" w:customStyle="1" w:styleId="Body">
    <w:name w:val="Body"/>
    <w:rsid w:val="007F22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7F22AB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7F22AB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bg-BG" w:eastAsia="en-IE"/>
    </w:rPr>
  </w:style>
  <w:style w:type="numbering" w:customStyle="1" w:styleId="ImportedStyle1">
    <w:name w:val="Imported Style 1"/>
    <w:rsid w:val="007F22AB"/>
    <w:pPr>
      <w:numPr>
        <w:numId w:val="18"/>
      </w:numPr>
    </w:pPr>
  </w:style>
  <w:style w:type="paragraph" w:customStyle="1" w:styleId="Default">
    <w:name w:val="Default"/>
    <w:rsid w:val="007F22AB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7F22AB"/>
    <w:pPr>
      <w:numPr>
        <w:numId w:val="19"/>
      </w:numPr>
    </w:pPr>
  </w:style>
  <w:style w:type="numbering" w:customStyle="1" w:styleId="ImportedStyle3">
    <w:name w:val="Imported Style 3"/>
    <w:rsid w:val="007F22AB"/>
    <w:pPr>
      <w:numPr>
        <w:numId w:val="20"/>
      </w:numPr>
    </w:pPr>
  </w:style>
  <w:style w:type="numbering" w:customStyle="1" w:styleId="ImportedStyle4">
    <w:name w:val="Imported Style 4"/>
    <w:rsid w:val="007F22AB"/>
    <w:pPr>
      <w:numPr>
        <w:numId w:val="21"/>
      </w:numPr>
    </w:pPr>
  </w:style>
  <w:style w:type="numbering" w:customStyle="1" w:styleId="ImportedStyle5">
    <w:name w:val="Imported Style 5"/>
    <w:rsid w:val="007F22AB"/>
    <w:pPr>
      <w:numPr>
        <w:numId w:val="22"/>
      </w:numPr>
    </w:pPr>
  </w:style>
  <w:style w:type="numbering" w:customStyle="1" w:styleId="ImportedStyle6">
    <w:name w:val="Imported Style 6"/>
    <w:rsid w:val="007F22AB"/>
    <w:pPr>
      <w:numPr>
        <w:numId w:val="23"/>
      </w:numPr>
    </w:pPr>
  </w:style>
  <w:style w:type="numbering" w:customStyle="1" w:styleId="ImportedStyle7">
    <w:name w:val="Imported Style 7"/>
    <w:rsid w:val="007F22AB"/>
    <w:pPr>
      <w:numPr>
        <w:numId w:val="24"/>
      </w:numPr>
    </w:pPr>
  </w:style>
  <w:style w:type="numbering" w:customStyle="1" w:styleId="ImportedStyle8">
    <w:name w:val="Imported Style 8"/>
    <w:rsid w:val="007F22AB"/>
    <w:pPr>
      <w:numPr>
        <w:numId w:val="25"/>
      </w:numPr>
    </w:pPr>
  </w:style>
  <w:style w:type="numbering" w:customStyle="1" w:styleId="ImportedStyle9">
    <w:name w:val="Imported Style 9"/>
    <w:rsid w:val="007F22AB"/>
    <w:pPr>
      <w:numPr>
        <w:numId w:val="26"/>
      </w:numPr>
    </w:pPr>
  </w:style>
  <w:style w:type="numbering" w:customStyle="1" w:styleId="ImportedStyle10">
    <w:name w:val="Imported Style 10"/>
    <w:rsid w:val="007F22AB"/>
    <w:pPr>
      <w:numPr>
        <w:numId w:val="27"/>
      </w:numPr>
    </w:pPr>
  </w:style>
  <w:style w:type="numbering" w:customStyle="1" w:styleId="ImportedStyle11">
    <w:name w:val="Imported Style 11"/>
    <w:rsid w:val="007F22AB"/>
    <w:pPr>
      <w:numPr>
        <w:numId w:val="28"/>
      </w:numPr>
    </w:pPr>
  </w:style>
  <w:style w:type="numbering" w:customStyle="1" w:styleId="ImportedStyle12">
    <w:name w:val="Imported Style 12"/>
    <w:rsid w:val="007F22AB"/>
    <w:pPr>
      <w:numPr>
        <w:numId w:val="29"/>
      </w:numPr>
    </w:pPr>
  </w:style>
  <w:style w:type="numbering" w:customStyle="1" w:styleId="ImportedStyle13">
    <w:name w:val="Imported Style 13"/>
    <w:rsid w:val="007F22AB"/>
    <w:pPr>
      <w:numPr>
        <w:numId w:val="30"/>
      </w:numPr>
    </w:pPr>
  </w:style>
  <w:style w:type="numbering" w:customStyle="1" w:styleId="ImportedStyle14">
    <w:name w:val="Imported Style 14"/>
    <w:rsid w:val="007F22AB"/>
    <w:pPr>
      <w:numPr>
        <w:numId w:val="31"/>
      </w:numPr>
    </w:pPr>
  </w:style>
  <w:style w:type="numbering" w:customStyle="1" w:styleId="ImportedStyle15">
    <w:name w:val="Imported Style 15"/>
    <w:rsid w:val="007F22AB"/>
    <w:pPr>
      <w:numPr>
        <w:numId w:val="32"/>
      </w:numPr>
    </w:pPr>
  </w:style>
  <w:style w:type="numbering" w:customStyle="1" w:styleId="ImportedStyle16">
    <w:name w:val="Imported Style 16"/>
    <w:rsid w:val="007F22AB"/>
    <w:pPr>
      <w:numPr>
        <w:numId w:val="33"/>
      </w:numPr>
    </w:pPr>
  </w:style>
  <w:style w:type="numbering" w:customStyle="1" w:styleId="ImportedStyle17">
    <w:name w:val="Imported Style 17"/>
    <w:rsid w:val="007F22AB"/>
    <w:pPr>
      <w:numPr>
        <w:numId w:val="34"/>
      </w:numPr>
    </w:pPr>
  </w:style>
  <w:style w:type="numbering" w:customStyle="1" w:styleId="ImportedStyle18">
    <w:name w:val="Imported Style 18"/>
    <w:rsid w:val="007F22AB"/>
    <w:pPr>
      <w:numPr>
        <w:numId w:val="35"/>
      </w:numPr>
    </w:pPr>
  </w:style>
  <w:style w:type="numbering" w:customStyle="1" w:styleId="ImportedStyle19">
    <w:name w:val="Imported Style 19"/>
    <w:rsid w:val="007F22AB"/>
    <w:pPr>
      <w:numPr>
        <w:numId w:val="36"/>
      </w:numPr>
    </w:pPr>
  </w:style>
  <w:style w:type="numbering" w:customStyle="1" w:styleId="ImportedStyle20">
    <w:name w:val="Imported Style 20"/>
    <w:rsid w:val="007F22AB"/>
    <w:pPr>
      <w:numPr>
        <w:numId w:val="37"/>
      </w:numPr>
    </w:pPr>
  </w:style>
  <w:style w:type="numbering" w:customStyle="1" w:styleId="ImportedStyle21">
    <w:name w:val="Imported Style 21"/>
    <w:rsid w:val="007F22AB"/>
    <w:pPr>
      <w:numPr>
        <w:numId w:val="38"/>
      </w:numPr>
    </w:pPr>
  </w:style>
  <w:style w:type="numbering" w:customStyle="1" w:styleId="ImportedStyle22">
    <w:name w:val="Imported Style 22"/>
    <w:rsid w:val="007F22AB"/>
    <w:pPr>
      <w:numPr>
        <w:numId w:val="39"/>
      </w:numPr>
    </w:pPr>
  </w:style>
  <w:style w:type="paragraph" w:customStyle="1" w:styleId="CM4">
    <w:name w:val="CM4"/>
    <w:next w:val="Default"/>
    <w:rsid w:val="007F22A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bg-BG" w:eastAsia="en-IE"/>
    </w:rPr>
  </w:style>
  <w:style w:type="numbering" w:customStyle="1" w:styleId="ImportedStyle23">
    <w:name w:val="Imported Style 23"/>
    <w:rsid w:val="007F22AB"/>
    <w:pPr>
      <w:numPr>
        <w:numId w:val="40"/>
      </w:numPr>
    </w:pPr>
  </w:style>
  <w:style w:type="numbering" w:customStyle="1" w:styleId="ImportedStyle24">
    <w:name w:val="Imported Style 24"/>
    <w:rsid w:val="007F22AB"/>
    <w:pPr>
      <w:numPr>
        <w:numId w:val="41"/>
      </w:numPr>
    </w:pPr>
  </w:style>
  <w:style w:type="numbering" w:customStyle="1" w:styleId="ImportedStyle25">
    <w:name w:val="Imported Style 25"/>
    <w:rsid w:val="007F22AB"/>
    <w:pPr>
      <w:numPr>
        <w:numId w:val="42"/>
      </w:numPr>
    </w:pPr>
  </w:style>
  <w:style w:type="numbering" w:customStyle="1" w:styleId="ImportedStyle26">
    <w:name w:val="Imported Style 26"/>
    <w:rsid w:val="007F22AB"/>
    <w:pPr>
      <w:numPr>
        <w:numId w:val="43"/>
      </w:numPr>
    </w:pPr>
  </w:style>
  <w:style w:type="numbering" w:customStyle="1" w:styleId="ImportedStyle27">
    <w:name w:val="Imported Style 27"/>
    <w:rsid w:val="007F22AB"/>
    <w:pPr>
      <w:numPr>
        <w:numId w:val="44"/>
      </w:numPr>
    </w:pPr>
  </w:style>
  <w:style w:type="numbering" w:customStyle="1" w:styleId="ImportedStyle28">
    <w:name w:val="Imported Style 28"/>
    <w:rsid w:val="007F22AB"/>
    <w:pPr>
      <w:numPr>
        <w:numId w:val="45"/>
      </w:numPr>
    </w:pPr>
  </w:style>
  <w:style w:type="numbering" w:customStyle="1" w:styleId="ImportedStyle29">
    <w:name w:val="Imported Style 29"/>
    <w:rsid w:val="007F22AB"/>
    <w:pPr>
      <w:numPr>
        <w:numId w:val="82"/>
      </w:numPr>
    </w:pPr>
  </w:style>
  <w:style w:type="numbering" w:customStyle="1" w:styleId="ImportedStyle30">
    <w:name w:val="Imported Style 30"/>
    <w:rsid w:val="007F22AB"/>
    <w:pPr>
      <w:numPr>
        <w:numId w:val="79"/>
      </w:numPr>
    </w:pPr>
  </w:style>
  <w:style w:type="numbering" w:customStyle="1" w:styleId="ImportedStyle31">
    <w:name w:val="Imported Style 31"/>
    <w:rsid w:val="007F22AB"/>
    <w:pPr>
      <w:numPr>
        <w:numId w:val="80"/>
      </w:numPr>
    </w:pPr>
  </w:style>
  <w:style w:type="numbering" w:customStyle="1" w:styleId="ImportedStyle32">
    <w:name w:val="Imported Style 32"/>
    <w:rsid w:val="007F22AB"/>
    <w:pPr>
      <w:numPr>
        <w:numId w:val="76"/>
      </w:numPr>
    </w:pPr>
  </w:style>
  <w:style w:type="numbering" w:customStyle="1" w:styleId="ImportedStyle33">
    <w:name w:val="Imported Style 33"/>
    <w:rsid w:val="007F22AB"/>
    <w:pPr>
      <w:numPr>
        <w:numId w:val="46"/>
      </w:numPr>
    </w:pPr>
  </w:style>
  <w:style w:type="numbering" w:customStyle="1" w:styleId="ImportedStyle34">
    <w:name w:val="Imported Style 34"/>
    <w:rsid w:val="007F22AB"/>
    <w:pPr>
      <w:numPr>
        <w:numId w:val="47"/>
      </w:numPr>
    </w:pPr>
  </w:style>
  <w:style w:type="numbering" w:customStyle="1" w:styleId="ImportedStyle35">
    <w:name w:val="Imported Style 35"/>
    <w:rsid w:val="007F22AB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rsid w:val="007F22AB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bg-BG" w:eastAsia="en-IE"/>
    </w:rPr>
  </w:style>
  <w:style w:type="numbering" w:customStyle="1" w:styleId="ImportedStyle37">
    <w:name w:val="Imported Style 37"/>
    <w:rsid w:val="007F22AB"/>
    <w:pPr>
      <w:numPr>
        <w:numId w:val="49"/>
      </w:numPr>
    </w:pPr>
  </w:style>
  <w:style w:type="numbering" w:customStyle="1" w:styleId="ImportedStyle38">
    <w:name w:val="Imported Style 38"/>
    <w:rsid w:val="007F22AB"/>
    <w:pPr>
      <w:numPr>
        <w:numId w:val="50"/>
      </w:numPr>
    </w:pPr>
  </w:style>
  <w:style w:type="numbering" w:customStyle="1" w:styleId="ImportedStyle39">
    <w:name w:val="Imported Style 39"/>
    <w:rsid w:val="007F22AB"/>
    <w:pPr>
      <w:numPr>
        <w:numId w:val="51"/>
      </w:numPr>
    </w:pPr>
  </w:style>
  <w:style w:type="numbering" w:customStyle="1" w:styleId="ImportedStyle40">
    <w:name w:val="Imported Style 40"/>
    <w:rsid w:val="007F22AB"/>
    <w:pPr>
      <w:numPr>
        <w:numId w:val="77"/>
      </w:numPr>
    </w:pPr>
  </w:style>
  <w:style w:type="numbering" w:customStyle="1" w:styleId="ImportedStyle41">
    <w:name w:val="Imported Style 41"/>
    <w:rsid w:val="007F22AB"/>
    <w:pPr>
      <w:numPr>
        <w:numId w:val="52"/>
      </w:numPr>
    </w:pPr>
  </w:style>
  <w:style w:type="numbering" w:customStyle="1" w:styleId="ImportedStyle42">
    <w:name w:val="Imported Style 42"/>
    <w:rsid w:val="007F22AB"/>
    <w:pPr>
      <w:numPr>
        <w:numId w:val="81"/>
      </w:numPr>
    </w:pPr>
  </w:style>
  <w:style w:type="numbering" w:customStyle="1" w:styleId="ImportedStyle43">
    <w:name w:val="Imported Style 43"/>
    <w:rsid w:val="007F22AB"/>
    <w:pPr>
      <w:numPr>
        <w:numId w:val="53"/>
      </w:numPr>
    </w:pPr>
  </w:style>
  <w:style w:type="numbering" w:customStyle="1" w:styleId="ImportedStyle44">
    <w:name w:val="Imported Style 44"/>
    <w:rsid w:val="007F22AB"/>
  </w:style>
  <w:style w:type="numbering" w:customStyle="1" w:styleId="ImportedStyle45">
    <w:name w:val="Imported Style 45"/>
    <w:rsid w:val="007F22AB"/>
    <w:pPr>
      <w:numPr>
        <w:numId w:val="66"/>
      </w:numPr>
    </w:pPr>
  </w:style>
  <w:style w:type="numbering" w:customStyle="1" w:styleId="ImportedStyle46">
    <w:name w:val="Imported Style 46"/>
    <w:rsid w:val="007F22AB"/>
    <w:pPr>
      <w:numPr>
        <w:numId w:val="55"/>
      </w:numPr>
    </w:pPr>
  </w:style>
  <w:style w:type="numbering" w:customStyle="1" w:styleId="ImportedStyle47">
    <w:name w:val="Imported Style 47"/>
    <w:rsid w:val="007F22AB"/>
    <w:pPr>
      <w:numPr>
        <w:numId w:val="67"/>
      </w:numPr>
    </w:pPr>
  </w:style>
  <w:style w:type="numbering" w:customStyle="1" w:styleId="ImportedStyle48">
    <w:name w:val="Imported Style 48"/>
    <w:rsid w:val="007F22AB"/>
    <w:pPr>
      <w:numPr>
        <w:numId w:val="56"/>
      </w:numPr>
    </w:pPr>
  </w:style>
  <w:style w:type="numbering" w:customStyle="1" w:styleId="ImportedStyle36">
    <w:name w:val="Imported Style 36"/>
    <w:rsid w:val="007F22AB"/>
    <w:pPr>
      <w:numPr>
        <w:numId w:val="68"/>
      </w:numPr>
    </w:pPr>
  </w:style>
  <w:style w:type="numbering" w:customStyle="1" w:styleId="ImportedStyle49">
    <w:name w:val="Imported Style 49"/>
    <w:rsid w:val="007F22AB"/>
  </w:style>
  <w:style w:type="numbering" w:customStyle="1" w:styleId="ImportedStyle50">
    <w:name w:val="Imported Style 50"/>
    <w:rsid w:val="007F22AB"/>
  </w:style>
  <w:style w:type="numbering" w:customStyle="1" w:styleId="ImportedStyle51">
    <w:name w:val="Imported Style 51"/>
    <w:rsid w:val="007F22AB"/>
    <w:pPr>
      <w:numPr>
        <w:numId w:val="57"/>
      </w:numPr>
    </w:pPr>
  </w:style>
  <w:style w:type="numbering" w:customStyle="1" w:styleId="ImportedStyle52">
    <w:name w:val="Imported Style 52"/>
    <w:rsid w:val="007F22AB"/>
    <w:pPr>
      <w:numPr>
        <w:numId w:val="58"/>
      </w:numPr>
    </w:pPr>
  </w:style>
  <w:style w:type="numbering" w:customStyle="1" w:styleId="ImportedStyle53">
    <w:name w:val="Imported Style 53"/>
    <w:rsid w:val="007F22AB"/>
    <w:pPr>
      <w:numPr>
        <w:numId w:val="59"/>
      </w:numPr>
    </w:pPr>
  </w:style>
  <w:style w:type="numbering" w:customStyle="1" w:styleId="ImportedStyle54">
    <w:name w:val="Imported Style 54"/>
    <w:rsid w:val="007F22AB"/>
    <w:pPr>
      <w:numPr>
        <w:numId w:val="78"/>
      </w:numPr>
    </w:pPr>
  </w:style>
  <w:style w:type="numbering" w:customStyle="1" w:styleId="ImportedStyle55">
    <w:name w:val="Imported Style 55"/>
    <w:rsid w:val="007F22AB"/>
    <w:pPr>
      <w:numPr>
        <w:numId w:val="60"/>
      </w:numPr>
    </w:pPr>
  </w:style>
  <w:style w:type="numbering" w:customStyle="1" w:styleId="ImportedStyle56">
    <w:name w:val="Imported Style 56"/>
    <w:rsid w:val="007F22AB"/>
    <w:pPr>
      <w:numPr>
        <w:numId w:val="61"/>
      </w:numPr>
    </w:pPr>
  </w:style>
  <w:style w:type="numbering" w:customStyle="1" w:styleId="ImportedStyle57">
    <w:name w:val="Imported Style 57"/>
    <w:rsid w:val="007F22AB"/>
    <w:pPr>
      <w:numPr>
        <w:numId w:val="62"/>
      </w:numPr>
    </w:pPr>
  </w:style>
  <w:style w:type="numbering" w:customStyle="1" w:styleId="ImportedStyle58">
    <w:name w:val="Imported Style 58"/>
    <w:rsid w:val="007F22AB"/>
    <w:pPr>
      <w:numPr>
        <w:numId w:val="63"/>
      </w:numPr>
    </w:pPr>
  </w:style>
  <w:style w:type="numbering" w:customStyle="1" w:styleId="ImportedStyle59">
    <w:name w:val="Imported Style 59"/>
    <w:rsid w:val="007F22AB"/>
    <w:pPr>
      <w:numPr>
        <w:numId w:val="64"/>
      </w:numPr>
    </w:pPr>
  </w:style>
  <w:style w:type="numbering" w:customStyle="1" w:styleId="ImportedStyle60">
    <w:name w:val="Imported Style 60"/>
    <w:rsid w:val="007F22AB"/>
    <w:pPr>
      <w:numPr>
        <w:numId w:val="54"/>
      </w:numPr>
    </w:pPr>
  </w:style>
  <w:style w:type="numbering" w:customStyle="1" w:styleId="ImportedStyle61">
    <w:name w:val="Imported Style 61"/>
    <w:rsid w:val="007F22AB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7F22AB"/>
    <w:rPr>
      <w:color w:val="000000"/>
      <w:sz w:val="24"/>
      <w:szCs w:val="24"/>
      <w:u w:color="000000"/>
      <w:bdr w:val="nil"/>
      <w:lang w:val="bg-BG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7F22AB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F22AB"/>
    <w:rPr>
      <w:rFonts w:eastAsia="Calibri"/>
      <w:lang w:val="bg-BG"/>
    </w:rPr>
  </w:style>
  <w:style w:type="character" w:styleId="EndnoteReference">
    <w:name w:val="endnote reference"/>
    <w:basedOn w:val="DefaultParagraphFont"/>
    <w:uiPriority w:val="99"/>
    <w:unhideWhenUsed/>
    <w:rsid w:val="007F22AB"/>
    <w:rPr>
      <w:vertAlign w:val="superscript"/>
    </w:rPr>
  </w:style>
  <w:style w:type="paragraph" w:customStyle="1" w:styleId="Style1">
    <w:name w:val="Style1"/>
    <w:basedOn w:val="Text1"/>
    <w:qFormat/>
    <w:rsid w:val="007F22AB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7F22AB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7F22AB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7F22AB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7F22AB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7F22AB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7F22AB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7F22AB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7F22AB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bg-BG" w:eastAsia="en-US"/>
    </w:rPr>
  </w:style>
  <w:style w:type="paragraph" w:customStyle="1" w:styleId="CM1">
    <w:name w:val="CM1"/>
    <w:basedOn w:val="Default"/>
    <w:next w:val="Default"/>
    <w:uiPriority w:val="99"/>
    <w:rsid w:val="007F22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7F22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7F22AB"/>
    <w:rPr>
      <w:i/>
      <w:iCs/>
    </w:rPr>
  </w:style>
  <w:style w:type="paragraph" w:customStyle="1" w:styleId="Tetxt1">
    <w:name w:val="Tetxt 1"/>
    <w:basedOn w:val="Normal"/>
    <w:rsid w:val="007F22AB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7F22AB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7F22AB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7F22AB"/>
  </w:style>
  <w:style w:type="paragraph" w:customStyle="1" w:styleId="Numbpar">
    <w:name w:val="Numb par"/>
    <w:basedOn w:val="ManualNumbpar"/>
    <w:rsid w:val="007F22AB"/>
  </w:style>
  <w:style w:type="paragraph" w:customStyle="1" w:styleId="Numbpar1">
    <w:name w:val="Numb par 1"/>
    <w:basedOn w:val="ManualNumbpar"/>
    <w:rsid w:val="007F22AB"/>
  </w:style>
  <w:style w:type="paragraph" w:customStyle="1" w:styleId="Point1letter0">
    <w:name w:val="Point 1 letter"/>
    <w:basedOn w:val="NormalWeb"/>
    <w:rsid w:val="007F22AB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7F22AB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7F22AB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F22AB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F22A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F22A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7F22AB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7F22AB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F22AB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F22AB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F22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F22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F22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F22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F22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F22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7F22A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F22AB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F22AB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F22AB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F22A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F22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F22A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F22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F22AB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F22A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F22AB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F22AB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F22AB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F22A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F22AB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F22A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F22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F22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F22A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F22A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F22AB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7F22AB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7F22AB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7F22AB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7F22AB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7F22A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F22A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F22A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F22A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F22A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F22A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F22A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F22A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F22A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F22A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F22AB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F22AB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F22AB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F22AB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F22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F22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F22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F22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F22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F22A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F22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F22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F22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F22A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F22A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F22A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7F22A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F22A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F22A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F22AB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F22AB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F22AB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F22AB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F22AB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F22AB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F22AB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F22AB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F22AB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F22AB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F22AB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F22AB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F22AB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F22AB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F22A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F22A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F22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F22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F22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F22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F22A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F22A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F22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F22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F22A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F22A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F22A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F22A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F22AB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F22A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F22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F22A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F22A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F22A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F22A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F22A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F22A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F22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F22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F22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F22A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F22A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F22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7F22A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F22A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F22A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F22A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F22A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F22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7F22A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F22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F22A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F22AB"/>
  </w:style>
  <w:style w:type="paragraph" w:customStyle="1" w:styleId="StatutPagedecouverture">
    <w:name w:val="Statut (Page de couverture)"/>
    <w:basedOn w:val="Statut"/>
    <w:next w:val="TypedudocumentPagedecouverture"/>
    <w:rsid w:val="007F22AB"/>
  </w:style>
  <w:style w:type="paragraph" w:customStyle="1" w:styleId="TitreobjetPagedecouverture">
    <w:name w:val="Titre objet (Page de couverture)"/>
    <w:basedOn w:val="Titreobjet"/>
    <w:next w:val="IntrtEEEPagedecouverture"/>
    <w:rsid w:val="007F22A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F22AB"/>
  </w:style>
  <w:style w:type="paragraph" w:customStyle="1" w:styleId="Volume">
    <w:name w:val="Volume"/>
    <w:basedOn w:val="Normal"/>
    <w:next w:val="Confidentialit"/>
    <w:rsid w:val="007F22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F22AB"/>
    <w:pPr>
      <w:spacing w:after="240"/>
    </w:pPr>
  </w:style>
  <w:style w:type="paragraph" w:customStyle="1" w:styleId="Accompagnant">
    <w:name w:val="Accompagnant"/>
    <w:basedOn w:val="Normal"/>
    <w:next w:val="Typeacteprincipal"/>
    <w:rsid w:val="007F22A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F22A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F22A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F22AB"/>
  </w:style>
  <w:style w:type="paragraph" w:customStyle="1" w:styleId="AccompagnantPagedecouverture">
    <w:name w:val="Accompagnant (Page de couverture)"/>
    <w:basedOn w:val="Accompagnant"/>
    <w:next w:val="TypeacteprincipalPagedecouverture"/>
    <w:rsid w:val="007F22A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F22AB"/>
  </w:style>
  <w:style w:type="paragraph" w:customStyle="1" w:styleId="ObjetacteprincipalPagedecouverture">
    <w:name w:val="Objet acte principal (Page de couverture)"/>
    <w:basedOn w:val="Objetacteprincipal"/>
    <w:next w:val="Rfrencecroise"/>
    <w:rsid w:val="007F22AB"/>
  </w:style>
  <w:style w:type="paragraph" w:customStyle="1" w:styleId="LanguesfaisantfoiPagedecouverture">
    <w:name w:val="Langues faisant foi (Page de couverture)"/>
    <w:basedOn w:val="Normal"/>
    <w:next w:val="Normal"/>
    <w:rsid w:val="007F22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7F22AB"/>
    <w:pPr>
      <w:spacing w:after="240"/>
    </w:pPr>
  </w:style>
  <w:style w:type="paragraph" w:customStyle="1" w:styleId="Normal6a">
    <w:name w:val="Normal6a"/>
    <w:basedOn w:val="Normal"/>
    <w:rsid w:val="007F22AB"/>
    <w:pPr>
      <w:spacing w:after="120"/>
    </w:pPr>
  </w:style>
  <w:style w:type="paragraph" w:customStyle="1" w:styleId="PageHeadingNotTOC">
    <w:name w:val="PageHeadingNotTOC"/>
    <w:basedOn w:val="Normal"/>
    <w:rsid w:val="007F22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7F22AB"/>
    <w:pPr>
      <w:spacing w:after="240"/>
    </w:pPr>
    <w:rPr>
      <w:i/>
    </w:rPr>
  </w:style>
  <w:style w:type="paragraph" w:customStyle="1" w:styleId="AmCrossRef">
    <w:name w:val="AmCrossRef"/>
    <w:basedOn w:val="Normal"/>
    <w:rsid w:val="007F22A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F22AB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F22A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7F22A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F22AB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7F22AB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7F22AB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F22AB"/>
    <w:pPr>
      <w:spacing w:after="120"/>
    </w:pPr>
  </w:style>
  <w:style w:type="paragraph" w:customStyle="1" w:styleId="Normal12Italic">
    <w:name w:val="Normal12Italic"/>
    <w:basedOn w:val="Normal"/>
    <w:rsid w:val="007F22A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F22A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F22A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F22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F22AB"/>
    <w:pPr>
      <w:jc w:val="right"/>
    </w:pPr>
    <w:rPr>
      <w:lang w:val="bg-BG"/>
    </w:rPr>
  </w:style>
  <w:style w:type="paragraph" w:customStyle="1" w:styleId="RollCallSymbols14pt">
    <w:name w:val="RollCallSymbols14pt"/>
    <w:basedOn w:val="Normal"/>
    <w:rsid w:val="007F22A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F22A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F22A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F22A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F22A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F22AB"/>
    <w:rPr>
      <w:sz w:val="24"/>
      <w:lang w:val="bg-BG"/>
    </w:rPr>
  </w:style>
  <w:style w:type="paragraph" w:customStyle="1" w:styleId="CommitteeAM">
    <w:name w:val="CommitteeAM"/>
    <w:basedOn w:val="Normal"/>
    <w:rsid w:val="007F22A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F22A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F22A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F22AB"/>
    <w:rPr>
      <w:noProof/>
      <w:sz w:val="24"/>
      <w:lang w:val="bg-BG"/>
    </w:rPr>
  </w:style>
  <w:style w:type="paragraph" w:customStyle="1" w:styleId="PELeft">
    <w:name w:val="PELeft"/>
    <w:basedOn w:val="Normal"/>
    <w:rsid w:val="007F22A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F22A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F22AB"/>
    <w:pPr>
      <w:spacing w:before="240"/>
      <w:jc w:val="center"/>
    </w:pPr>
    <w:rPr>
      <w:i/>
    </w:rPr>
  </w:style>
  <w:style w:type="character" w:customStyle="1" w:styleId="Footer2Middle">
    <w:name w:val="Footer2Middle"/>
    <w:rsid w:val="007F22AB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7F22AB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7F22AB"/>
    <w:pPr>
      <w:jc w:val="center"/>
    </w:pPr>
    <w:rPr>
      <w:b/>
      <w:i/>
    </w:rPr>
  </w:style>
  <w:style w:type="paragraph" w:styleId="NoSpacing">
    <w:name w:val="No Spacing"/>
    <w:uiPriority w:val="1"/>
    <w:qFormat/>
    <w:rsid w:val="007F22AB"/>
    <w:pPr>
      <w:widowControl w:val="0"/>
    </w:pPr>
    <w:rPr>
      <w:sz w:val="24"/>
      <w:szCs w:val="24"/>
      <w:lang w:val="bg-BG"/>
    </w:rPr>
  </w:style>
  <w:style w:type="character" w:customStyle="1" w:styleId="SupBoldItalic">
    <w:name w:val="SupBoldItalic"/>
    <w:uiPriority w:val="1"/>
    <w:qFormat/>
    <w:rsid w:val="007F22AB"/>
    <w:rPr>
      <w:b/>
      <w:i/>
      <w:vertAlign w:val="superscript"/>
    </w:rPr>
  </w:style>
  <w:style w:type="paragraph" w:customStyle="1" w:styleId="msonormal0">
    <w:name w:val="msonormal"/>
    <w:basedOn w:val="Normal"/>
    <w:rsid w:val="007F22A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F22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2AB"/>
    <w:rPr>
      <w:sz w:val="24"/>
      <w:lang w:val="bg-BG"/>
    </w:rPr>
  </w:style>
  <w:style w:type="paragraph" w:customStyle="1" w:styleId="AmDocTypeTab">
    <w:name w:val="AmDocTypeTab"/>
    <w:basedOn w:val="Normal"/>
    <w:rsid w:val="000F0B6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F0B69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0F0B6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F0B6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F0B6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F0B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F0B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F0B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F0B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F0B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F0B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F0B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F0B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F0B6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F0B6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F0B69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F0B69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F0B69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F0B69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F0B69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F0B69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F0B69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F0B6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F0B6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0F0B6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F0B6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F0B6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F0B6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F0B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F0B6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F0B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F0B6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F0B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F0B69"/>
    <w:pPr>
      <w:spacing w:before="240"/>
    </w:pPr>
  </w:style>
  <w:style w:type="paragraph" w:customStyle="1" w:styleId="Accordtitre">
    <w:name w:val="Accord titre"/>
    <w:basedOn w:val="Normal"/>
    <w:rsid w:val="000F0B6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F0B6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F0B6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F0B6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F0B6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F0B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F0B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F0B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F0B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F0B6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F0B6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F0B6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F0B6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F0B6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F0B6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F0B6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F0B6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F0B6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F0B6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F0B6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F0B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F0B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F0B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F0B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F0B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F0B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F0B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F0B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F0B6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F0B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F0B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F0B6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0F0B6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F0B6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F0B69"/>
    <w:rPr>
      <w:b/>
      <w:i/>
    </w:rPr>
  </w:style>
  <w:style w:type="character" w:customStyle="1" w:styleId="diff-tte-removed">
    <w:name w:val="diff-tte-removed"/>
    <w:basedOn w:val="DefaultParagraphFont"/>
    <w:rsid w:val="000F0B69"/>
    <w:rPr>
      <w:strike/>
    </w:rPr>
  </w:style>
  <w:style w:type="paragraph" w:customStyle="1" w:styleId="Normal1">
    <w:name w:val="Normal1"/>
    <w:basedOn w:val="Normal"/>
    <w:rsid w:val="000F0B69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0F0B69"/>
  </w:style>
  <w:style w:type="character" w:customStyle="1" w:styleId="lexicoexa">
    <w:name w:val="lexico_exa"/>
    <w:basedOn w:val="DefaultParagraphFont"/>
    <w:rsid w:val="000F0B69"/>
  </w:style>
  <w:style w:type="character" w:customStyle="1" w:styleId="lexicolabelgrp">
    <w:name w:val="lexico_labelgrp"/>
    <w:basedOn w:val="DefaultParagraphFont"/>
    <w:rsid w:val="000F0B6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B6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F0B69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0F0B69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F0B69"/>
    <w:rPr>
      <w:b/>
      <w:bCs/>
    </w:rPr>
  </w:style>
  <w:style w:type="character" w:customStyle="1" w:styleId="multiline">
    <w:name w:val="multiline"/>
    <w:basedOn w:val="DefaultParagraphFont"/>
    <w:rsid w:val="000F0B69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E4E31-4B27-480C-8AC9-2268A992A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2024-09-05T09:58:00Z</dcterms:created>
  <dcterms:modified xsi:type="dcterms:W3CDTF">2024-09-05T09:58:00Z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