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74D9" w14:paraId="651A4E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61DE23" w14:textId="77777777" w:rsidR="00751A4A" w:rsidRPr="003274D9" w:rsidRDefault="007D094C" w:rsidP="0010095E">
            <w:pPr>
              <w:pStyle w:val="EPName"/>
            </w:pPr>
            <w:r w:rsidRPr="003274D9">
              <w:t>Euroopan parlamentti</w:t>
            </w:r>
          </w:p>
          <w:p w14:paraId="5B938FDF" w14:textId="77777777" w:rsidR="00751A4A" w:rsidRPr="003274D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74D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7034FD4" w14:textId="77777777" w:rsidR="00751A4A" w:rsidRPr="003274D9" w:rsidRDefault="00187494" w:rsidP="0010095E">
            <w:pPr>
              <w:pStyle w:val="EPLogo"/>
            </w:pPr>
            <w:r w:rsidRPr="003274D9">
              <w:rPr>
                <w:noProof/>
                <w:lang w:val="en-GB"/>
              </w:rPr>
              <w:drawing>
                <wp:inline distT="0" distB="0" distL="0" distR="0" wp14:anchorId="7B7799A7" wp14:editId="364E92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41B60D" w14:textId="77777777" w:rsidR="00D058B8" w:rsidRPr="003274D9" w:rsidRDefault="00D058B8" w:rsidP="004C5D52">
      <w:pPr>
        <w:pStyle w:val="LineTop"/>
      </w:pPr>
    </w:p>
    <w:p w14:paraId="1CF1E3BF" w14:textId="77777777" w:rsidR="00680577" w:rsidRPr="003274D9" w:rsidRDefault="007D094C" w:rsidP="00680577">
      <w:pPr>
        <w:pStyle w:val="EPBodyTA1"/>
      </w:pPr>
      <w:r w:rsidRPr="003274D9">
        <w:t>HYVÄKSYTYT TEKSTIT</w:t>
      </w:r>
    </w:p>
    <w:p w14:paraId="06BAD3C2" w14:textId="77777777" w:rsidR="00D058B8" w:rsidRPr="003274D9" w:rsidRDefault="00D058B8" w:rsidP="00D058B8">
      <w:pPr>
        <w:pStyle w:val="LineBottom"/>
      </w:pPr>
    </w:p>
    <w:p w14:paraId="485A63E3" w14:textId="4ECB6534" w:rsidR="007D094C" w:rsidRPr="003274D9" w:rsidRDefault="007D094C" w:rsidP="007D094C">
      <w:pPr>
        <w:pStyle w:val="ATHeading1"/>
      </w:pPr>
      <w:bookmarkStart w:id="0" w:name="TANumber"/>
      <w:r w:rsidRPr="003274D9">
        <w:t>P9_</w:t>
      </w:r>
      <w:proofErr w:type="gramStart"/>
      <w:r w:rsidRPr="003274D9">
        <w:t>TA(</w:t>
      </w:r>
      <w:proofErr w:type="gramEnd"/>
      <w:r w:rsidRPr="003274D9">
        <w:t>2024)0</w:t>
      </w:r>
      <w:r w:rsidR="003274D9" w:rsidRPr="003274D9">
        <w:t>366</w:t>
      </w:r>
      <w:bookmarkEnd w:id="0"/>
    </w:p>
    <w:p w14:paraId="4EB6CDF6" w14:textId="77777777" w:rsidR="007D094C" w:rsidRPr="003274D9" w:rsidRDefault="003A7DB6" w:rsidP="007D094C">
      <w:pPr>
        <w:pStyle w:val="ATHeading2"/>
      </w:pPr>
      <w:bookmarkStart w:id="1" w:name="title"/>
      <w:r w:rsidRPr="003274D9">
        <w:rPr>
          <w:bCs/>
        </w:rPr>
        <w:t>Rahanpesun ja terrorismin rahoituksen torjuntaviranomaisen perustaminen</w:t>
      </w:r>
      <w:bookmarkEnd w:id="1"/>
    </w:p>
    <w:p w14:paraId="56082FAE" w14:textId="77777777" w:rsidR="007D094C" w:rsidRPr="003274D9" w:rsidRDefault="007D094C" w:rsidP="007D094C">
      <w:pPr>
        <w:rPr>
          <w:i/>
          <w:vanish/>
        </w:rPr>
      </w:pPr>
      <w:r w:rsidRPr="003274D9">
        <w:rPr>
          <w:i/>
        </w:rPr>
        <w:fldChar w:fldCharType="begin"/>
      </w:r>
      <w:r w:rsidRPr="003274D9">
        <w:rPr>
          <w:i/>
        </w:rPr>
        <w:instrText xml:space="preserve"> TC"(</w:instrText>
      </w:r>
      <w:bookmarkStart w:id="2" w:name="DocNumber"/>
      <w:r w:rsidRPr="003274D9">
        <w:rPr>
          <w:i/>
        </w:rPr>
        <w:instrText>A9-0128/2023</w:instrText>
      </w:r>
      <w:bookmarkEnd w:id="2"/>
      <w:r w:rsidRPr="003274D9">
        <w:rPr>
          <w:i/>
        </w:rPr>
        <w:instrText xml:space="preserve"> - Esittelijät: Eva Maria Poptcheva, Emil Radev)"\l3 \n&gt; \* MERGEFORMAT </w:instrText>
      </w:r>
      <w:r w:rsidRPr="003274D9">
        <w:rPr>
          <w:i/>
        </w:rPr>
        <w:fldChar w:fldCharType="end"/>
      </w:r>
    </w:p>
    <w:p w14:paraId="131A13D6" w14:textId="77777777" w:rsidR="007D094C" w:rsidRPr="003274D9" w:rsidRDefault="007D094C" w:rsidP="007D094C">
      <w:pPr>
        <w:rPr>
          <w:vanish/>
        </w:rPr>
      </w:pPr>
      <w:bookmarkStart w:id="3" w:name="Commission"/>
      <w:r w:rsidRPr="003274D9">
        <w:rPr>
          <w:vanish/>
        </w:rPr>
        <w:t>Talous</w:t>
      </w:r>
      <w:r w:rsidR="003A7DB6" w:rsidRPr="003274D9">
        <w:rPr>
          <w:vanish/>
        </w:rPr>
        <w:t>- ja raha-asioiden valiokunta, k</w:t>
      </w:r>
      <w:r w:rsidRPr="003274D9">
        <w:rPr>
          <w:vanish/>
        </w:rPr>
        <w:t>ansalaisvapauksien sekä oikeus- ja sisäasioiden valiokunta</w:t>
      </w:r>
      <w:bookmarkEnd w:id="3"/>
    </w:p>
    <w:p w14:paraId="6A77A240" w14:textId="77777777" w:rsidR="007D094C" w:rsidRPr="003274D9" w:rsidRDefault="007D094C" w:rsidP="007D094C">
      <w:pPr>
        <w:rPr>
          <w:vanish/>
        </w:rPr>
      </w:pPr>
      <w:bookmarkStart w:id="4" w:name="PE"/>
      <w:r w:rsidRPr="003274D9">
        <w:rPr>
          <w:vanish/>
        </w:rPr>
        <w:t>PE731.820</w:t>
      </w:r>
      <w:bookmarkEnd w:id="4"/>
    </w:p>
    <w:p w14:paraId="0A986338" w14:textId="77777777" w:rsidR="007D094C" w:rsidRPr="003274D9" w:rsidRDefault="007D094C" w:rsidP="007D094C">
      <w:pPr>
        <w:pStyle w:val="ATHeading3"/>
      </w:pPr>
      <w:bookmarkStart w:id="5" w:name="Sujet"/>
      <w:r w:rsidRPr="003274D9">
        <w:t xml:space="preserve">Euroopan parlamentin lainsäädäntöpäätöslauselma </w:t>
      </w:r>
      <w:r w:rsidR="005B701C" w:rsidRPr="003274D9">
        <w:t>24</w:t>
      </w:r>
      <w:r w:rsidRPr="003274D9">
        <w:t xml:space="preserve">. </w:t>
      </w:r>
      <w:r w:rsidR="005B701C" w:rsidRPr="003274D9">
        <w:t>huhti</w:t>
      </w:r>
      <w:r w:rsidRPr="003274D9">
        <w:t xml:space="preserve">kuuta 2024 ehdotuksesta Euroopan parlamentin ja neuvoston asetukseksi rahanpesun ja terrorismin rahoituksen torjuntaviranomaisen perustamisesta ja asetusten (EU) </w:t>
      </w:r>
      <w:proofErr w:type="gramStart"/>
      <w:r w:rsidRPr="003274D9">
        <w:t>N:o</w:t>
      </w:r>
      <w:proofErr w:type="gramEnd"/>
      <w:r w:rsidRPr="003274D9">
        <w:t> 1093/2010, (EU) N:o 1094/2010 ja (EU) N:o 1095/2010 muuttamisesta</w:t>
      </w:r>
      <w:bookmarkEnd w:id="5"/>
      <w:r w:rsidRPr="003274D9">
        <w:t xml:space="preserve"> </w:t>
      </w:r>
      <w:bookmarkStart w:id="6" w:name="References"/>
      <w:r w:rsidRPr="003274D9">
        <w:t>(COM(2021)0421 – C9-0340/2021 – 2021/0240(COD))</w:t>
      </w:r>
      <w:bookmarkEnd w:id="6"/>
    </w:p>
    <w:p w14:paraId="4491ADBA" w14:textId="77777777" w:rsidR="002916DC" w:rsidRPr="003274D9" w:rsidRDefault="002916DC" w:rsidP="002916DC">
      <w:pPr>
        <w:pStyle w:val="NormalBold"/>
      </w:pPr>
      <w:bookmarkStart w:id="7" w:name="TextBodyBegin"/>
      <w:bookmarkEnd w:id="7"/>
      <w:r w:rsidRPr="003274D9">
        <w:t>(Tavallinen lainsäätämisjärjestys: ensimmäinen käsittely)</w:t>
      </w:r>
    </w:p>
    <w:p w14:paraId="23C28C58" w14:textId="77777777" w:rsidR="002916DC" w:rsidRPr="003274D9" w:rsidRDefault="002916DC" w:rsidP="00A917B3">
      <w:pPr>
        <w:pStyle w:val="EPComma"/>
        <w:widowControl/>
      </w:pPr>
      <w:r w:rsidRPr="003274D9">
        <w:rPr>
          <w:i/>
          <w:iCs/>
        </w:rPr>
        <w:t>Euroopan parlamentti</w:t>
      </w:r>
      <w:r w:rsidRPr="003274D9">
        <w:t>, joka</w:t>
      </w:r>
    </w:p>
    <w:p w14:paraId="798EC24A" w14:textId="77777777" w:rsidR="002916DC" w:rsidRPr="003274D9" w:rsidRDefault="002916DC" w:rsidP="00A917B3">
      <w:pPr>
        <w:pStyle w:val="NormalHanging12a"/>
        <w:widowControl/>
      </w:pPr>
      <w:r w:rsidRPr="003274D9">
        <w:t>–</w:t>
      </w:r>
      <w:r w:rsidRPr="003274D9">
        <w:tab/>
        <w:t>ottaa huomioon komission ehdotuksen Euroopan parlamentille ja neuvostolle (</w:t>
      </w:r>
      <w:proofErr w:type="gramStart"/>
      <w:r w:rsidRPr="003274D9">
        <w:t>COM(</w:t>
      </w:r>
      <w:proofErr w:type="gramEnd"/>
      <w:r w:rsidRPr="003274D9">
        <w:t>2021)0421),</w:t>
      </w:r>
    </w:p>
    <w:p w14:paraId="74C0852B" w14:textId="77777777" w:rsidR="002916DC" w:rsidRPr="003274D9" w:rsidRDefault="002916DC" w:rsidP="00A917B3">
      <w:pPr>
        <w:pStyle w:val="NormalHanging12a"/>
        <w:widowControl/>
      </w:pPr>
      <w:r w:rsidRPr="003274D9">
        <w:t>–</w:t>
      </w:r>
      <w:r w:rsidRPr="003274D9">
        <w:tab/>
        <w:t>ottaa huomioon Euroopan unionin toiminnasta tehdyn sopimuksen 294 artiklan 2 kohdan ja 114 artiklan, joiden mukaisesti komissio on antanut ehdotuksen Euroopan parlamentille (C9-0340/2021),</w:t>
      </w:r>
    </w:p>
    <w:p w14:paraId="5BD1F09B" w14:textId="7200D399" w:rsidR="002916DC" w:rsidRPr="003274D9" w:rsidRDefault="002916DC" w:rsidP="00A917B3">
      <w:pPr>
        <w:pStyle w:val="NormalHanging12a"/>
        <w:widowControl/>
        <w:rPr>
          <w:szCs w:val="24"/>
        </w:rPr>
      </w:pPr>
      <w:r w:rsidRPr="003274D9">
        <w:t>–</w:t>
      </w:r>
      <w:r w:rsidRPr="003274D9">
        <w:tab/>
        <w:t>ottaa huomioon Euroopan unionin toiminnasta tehdyn sopimuksen 294 artiklan 3 kohdan,</w:t>
      </w:r>
    </w:p>
    <w:p w14:paraId="200850AA" w14:textId="77777777" w:rsidR="002916DC" w:rsidRPr="003274D9" w:rsidRDefault="002916DC" w:rsidP="00A917B3">
      <w:pPr>
        <w:widowControl/>
        <w:spacing w:after="240"/>
        <w:ind w:left="567" w:hanging="567"/>
      </w:pPr>
      <w:r w:rsidRPr="003274D9">
        <w:t>–</w:t>
      </w:r>
      <w:r w:rsidRPr="003274D9">
        <w:tab/>
        <w:t>ottaa huomioon Euroopan talous- ja sosiaalikomitean 8. joulukuuta 2021 antaman lausunnon</w:t>
      </w:r>
      <w:r w:rsidRPr="003274D9">
        <w:rPr>
          <w:vertAlign w:val="superscript"/>
        </w:rPr>
        <w:footnoteReference w:id="1"/>
      </w:r>
      <w:r w:rsidRPr="003274D9">
        <w:t>,</w:t>
      </w:r>
    </w:p>
    <w:p w14:paraId="7A0B41E0" w14:textId="77777777" w:rsidR="005B701C" w:rsidRPr="003274D9" w:rsidRDefault="005B701C" w:rsidP="003274D9">
      <w:pPr>
        <w:widowControl/>
        <w:spacing w:after="240"/>
        <w:ind w:left="567" w:hanging="567"/>
        <w:rPr>
          <w:szCs w:val="24"/>
        </w:rPr>
      </w:pPr>
      <w:r w:rsidRPr="003274D9">
        <w:t>–</w:t>
      </w:r>
      <w:r w:rsidRPr="003274D9">
        <w:tab/>
      </w:r>
      <w:r w:rsidRPr="003274D9">
        <w:rPr>
          <w:szCs w:val="24"/>
        </w:rPr>
        <w:t xml:space="preserve">ottaa huomioon asiasta </w:t>
      </w:r>
      <w:r w:rsidRPr="003274D9">
        <w:t>vastaavien</w:t>
      </w:r>
      <w:r w:rsidRPr="003274D9">
        <w:rPr>
          <w:szCs w:val="24"/>
        </w:rPr>
        <w:t xml:space="preserve"> valiokuntien työjärjestyksen 74 artiklan 4 kohdan mukaisesti hyväksymän alustavan sopimuksen</w:t>
      </w:r>
      <w:r w:rsidRPr="003274D9">
        <w:t xml:space="preserve"> </w:t>
      </w:r>
      <w:r w:rsidRPr="003274D9">
        <w:rPr>
          <w:szCs w:val="24"/>
        </w:rPr>
        <w:t>sekä</w:t>
      </w:r>
      <w:r w:rsidRPr="003274D9">
        <w:t xml:space="preserve"> </w:t>
      </w:r>
      <w:r w:rsidRPr="003274D9">
        <w:rPr>
          <w:szCs w:val="24"/>
        </w:rPr>
        <w:t>neuvoston edustajan 29. helmikuuta 2024 päivätyllä kirjeellä antaman sitoumuksen hyväksyä Euroopan parlamentin kanta Euroopan unionin toiminnasta tehdyn sopimuksen 294 artiklan 4 kohdan mukaisesti,</w:t>
      </w:r>
    </w:p>
    <w:p w14:paraId="05AE9235" w14:textId="0F28F86D" w:rsidR="002916DC" w:rsidRPr="003274D9" w:rsidRDefault="002916DC" w:rsidP="00A917B3">
      <w:pPr>
        <w:pStyle w:val="NormalHanging12a"/>
        <w:widowControl/>
      </w:pPr>
      <w:r w:rsidRPr="003274D9">
        <w:t>–</w:t>
      </w:r>
      <w:r w:rsidRPr="003274D9">
        <w:tab/>
        <w:t>ottaa huomioon työjärjestyksen 59 artiklan,</w:t>
      </w:r>
    </w:p>
    <w:p w14:paraId="31CF3322" w14:textId="147C3B94" w:rsidR="006A4F85" w:rsidRPr="003274D9" w:rsidRDefault="006A4F85" w:rsidP="003274D9">
      <w:pPr>
        <w:widowControl/>
        <w:spacing w:after="240"/>
        <w:ind w:left="567" w:hanging="567"/>
      </w:pPr>
      <w:r w:rsidRPr="003274D9">
        <w:t>–</w:t>
      </w:r>
      <w:r w:rsidRPr="003274D9">
        <w:tab/>
        <w:t xml:space="preserve">ottaa huomioon </w:t>
      </w:r>
      <w:r w:rsidRPr="00770E36">
        <w:t>talous- ja raha-asioiden valiokunnan ja kansalaisvapauksien sekä oikeus- ja sisäasioiden valiokunnan t</w:t>
      </w:r>
      <w:r w:rsidRPr="003274D9">
        <w:t>yöjärjestyksen 58 artiklan mukaisen yhteiskäsittelyn,</w:t>
      </w:r>
    </w:p>
    <w:p w14:paraId="152BBA59" w14:textId="77777777" w:rsidR="002916DC" w:rsidRPr="003274D9" w:rsidRDefault="002916DC" w:rsidP="00A917B3">
      <w:pPr>
        <w:pStyle w:val="NormalHanging12a"/>
        <w:widowControl/>
      </w:pPr>
      <w:r w:rsidRPr="003274D9">
        <w:t>–</w:t>
      </w:r>
      <w:r w:rsidRPr="003274D9">
        <w:tab/>
        <w:t>ottaa huomioon budjettivaliokunnan, talousarvion valvontavaliokunnan ja perussopimus-, työjärjestys- ja toimielinasioiden valiokunnan lausunnot,</w:t>
      </w:r>
    </w:p>
    <w:p w14:paraId="4998998F" w14:textId="77777777" w:rsidR="002916DC" w:rsidRPr="003274D9" w:rsidRDefault="002916DC" w:rsidP="00A917B3">
      <w:pPr>
        <w:pStyle w:val="NormalHanging12a"/>
        <w:widowControl/>
      </w:pPr>
      <w:r w:rsidRPr="003274D9">
        <w:lastRenderedPageBreak/>
        <w:t>–</w:t>
      </w:r>
      <w:r w:rsidRPr="003274D9">
        <w:tab/>
        <w:t>ottaa huomioon talous- ja raha-asioiden valiokunnan ja kansalaisvapauksien sekä oikeus- ja sisäasioiden valiokunnan mietinnön (A9-0128/2023),</w:t>
      </w:r>
    </w:p>
    <w:p w14:paraId="7E47E9BF" w14:textId="77777777" w:rsidR="002916DC" w:rsidRPr="003274D9" w:rsidRDefault="002916DC" w:rsidP="00A917B3">
      <w:pPr>
        <w:pStyle w:val="NormalHanging12a"/>
        <w:widowControl/>
      </w:pPr>
      <w:r w:rsidRPr="003274D9">
        <w:t>1.</w:t>
      </w:r>
      <w:r w:rsidRPr="003274D9">
        <w:tab/>
        <w:t>vahvistaa jäljempänä esitetyn ensimmäisen käsittelyn kannan;</w:t>
      </w:r>
    </w:p>
    <w:p w14:paraId="27DF4CAF" w14:textId="77777777" w:rsidR="002916DC" w:rsidRPr="003274D9" w:rsidRDefault="002916DC" w:rsidP="00A917B3">
      <w:pPr>
        <w:pStyle w:val="NormalHanging12a"/>
        <w:widowControl/>
      </w:pPr>
      <w:r w:rsidRPr="003274D9">
        <w:t>2.</w:t>
      </w:r>
      <w:r w:rsidRPr="003274D9">
        <w:tab/>
        <w:t>pyytää komissiota antamaan asian uudelleen Euroopan parlamentin käsiteltäväksi, jos se korvaa ehdotuksensa, muuttaa sitä huomattavasti tai aikoo muuttaa sitä huomattavasti;</w:t>
      </w:r>
    </w:p>
    <w:p w14:paraId="3C8D98A3" w14:textId="77777777" w:rsidR="002916DC" w:rsidRPr="003274D9" w:rsidRDefault="002916DC" w:rsidP="00A917B3">
      <w:pPr>
        <w:pStyle w:val="NormalHanging12a"/>
        <w:widowControl/>
      </w:pPr>
      <w:r w:rsidRPr="003274D9">
        <w:t>3.</w:t>
      </w:r>
      <w:r w:rsidRPr="003274D9">
        <w:tab/>
        <w:t>kehottaa puhemiestä välittämään parlamentin kannan neuvostolle ja komissiolle sekä kansallisille parlamenteille.</w:t>
      </w:r>
    </w:p>
    <w:p w14:paraId="1F256E7F" w14:textId="77777777" w:rsidR="003A7DB6" w:rsidRPr="003274D9" w:rsidRDefault="003A7DB6" w:rsidP="00A917B3">
      <w:pPr>
        <w:widowControl/>
        <w:sectPr w:rsidR="003A7DB6" w:rsidRPr="003274D9" w:rsidSect="00905267">
          <w:footerReference w:type="even" r:id="rId9"/>
          <w:footerReference w:type="first" r:id="rId10"/>
          <w:footnotePr>
            <w:numRestart w:val="eachPage"/>
          </w:footnote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 w14:paraId="7A0CCA56" w14:textId="77777777" w:rsidR="00B35789" w:rsidRPr="003274D9" w:rsidRDefault="00B35789" w:rsidP="00B3578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274D9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3274D9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3274D9">
        <w:rPr>
          <w:rFonts w:eastAsia="Calibri"/>
          <w:b/>
          <w:bCs/>
          <w:color w:val="000000"/>
          <w:szCs w:val="24"/>
        </w:rPr>
        <w:t>2021)0240</w:t>
      </w:r>
    </w:p>
    <w:p w14:paraId="57BB3B07" w14:textId="3B94BFD9" w:rsidR="00B35789" w:rsidRDefault="00B35789" w:rsidP="00B35789">
      <w:pPr>
        <w:spacing w:after="240"/>
        <w:rPr>
          <w:rFonts w:eastAsia="Calibri"/>
          <w:b/>
          <w:szCs w:val="22"/>
          <w:lang w:eastAsia="en-US"/>
        </w:rPr>
      </w:pPr>
      <w:r w:rsidRPr="003274D9">
        <w:rPr>
          <w:b/>
          <w:szCs w:val="24"/>
        </w:rPr>
        <w:t xml:space="preserve">Euroopan parlamentin kanta, vahvistettu ensimmäisessä käsittelyssä 24. huhtikuuta 2024, Euroopan parlamentin ja neuvoston asetuksen (EU) 2024/… antamiseksi </w:t>
      </w:r>
      <w:r w:rsidRPr="003274D9">
        <w:rPr>
          <w:rFonts w:eastAsia="Calibri"/>
          <w:b/>
          <w:szCs w:val="22"/>
          <w:lang w:eastAsia="en-US"/>
        </w:rPr>
        <w:t xml:space="preserve">rahanpesun ja terrorismin rahoituksen torjuntaviranomaisen perustamisesta ja asetusten (EU) </w:t>
      </w:r>
      <w:proofErr w:type="gramStart"/>
      <w:r w:rsidRPr="003274D9">
        <w:rPr>
          <w:rFonts w:eastAsia="Calibri"/>
          <w:b/>
          <w:szCs w:val="22"/>
          <w:lang w:eastAsia="en-US"/>
        </w:rPr>
        <w:t>N:o</w:t>
      </w:r>
      <w:proofErr w:type="gramEnd"/>
      <w:r w:rsidRPr="003274D9">
        <w:rPr>
          <w:rFonts w:eastAsia="Calibri"/>
          <w:b/>
          <w:szCs w:val="22"/>
          <w:lang w:eastAsia="en-US"/>
        </w:rPr>
        <w:t xml:space="preserve"> 1093/2010, (EU) N:o 1094/20</w:t>
      </w:r>
      <w:bookmarkStart w:id="8" w:name="_GoBack"/>
      <w:bookmarkEnd w:id="8"/>
      <w:r w:rsidRPr="003274D9">
        <w:rPr>
          <w:rFonts w:eastAsia="Calibri"/>
          <w:b/>
          <w:szCs w:val="22"/>
          <w:lang w:eastAsia="en-US"/>
        </w:rPr>
        <w:t>10 ja (EU) N:o 1095/2010 muuttamisesta</w:t>
      </w:r>
    </w:p>
    <w:p w14:paraId="51376B96" w14:textId="3AD0B8D7" w:rsidR="004D6554" w:rsidRDefault="004D6554" w:rsidP="004D6554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1620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4D6554" w:rsidSect="00B35789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footnotePr>
        <w:numRestart w:val="eachPage"/>
      </w:footnotePr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C1601" w14:textId="77777777" w:rsidR="007D094C" w:rsidRPr="00905267" w:rsidRDefault="007D094C">
      <w:r w:rsidRPr="00905267">
        <w:separator/>
      </w:r>
    </w:p>
  </w:endnote>
  <w:endnote w:type="continuationSeparator" w:id="0">
    <w:p w14:paraId="2AA9FC6E" w14:textId="77777777" w:rsidR="007D094C" w:rsidRPr="00905267" w:rsidRDefault="007D094C">
      <w:r w:rsidRPr="009052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C2A10" w14:textId="77777777" w:rsidR="002916DC" w:rsidRPr="00905267" w:rsidRDefault="002916DC" w:rsidP="00EF3594">
    <w:pPr>
      <w:pStyle w:val="EPFooter"/>
    </w:pPr>
    <w:r w:rsidRPr="00905267">
      <w:t>PE</w:t>
    </w:r>
    <w:r w:rsidRPr="00905267">
      <w:rPr>
        <w:rStyle w:val="HideTWBExt"/>
      </w:rPr>
      <w:t>&lt;NoPE&gt;</w:t>
    </w:r>
    <w:r w:rsidRPr="00905267">
      <w:t>731.820</w:t>
    </w:r>
    <w:r w:rsidRPr="00905267">
      <w:rPr>
        <w:rStyle w:val="HideTWBExt"/>
      </w:rPr>
      <w:t>&lt;/NoPE&gt;&lt;Version&gt;</w:t>
    </w:r>
    <w:r w:rsidRPr="00905267">
      <w:t>v02-00</w:t>
    </w:r>
    <w:r w:rsidRPr="00905267">
      <w:rPr>
        <w:rStyle w:val="HideTWBExt"/>
      </w:rPr>
      <w:t>&lt;/Version&gt;</w:t>
    </w:r>
    <w:r w:rsidRPr="00905267">
      <w:tab/>
    </w:r>
    <w:r w:rsidRPr="00905267">
      <w:fldChar w:fldCharType="begin"/>
    </w:r>
    <w:r w:rsidRPr="00905267">
      <w:instrText xml:space="preserve"> PAGE  \* MERGEFORMAT </w:instrText>
    </w:r>
    <w:r w:rsidRPr="00905267">
      <w:fldChar w:fldCharType="separate"/>
    </w:r>
    <w:r w:rsidRPr="00905267">
      <w:rPr>
        <w:noProof/>
      </w:rPr>
      <w:t>132</w:t>
    </w:r>
    <w:r w:rsidRPr="00905267">
      <w:fldChar w:fldCharType="end"/>
    </w:r>
    <w:r w:rsidRPr="00905267">
      <w:t>/</w:t>
    </w:r>
    <w:fldSimple w:instr=" NUMPAGES  \* MERGEFORMAT ">
      <w:r w:rsidRPr="00905267">
        <w:rPr>
          <w:noProof/>
        </w:rPr>
        <w:t>132</w:t>
      </w:r>
    </w:fldSimple>
    <w:r w:rsidRPr="00905267">
      <w:tab/>
    </w:r>
    <w:r w:rsidRPr="00905267">
      <w:rPr>
        <w:rStyle w:val="HideTWBExt"/>
      </w:rPr>
      <w:t>&lt;PathFdR&gt;</w:t>
    </w:r>
    <w:r w:rsidRPr="00905267">
      <w:t>RR\1276359FI.docx</w:t>
    </w:r>
    <w:r w:rsidRPr="00905267">
      <w:rPr>
        <w:rStyle w:val="HideTWBExt"/>
      </w:rPr>
      <w:t>&lt;/PathFdR&gt;</w:t>
    </w:r>
  </w:p>
  <w:p w14:paraId="5516815A" w14:textId="77777777" w:rsidR="002916DC" w:rsidRPr="00905267" w:rsidRDefault="002916DC" w:rsidP="00EF3594">
    <w:pPr>
      <w:pStyle w:val="EPFooter2"/>
    </w:pPr>
    <w:r w:rsidRPr="00905267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7FC70" w14:textId="77777777" w:rsidR="002916DC" w:rsidRPr="00905267" w:rsidRDefault="002916DC" w:rsidP="00EF3594">
    <w:pPr>
      <w:pStyle w:val="EPFooter"/>
    </w:pPr>
    <w:r w:rsidRPr="00905267">
      <w:rPr>
        <w:rStyle w:val="HideTWBExt"/>
      </w:rPr>
      <w:t>&lt;PathFdR&gt;</w:t>
    </w:r>
    <w:r w:rsidRPr="00905267">
      <w:t>RR\1276359FI.docx</w:t>
    </w:r>
    <w:r w:rsidRPr="00905267">
      <w:rPr>
        <w:rStyle w:val="HideTWBExt"/>
      </w:rPr>
      <w:t>&lt;/PathFdR&gt;</w:t>
    </w:r>
    <w:r w:rsidRPr="00905267">
      <w:tab/>
    </w:r>
    <w:r w:rsidRPr="00905267">
      <w:tab/>
      <w:t>PE</w:t>
    </w:r>
    <w:r w:rsidRPr="00905267">
      <w:rPr>
        <w:rStyle w:val="HideTWBExt"/>
      </w:rPr>
      <w:t>&lt;NoPE&gt;</w:t>
    </w:r>
    <w:r w:rsidRPr="00905267">
      <w:t>731.820</w:t>
    </w:r>
    <w:r w:rsidRPr="00905267">
      <w:rPr>
        <w:rStyle w:val="HideTWBExt"/>
      </w:rPr>
      <w:t>&lt;/NoPE&gt;&lt;Version&gt;</w:t>
    </w:r>
    <w:r w:rsidRPr="00905267">
      <w:t>v02-00</w:t>
    </w:r>
    <w:r w:rsidRPr="00905267">
      <w:rPr>
        <w:rStyle w:val="HideTWBExt"/>
      </w:rPr>
      <w:t>&lt;/Version&gt;</w:t>
    </w:r>
  </w:p>
  <w:p w14:paraId="385BFB0D" w14:textId="77777777" w:rsidR="002916DC" w:rsidRPr="00905267" w:rsidRDefault="002916DC" w:rsidP="00EF3594">
    <w:pPr>
      <w:pStyle w:val="EPFooter2"/>
    </w:pPr>
    <w:r w:rsidRPr="00905267">
      <w:t>FI</w:t>
    </w:r>
    <w:r w:rsidRPr="00905267">
      <w:tab/>
    </w:r>
    <w:r w:rsidRPr="00905267">
      <w:rPr>
        <w:b w:val="0"/>
        <w:i/>
        <w:color w:val="C0C0C0"/>
        <w:sz w:val="22"/>
      </w:rPr>
      <w:t>Moninaisuudessaan yhtenäinen</w:t>
    </w:r>
    <w:r w:rsidRPr="00905267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49952" w14:textId="77777777" w:rsidR="00064002" w:rsidRPr="0090526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3DF2A" w14:textId="77777777" w:rsidR="00064002" w:rsidRPr="009052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F3B0D" w14:textId="77777777" w:rsidR="007D094C" w:rsidRPr="00905267" w:rsidRDefault="007D094C">
      <w:r w:rsidRPr="00905267">
        <w:separator/>
      </w:r>
    </w:p>
  </w:footnote>
  <w:footnote w:type="continuationSeparator" w:id="0">
    <w:p w14:paraId="53E45ED0" w14:textId="77777777" w:rsidR="007D094C" w:rsidRPr="00905267" w:rsidRDefault="007D094C">
      <w:r w:rsidRPr="00905267">
        <w:continuationSeparator/>
      </w:r>
    </w:p>
  </w:footnote>
  <w:footnote w:id="1">
    <w:p w14:paraId="4706F44F" w14:textId="77777777" w:rsidR="002916DC" w:rsidRPr="003274D9" w:rsidRDefault="002916DC" w:rsidP="00905267">
      <w:pPr>
        <w:pStyle w:val="FootnoteText"/>
        <w:ind w:left="567" w:hanging="567"/>
        <w:rPr>
          <w:sz w:val="24"/>
          <w:lang w:val="fi-FI"/>
        </w:rPr>
      </w:pPr>
      <w:r w:rsidRPr="003274D9">
        <w:rPr>
          <w:rStyle w:val="FootnoteReference"/>
          <w:sz w:val="24"/>
          <w:lang w:val="fi-FI"/>
        </w:rPr>
        <w:footnoteRef/>
      </w:r>
      <w:r w:rsidR="00905267" w:rsidRPr="003274D9">
        <w:rPr>
          <w:sz w:val="24"/>
          <w:lang w:val="fi-FI"/>
        </w:rPr>
        <w:t xml:space="preserve"> </w:t>
      </w:r>
      <w:r w:rsidR="00905267" w:rsidRPr="003274D9">
        <w:rPr>
          <w:sz w:val="24"/>
          <w:lang w:val="fi-FI"/>
        </w:rPr>
        <w:tab/>
      </w:r>
      <w:r w:rsidRPr="003274D9">
        <w:rPr>
          <w:sz w:val="24"/>
          <w:lang w:val="fi-FI"/>
        </w:rPr>
        <w:t>EUVL C 152, 6.4.2022, s. 89.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194FD" w14:textId="77777777" w:rsidR="00064002" w:rsidRPr="009052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CA56A" w14:textId="77777777" w:rsidR="00064002" w:rsidRPr="009052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8A9FC" w14:textId="77777777" w:rsidR="00064002" w:rsidRPr="009052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60287AE4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FI"/>
    <w:docVar w:name="dvnumam" w:val="230"/>
    <w:docVar w:name="dvpe" w:val="731.820"/>
    <w:docVar w:name="dvrapporteur" w:val="Esittelijät: "/>
    <w:docVar w:name="dvstar" w:val="***I"/>
    <w:docVar w:name="dvtitre" w:val="Euroopan parlamentin lainsäädäntöpäätöslauselma xx. xxxkuuta 2024 ehdotuksesta Euroopan parlamentin ja neuvoston asetukseksi rahanpesun ja terrorismin rahoituksen torjuntaviranomaisen perustamisesta ja asetusten (EU) N:o 1093/2010, (EU) N:o 1094/2010 ja (EU) N:o 1095/2010 muuttamisesta(COM(2021)0421 – C9-0340/2021 – 2021/0240(COD))"/>
  </w:docVars>
  <w:rsids>
    <w:rsidRoot w:val="007D09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16DC"/>
    <w:rsid w:val="002B18FE"/>
    <w:rsid w:val="002B5493"/>
    <w:rsid w:val="003274D9"/>
    <w:rsid w:val="00343214"/>
    <w:rsid w:val="00361C00"/>
    <w:rsid w:val="00395FA1"/>
    <w:rsid w:val="003A7DB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554"/>
    <w:rsid w:val="0050519A"/>
    <w:rsid w:val="005072A1"/>
    <w:rsid w:val="00514517"/>
    <w:rsid w:val="00545827"/>
    <w:rsid w:val="00560270"/>
    <w:rsid w:val="005B701C"/>
    <w:rsid w:val="005C1ED4"/>
    <w:rsid w:val="005C2568"/>
    <w:rsid w:val="006037C0"/>
    <w:rsid w:val="006631B6"/>
    <w:rsid w:val="00680577"/>
    <w:rsid w:val="006A4F85"/>
    <w:rsid w:val="006F74FA"/>
    <w:rsid w:val="00731ADD"/>
    <w:rsid w:val="00734777"/>
    <w:rsid w:val="00747932"/>
    <w:rsid w:val="00751A4A"/>
    <w:rsid w:val="00756632"/>
    <w:rsid w:val="00762C74"/>
    <w:rsid w:val="00770E36"/>
    <w:rsid w:val="00786EC0"/>
    <w:rsid w:val="007D094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267"/>
    <w:rsid w:val="00930C23"/>
    <w:rsid w:val="0093193B"/>
    <w:rsid w:val="009509D8"/>
    <w:rsid w:val="00950B64"/>
    <w:rsid w:val="00981893"/>
    <w:rsid w:val="00A154F1"/>
    <w:rsid w:val="00A1687D"/>
    <w:rsid w:val="00A43E52"/>
    <w:rsid w:val="00A4678D"/>
    <w:rsid w:val="00A778C7"/>
    <w:rsid w:val="00A917B3"/>
    <w:rsid w:val="00AB441E"/>
    <w:rsid w:val="00AB6293"/>
    <w:rsid w:val="00AE0928"/>
    <w:rsid w:val="00AF3B82"/>
    <w:rsid w:val="00B12E95"/>
    <w:rsid w:val="00B22876"/>
    <w:rsid w:val="00B35789"/>
    <w:rsid w:val="00B558F0"/>
    <w:rsid w:val="00BD48FE"/>
    <w:rsid w:val="00BD7BD8"/>
    <w:rsid w:val="00BE6ADC"/>
    <w:rsid w:val="00C05BFE"/>
    <w:rsid w:val="00C23CD4"/>
    <w:rsid w:val="00C517D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9320E9"/>
  <w15:chartTrackingRefBased/>
  <w15:docId w15:val="{DD340B36-5407-4FE6-A895-40E1F4F5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916D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6D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6D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6D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6D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6DC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6DC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6DC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6DC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2916D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916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916DC"/>
    <w:pPr>
      <w:spacing w:before="480" w:after="240"/>
    </w:pPr>
  </w:style>
  <w:style w:type="paragraph" w:customStyle="1" w:styleId="TOCPage">
    <w:name w:val="TOC Page"/>
    <w:basedOn w:val="Normal"/>
    <w:next w:val="TOC1"/>
    <w:rsid w:val="002916D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2916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916DC"/>
    <w:rPr>
      <w:b/>
    </w:rPr>
  </w:style>
  <w:style w:type="paragraph" w:customStyle="1" w:styleId="NormalBold12a">
    <w:name w:val="NormalBold12a"/>
    <w:basedOn w:val="Normal"/>
    <w:rsid w:val="002916D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916D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916DC"/>
    <w:pPr>
      <w:spacing w:after="480"/>
      <w:ind w:left="1417"/>
    </w:pPr>
  </w:style>
  <w:style w:type="paragraph" w:customStyle="1" w:styleId="CoverNormal">
    <w:name w:val="CoverNormal"/>
    <w:basedOn w:val="Normal"/>
    <w:rsid w:val="002916DC"/>
    <w:pPr>
      <w:ind w:left="1418"/>
    </w:pPr>
  </w:style>
  <w:style w:type="paragraph" w:customStyle="1" w:styleId="NormalCenter12a">
    <w:name w:val="NormalCenter12a"/>
    <w:basedOn w:val="Normal"/>
    <w:rsid w:val="002916DC"/>
    <w:pPr>
      <w:spacing w:after="240"/>
      <w:jc w:val="center"/>
    </w:pPr>
  </w:style>
  <w:style w:type="paragraph" w:customStyle="1" w:styleId="CoverReference">
    <w:name w:val="CoverReference"/>
    <w:basedOn w:val="Normal"/>
    <w:rsid w:val="002916D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916D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916D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916D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916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16DC"/>
    <w:rPr>
      <w:sz w:val="24"/>
      <w:lang w:val="fi-FI"/>
    </w:rPr>
  </w:style>
  <w:style w:type="paragraph" w:customStyle="1" w:styleId="AmNumberTabs">
    <w:name w:val="AmNumberTabs"/>
    <w:basedOn w:val="Normal"/>
    <w:rsid w:val="002916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916DC"/>
    <w:pPr>
      <w:spacing w:before="720" w:after="240"/>
      <w:jc w:val="center"/>
    </w:pPr>
  </w:style>
  <w:style w:type="paragraph" w:customStyle="1" w:styleId="EPBody">
    <w:name w:val="EPBody"/>
    <w:basedOn w:val="Normal"/>
    <w:rsid w:val="002916D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916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2916D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916D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916DC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2916DC"/>
    <w:rPr>
      <w:b/>
      <w:sz w:val="24"/>
      <w:lang w:val="fi-FI"/>
    </w:rPr>
  </w:style>
  <w:style w:type="numbering" w:customStyle="1" w:styleId="NoList1">
    <w:name w:val="No List1"/>
    <w:next w:val="NoList"/>
    <w:uiPriority w:val="99"/>
    <w:semiHidden/>
    <w:unhideWhenUsed/>
    <w:rsid w:val="002916DC"/>
  </w:style>
  <w:style w:type="paragraph" w:styleId="ListBullet4">
    <w:name w:val="List Bullet 4"/>
    <w:basedOn w:val="Normal"/>
    <w:rsid w:val="002916DC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2916DC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2916DC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2916DC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2916DC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2916DC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2916DC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2916DC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2916DC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2916DC"/>
    <w:pPr>
      <w:spacing w:before="120" w:after="120"/>
      <w:jc w:val="both"/>
    </w:pPr>
    <w:rPr>
      <w:lang w:val="fi-FI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916DC"/>
    <w:rPr>
      <w:color w:val="0000FF"/>
      <w:u w:val="single"/>
    </w:rPr>
  </w:style>
  <w:style w:type="paragraph" w:styleId="ListBullet">
    <w:name w:val="List Bullet"/>
    <w:basedOn w:val="Normal"/>
    <w:qFormat/>
    <w:rsid w:val="002916DC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2916DC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2916DC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2916DC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2916DC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2916DC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2916DC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2916DC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2916DC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2916DC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2916DC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2916DC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2916DC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2916DC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2916DC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2916DC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2916DC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2916DC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2916DC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2916DC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2916DC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2916DC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2916DC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2916DC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2916DC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2916DC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2916DC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2916DC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2916DC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2916DC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2916DC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2916DC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2916DC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uiPriority w:val="99"/>
    <w:rsid w:val="002916D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916DC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16DC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916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916DC"/>
    <w:rPr>
      <w:b/>
      <w:bCs/>
      <w:lang w:val="fi-FI"/>
    </w:rPr>
  </w:style>
  <w:style w:type="paragraph" w:styleId="BalloonText">
    <w:name w:val="Balloon Text"/>
    <w:basedOn w:val="Normal"/>
    <w:link w:val="BalloonTextChar"/>
    <w:uiPriority w:val="99"/>
    <w:rsid w:val="002916DC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916DC"/>
    <w:rPr>
      <w:rFonts w:ascii="Tahoma" w:hAnsi="Tahoma" w:cs="Tahoma"/>
      <w:sz w:val="16"/>
      <w:szCs w:val="16"/>
      <w:lang w:val="fi-FI"/>
    </w:rPr>
  </w:style>
  <w:style w:type="paragraph" w:styleId="Caption">
    <w:name w:val="caption"/>
    <w:basedOn w:val="Normal"/>
    <w:next w:val="Normal"/>
    <w:qFormat/>
    <w:rsid w:val="002916DC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2916DC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2916DC"/>
    <w:rPr>
      <w:vanish/>
      <w:color w:val="800080"/>
      <w:vertAlign w:val="subscript"/>
    </w:rPr>
  </w:style>
  <w:style w:type="character" w:styleId="FollowedHyperlink">
    <w:name w:val="FollowedHyperlink"/>
    <w:rsid w:val="002916DC"/>
    <w:rPr>
      <w:color w:val="800080"/>
      <w:u w:val="single"/>
    </w:rPr>
  </w:style>
  <w:style w:type="paragraph" w:customStyle="1" w:styleId="Sous-titreobjet">
    <w:name w:val="Sous-titre objet"/>
    <w:basedOn w:val="Normal"/>
    <w:rsid w:val="002916DC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2916DC"/>
  </w:style>
  <w:style w:type="paragraph" w:styleId="Revision">
    <w:name w:val="Revision"/>
    <w:hidden/>
    <w:uiPriority w:val="99"/>
    <w:semiHidden/>
    <w:rsid w:val="002916DC"/>
    <w:pPr>
      <w:spacing w:after="200" w:line="276" w:lineRule="auto"/>
    </w:pPr>
    <w:rPr>
      <w:rFonts w:ascii="Calibri" w:eastAsia="Calibri" w:hAnsi="Calibri"/>
      <w:sz w:val="24"/>
      <w:szCs w:val="22"/>
      <w:lang w:val="fi-FI"/>
    </w:rPr>
  </w:style>
  <w:style w:type="paragraph" w:customStyle="1" w:styleId="FooterCoverPage">
    <w:name w:val="Footer Cover Page"/>
    <w:basedOn w:val="Normal"/>
    <w:link w:val="FooterCoverPageChar"/>
    <w:rsid w:val="002916D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2916DC"/>
    <w:rPr>
      <w:rFonts w:ascii="Times New Roman" w:hAnsi="Times New Roman" w:cs="Times New Roman"/>
      <w:b/>
      <w:sz w:val="28"/>
      <w:lang w:val="fi-FI"/>
    </w:rPr>
  </w:style>
  <w:style w:type="character" w:customStyle="1" w:styleId="FooterCoverPageChar">
    <w:name w:val="Footer Cover Page Char"/>
    <w:link w:val="FooterCoverPage"/>
    <w:rsid w:val="002916DC"/>
    <w:rPr>
      <w:rFonts w:eastAsia="Calibri"/>
      <w:sz w:val="24"/>
      <w:szCs w:val="22"/>
      <w:lang w:val="fi-FI"/>
    </w:rPr>
  </w:style>
  <w:style w:type="paragraph" w:customStyle="1" w:styleId="HeaderCoverPage">
    <w:name w:val="Header Cover Page"/>
    <w:basedOn w:val="Normal"/>
    <w:link w:val="HeaderCoverPageChar"/>
    <w:rsid w:val="002916DC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2916DC"/>
    <w:rPr>
      <w:rFonts w:eastAsia="Calibri"/>
      <w:sz w:val="24"/>
      <w:szCs w:val="22"/>
      <w:lang w:val="fi-FI"/>
    </w:rPr>
  </w:style>
  <w:style w:type="paragraph" w:customStyle="1" w:styleId="Body">
    <w:name w:val="Body"/>
    <w:rsid w:val="002916D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fi-FI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2916DC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fi-FI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2916DC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fi-FI" w:eastAsia="en-IE"/>
    </w:rPr>
  </w:style>
  <w:style w:type="numbering" w:customStyle="1" w:styleId="ImportedStyle1">
    <w:name w:val="Imported Style 1"/>
    <w:rsid w:val="002916DC"/>
    <w:pPr>
      <w:numPr>
        <w:numId w:val="18"/>
      </w:numPr>
    </w:pPr>
  </w:style>
  <w:style w:type="paragraph" w:customStyle="1" w:styleId="Default">
    <w:name w:val="Default"/>
    <w:rsid w:val="002916DC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fi-FI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2916DC"/>
    <w:pPr>
      <w:numPr>
        <w:numId w:val="19"/>
      </w:numPr>
    </w:pPr>
  </w:style>
  <w:style w:type="numbering" w:customStyle="1" w:styleId="ImportedStyle3">
    <w:name w:val="Imported Style 3"/>
    <w:rsid w:val="002916DC"/>
    <w:pPr>
      <w:numPr>
        <w:numId w:val="20"/>
      </w:numPr>
    </w:pPr>
  </w:style>
  <w:style w:type="numbering" w:customStyle="1" w:styleId="ImportedStyle4">
    <w:name w:val="Imported Style 4"/>
    <w:rsid w:val="002916DC"/>
    <w:pPr>
      <w:numPr>
        <w:numId w:val="21"/>
      </w:numPr>
    </w:pPr>
  </w:style>
  <w:style w:type="numbering" w:customStyle="1" w:styleId="ImportedStyle5">
    <w:name w:val="Imported Style 5"/>
    <w:rsid w:val="002916DC"/>
    <w:pPr>
      <w:numPr>
        <w:numId w:val="22"/>
      </w:numPr>
    </w:pPr>
  </w:style>
  <w:style w:type="numbering" w:customStyle="1" w:styleId="ImportedStyle6">
    <w:name w:val="Imported Style 6"/>
    <w:rsid w:val="002916DC"/>
    <w:pPr>
      <w:numPr>
        <w:numId w:val="23"/>
      </w:numPr>
    </w:pPr>
  </w:style>
  <w:style w:type="numbering" w:customStyle="1" w:styleId="ImportedStyle7">
    <w:name w:val="Imported Style 7"/>
    <w:rsid w:val="002916DC"/>
    <w:pPr>
      <w:numPr>
        <w:numId w:val="24"/>
      </w:numPr>
    </w:pPr>
  </w:style>
  <w:style w:type="numbering" w:customStyle="1" w:styleId="ImportedStyle8">
    <w:name w:val="Imported Style 8"/>
    <w:rsid w:val="002916DC"/>
    <w:pPr>
      <w:numPr>
        <w:numId w:val="25"/>
      </w:numPr>
    </w:pPr>
  </w:style>
  <w:style w:type="numbering" w:customStyle="1" w:styleId="ImportedStyle9">
    <w:name w:val="Imported Style 9"/>
    <w:rsid w:val="002916DC"/>
    <w:pPr>
      <w:numPr>
        <w:numId w:val="26"/>
      </w:numPr>
    </w:pPr>
  </w:style>
  <w:style w:type="numbering" w:customStyle="1" w:styleId="ImportedStyle10">
    <w:name w:val="Imported Style 10"/>
    <w:rsid w:val="002916DC"/>
    <w:pPr>
      <w:numPr>
        <w:numId w:val="27"/>
      </w:numPr>
    </w:pPr>
  </w:style>
  <w:style w:type="numbering" w:customStyle="1" w:styleId="ImportedStyle11">
    <w:name w:val="Imported Style 11"/>
    <w:rsid w:val="002916DC"/>
    <w:pPr>
      <w:numPr>
        <w:numId w:val="28"/>
      </w:numPr>
    </w:pPr>
  </w:style>
  <w:style w:type="numbering" w:customStyle="1" w:styleId="ImportedStyle12">
    <w:name w:val="Imported Style 12"/>
    <w:rsid w:val="002916DC"/>
    <w:pPr>
      <w:numPr>
        <w:numId w:val="29"/>
      </w:numPr>
    </w:pPr>
  </w:style>
  <w:style w:type="numbering" w:customStyle="1" w:styleId="ImportedStyle13">
    <w:name w:val="Imported Style 13"/>
    <w:rsid w:val="002916DC"/>
    <w:pPr>
      <w:numPr>
        <w:numId w:val="30"/>
      </w:numPr>
    </w:pPr>
  </w:style>
  <w:style w:type="numbering" w:customStyle="1" w:styleId="ImportedStyle14">
    <w:name w:val="Imported Style 14"/>
    <w:rsid w:val="002916DC"/>
    <w:pPr>
      <w:numPr>
        <w:numId w:val="31"/>
      </w:numPr>
    </w:pPr>
  </w:style>
  <w:style w:type="numbering" w:customStyle="1" w:styleId="ImportedStyle15">
    <w:name w:val="Imported Style 15"/>
    <w:rsid w:val="002916DC"/>
    <w:pPr>
      <w:numPr>
        <w:numId w:val="32"/>
      </w:numPr>
    </w:pPr>
  </w:style>
  <w:style w:type="numbering" w:customStyle="1" w:styleId="ImportedStyle16">
    <w:name w:val="Imported Style 16"/>
    <w:rsid w:val="002916DC"/>
    <w:pPr>
      <w:numPr>
        <w:numId w:val="33"/>
      </w:numPr>
    </w:pPr>
  </w:style>
  <w:style w:type="numbering" w:customStyle="1" w:styleId="ImportedStyle17">
    <w:name w:val="Imported Style 17"/>
    <w:rsid w:val="002916DC"/>
    <w:pPr>
      <w:numPr>
        <w:numId w:val="34"/>
      </w:numPr>
    </w:pPr>
  </w:style>
  <w:style w:type="numbering" w:customStyle="1" w:styleId="ImportedStyle18">
    <w:name w:val="Imported Style 18"/>
    <w:rsid w:val="002916DC"/>
    <w:pPr>
      <w:numPr>
        <w:numId w:val="35"/>
      </w:numPr>
    </w:pPr>
  </w:style>
  <w:style w:type="numbering" w:customStyle="1" w:styleId="ImportedStyle19">
    <w:name w:val="Imported Style 19"/>
    <w:rsid w:val="002916DC"/>
    <w:pPr>
      <w:numPr>
        <w:numId w:val="36"/>
      </w:numPr>
    </w:pPr>
  </w:style>
  <w:style w:type="numbering" w:customStyle="1" w:styleId="ImportedStyle20">
    <w:name w:val="Imported Style 20"/>
    <w:rsid w:val="002916DC"/>
    <w:pPr>
      <w:numPr>
        <w:numId w:val="37"/>
      </w:numPr>
    </w:pPr>
  </w:style>
  <w:style w:type="numbering" w:customStyle="1" w:styleId="ImportedStyle21">
    <w:name w:val="Imported Style 21"/>
    <w:rsid w:val="002916DC"/>
    <w:pPr>
      <w:numPr>
        <w:numId w:val="38"/>
      </w:numPr>
    </w:pPr>
  </w:style>
  <w:style w:type="numbering" w:customStyle="1" w:styleId="ImportedStyle22">
    <w:name w:val="Imported Style 22"/>
    <w:rsid w:val="002916DC"/>
    <w:pPr>
      <w:numPr>
        <w:numId w:val="39"/>
      </w:numPr>
    </w:pPr>
  </w:style>
  <w:style w:type="paragraph" w:customStyle="1" w:styleId="CM4">
    <w:name w:val="CM4"/>
    <w:next w:val="Default"/>
    <w:rsid w:val="002916D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fi-FI" w:eastAsia="en-IE"/>
    </w:rPr>
  </w:style>
  <w:style w:type="numbering" w:customStyle="1" w:styleId="ImportedStyle23">
    <w:name w:val="Imported Style 23"/>
    <w:rsid w:val="002916DC"/>
    <w:pPr>
      <w:numPr>
        <w:numId w:val="40"/>
      </w:numPr>
    </w:pPr>
  </w:style>
  <w:style w:type="numbering" w:customStyle="1" w:styleId="ImportedStyle24">
    <w:name w:val="Imported Style 24"/>
    <w:rsid w:val="002916DC"/>
    <w:pPr>
      <w:numPr>
        <w:numId w:val="41"/>
      </w:numPr>
    </w:pPr>
  </w:style>
  <w:style w:type="numbering" w:customStyle="1" w:styleId="ImportedStyle25">
    <w:name w:val="Imported Style 25"/>
    <w:rsid w:val="002916DC"/>
    <w:pPr>
      <w:numPr>
        <w:numId w:val="42"/>
      </w:numPr>
    </w:pPr>
  </w:style>
  <w:style w:type="numbering" w:customStyle="1" w:styleId="ImportedStyle26">
    <w:name w:val="Imported Style 26"/>
    <w:rsid w:val="002916DC"/>
    <w:pPr>
      <w:numPr>
        <w:numId w:val="43"/>
      </w:numPr>
    </w:pPr>
  </w:style>
  <w:style w:type="numbering" w:customStyle="1" w:styleId="ImportedStyle27">
    <w:name w:val="Imported Style 27"/>
    <w:rsid w:val="002916DC"/>
    <w:pPr>
      <w:numPr>
        <w:numId w:val="44"/>
      </w:numPr>
    </w:pPr>
  </w:style>
  <w:style w:type="numbering" w:customStyle="1" w:styleId="ImportedStyle28">
    <w:name w:val="Imported Style 28"/>
    <w:rsid w:val="002916DC"/>
    <w:pPr>
      <w:numPr>
        <w:numId w:val="45"/>
      </w:numPr>
    </w:pPr>
  </w:style>
  <w:style w:type="numbering" w:customStyle="1" w:styleId="ImportedStyle29">
    <w:name w:val="Imported Style 29"/>
    <w:rsid w:val="002916DC"/>
    <w:pPr>
      <w:numPr>
        <w:numId w:val="82"/>
      </w:numPr>
    </w:pPr>
  </w:style>
  <w:style w:type="numbering" w:customStyle="1" w:styleId="ImportedStyle30">
    <w:name w:val="Imported Style 30"/>
    <w:rsid w:val="002916DC"/>
    <w:pPr>
      <w:numPr>
        <w:numId w:val="79"/>
      </w:numPr>
    </w:pPr>
  </w:style>
  <w:style w:type="numbering" w:customStyle="1" w:styleId="ImportedStyle31">
    <w:name w:val="Imported Style 31"/>
    <w:rsid w:val="002916DC"/>
    <w:pPr>
      <w:numPr>
        <w:numId w:val="80"/>
      </w:numPr>
    </w:pPr>
  </w:style>
  <w:style w:type="numbering" w:customStyle="1" w:styleId="ImportedStyle32">
    <w:name w:val="Imported Style 32"/>
    <w:rsid w:val="002916DC"/>
    <w:pPr>
      <w:numPr>
        <w:numId w:val="76"/>
      </w:numPr>
    </w:pPr>
  </w:style>
  <w:style w:type="numbering" w:customStyle="1" w:styleId="ImportedStyle33">
    <w:name w:val="Imported Style 33"/>
    <w:rsid w:val="002916DC"/>
    <w:pPr>
      <w:numPr>
        <w:numId w:val="46"/>
      </w:numPr>
    </w:pPr>
  </w:style>
  <w:style w:type="numbering" w:customStyle="1" w:styleId="ImportedStyle34">
    <w:name w:val="Imported Style 34"/>
    <w:rsid w:val="002916DC"/>
    <w:pPr>
      <w:numPr>
        <w:numId w:val="47"/>
      </w:numPr>
    </w:pPr>
  </w:style>
  <w:style w:type="numbering" w:customStyle="1" w:styleId="ImportedStyle35">
    <w:name w:val="Imported Style 35"/>
    <w:rsid w:val="002916DC"/>
    <w:pPr>
      <w:numPr>
        <w:numId w:val="48"/>
      </w:numPr>
    </w:p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ListParagraphChar"/>
    <w:uiPriority w:val="34"/>
    <w:qFormat/>
    <w:rsid w:val="002916DC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fi-FI" w:eastAsia="en-IE"/>
    </w:rPr>
  </w:style>
  <w:style w:type="numbering" w:customStyle="1" w:styleId="ImportedStyle37">
    <w:name w:val="Imported Style 37"/>
    <w:rsid w:val="002916DC"/>
    <w:pPr>
      <w:numPr>
        <w:numId w:val="49"/>
      </w:numPr>
    </w:pPr>
  </w:style>
  <w:style w:type="numbering" w:customStyle="1" w:styleId="ImportedStyle38">
    <w:name w:val="Imported Style 38"/>
    <w:rsid w:val="002916DC"/>
    <w:pPr>
      <w:numPr>
        <w:numId w:val="50"/>
      </w:numPr>
    </w:pPr>
  </w:style>
  <w:style w:type="numbering" w:customStyle="1" w:styleId="ImportedStyle39">
    <w:name w:val="Imported Style 39"/>
    <w:rsid w:val="002916DC"/>
    <w:pPr>
      <w:numPr>
        <w:numId w:val="51"/>
      </w:numPr>
    </w:pPr>
  </w:style>
  <w:style w:type="numbering" w:customStyle="1" w:styleId="ImportedStyle40">
    <w:name w:val="Imported Style 40"/>
    <w:rsid w:val="002916DC"/>
    <w:pPr>
      <w:numPr>
        <w:numId w:val="77"/>
      </w:numPr>
    </w:pPr>
  </w:style>
  <w:style w:type="numbering" w:customStyle="1" w:styleId="ImportedStyle41">
    <w:name w:val="Imported Style 41"/>
    <w:rsid w:val="002916DC"/>
    <w:pPr>
      <w:numPr>
        <w:numId w:val="52"/>
      </w:numPr>
    </w:pPr>
  </w:style>
  <w:style w:type="numbering" w:customStyle="1" w:styleId="ImportedStyle42">
    <w:name w:val="Imported Style 42"/>
    <w:rsid w:val="002916DC"/>
    <w:pPr>
      <w:numPr>
        <w:numId w:val="81"/>
      </w:numPr>
    </w:pPr>
  </w:style>
  <w:style w:type="numbering" w:customStyle="1" w:styleId="ImportedStyle43">
    <w:name w:val="Imported Style 43"/>
    <w:rsid w:val="002916DC"/>
    <w:pPr>
      <w:numPr>
        <w:numId w:val="53"/>
      </w:numPr>
    </w:pPr>
  </w:style>
  <w:style w:type="numbering" w:customStyle="1" w:styleId="ImportedStyle44">
    <w:name w:val="Imported Style 44"/>
    <w:rsid w:val="002916DC"/>
  </w:style>
  <w:style w:type="numbering" w:customStyle="1" w:styleId="ImportedStyle45">
    <w:name w:val="Imported Style 45"/>
    <w:rsid w:val="002916DC"/>
    <w:pPr>
      <w:numPr>
        <w:numId w:val="66"/>
      </w:numPr>
    </w:pPr>
  </w:style>
  <w:style w:type="numbering" w:customStyle="1" w:styleId="ImportedStyle46">
    <w:name w:val="Imported Style 46"/>
    <w:rsid w:val="002916DC"/>
    <w:pPr>
      <w:numPr>
        <w:numId w:val="55"/>
      </w:numPr>
    </w:pPr>
  </w:style>
  <w:style w:type="numbering" w:customStyle="1" w:styleId="ImportedStyle47">
    <w:name w:val="Imported Style 47"/>
    <w:rsid w:val="002916DC"/>
    <w:pPr>
      <w:numPr>
        <w:numId w:val="67"/>
      </w:numPr>
    </w:pPr>
  </w:style>
  <w:style w:type="numbering" w:customStyle="1" w:styleId="ImportedStyle48">
    <w:name w:val="Imported Style 48"/>
    <w:rsid w:val="002916DC"/>
    <w:pPr>
      <w:numPr>
        <w:numId w:val="56"/>
      </w:numPr>
    </w:pPr>
  </w:style>
  <w:style w:type="numbering" w:customStyle="1" w:styleId="ImportedStyle36">
    <w:name w:val="Imported Style 36"/>
    <w:rsid w:val="002916DC"/>
    <w:pPr>
      <w:numPr>
        <w:numId w:val="68"/>
      </w:numPr>
    </w:pPr>
  </w:style>
  <w:style w:type="numbering" w:customStyle="1" w:styleId="ImportedStyle49">
    <w:name w:val="Imported Style 49"/>
    <w:rsid w:val="002916DC"/>
  </w:style>
  <w:style w:type="numbering" w:customStyle="1" w:styleId="ImportedStyle50">
    <w:name w:val="Imported Style 50"/>
    <w:rsid w:val="002916DC"/>
  </w:style>
  <w:style w:type="numbering" w:customStyle="1" w:styleId="ImportedStyle51">
    <w:name w:val="Imported Style 51"/>
    <w:rsid w:val="002916DC"/>
    <w:pPr>
      <w:numPr>
        <w:numId w:val="57"/>
      </w:numPr>
    </w:pPr>
  </w:style>
  <w:style w:type="numbering" w:customStyle="1" w:styleId="ImportedStyle52">
    <w:name w:val="Imported Style 52"/>
    <w:rsid w:val="002916DC"/>
    <w:pPr>
      <w:numPr>
        <w:numId w:val="58"/>
      </w:numPr>
    </w:pPr>
  </w:style>
  <w:style w:type="numbering" w:customStyle="1" w:styleId="ImportedStyle53">
    <w:name w:val="Imported Style 53"/>
    <w:rsid w:val="002916DC"/>
    <w:pPr>
      <w:numPr>
        <w:numId w:val="59"/>
      </w:numPr>
    </w:pPr>
  </w:style>
  <w:style w:type="numbering" w:customStyle="1" w:styleId="ImportedStyle54">
    <w:name w:val="Imported Style 54"/>
    <w:rsid w:val="002916DC"/>
    <w:pPr>
      <w:numPr>
        <w:numId w:val="78"/>
      </w:numPr>
    </w:pPr>
  </w:style>
  <w:style w:type="numbering" w:customStyle="1" w:styleId="ImportedStyle55">
    <w:name w:val="Imported Style 55"/>
    <w:rsid w:val="002916DC"/>
    <w:pPr>
      <w:numPr>
        <w:numId w:val="60"/>
      </w:numPr>
    </w:pPr>
  </w:style>
  <w:style w:type="numbering" w:customStyle="1" w:styleId="ImportedStyle56">
    <w:name w:val="Imported Style 56"/>
    <w:rsid w:val="002916DC"/>
    <w:pPr>
      <w:numPr>
        <w:numId w:val="61"/>
      </w:numPr>
    </w:pPr>
  </w:style>
  <w:style w:type="numbering" w:customStyle="1" w:styleId="ImportedStyle57">
    <w:name w:val="Imported Style 57"/>
    <w:rsid w:val="002916DC"/>
    <w:pPr>
      <w:numPr>
        <w:numId w:val="62"/>
      </w:numPr>
    </w:pPr>
  </w:style>
  <w:style w:type="numbering" w:customStyle="1" w:styleId="ImportedStyle58">
    <w:name w:val="Imported Style 58"/>
    <w:rsid w:val="002916DC"/>
    <w:pPr>
      <w:numPr>
        <w:numId w:val="63"/>
      </w:numPr>
    </w:pPr>
  </w:style>
  <w:style w:type="numbering" w:customStyle="1" w:styleId="ImportedStyle59">
    <w:name w:val="Imported Style 59"/>
    <w:rsid w:val="002916DC"/>
    <w:pPr>
      <w:numPr>
        <w:numId w:val="64"/>
      </w:numPr>
    </w:pPr>
  </w:style>
  <w:style w:type="numbering" w:customStyle="1" w:styleId="ImportedStyle60">
    <w:name w:val="Imported Style 60"/>
    <w:rsid w:val="002916DC"/>
    <w:pPr>
      <w:numPr>
        <w:numId w:val="54"/>
      </w:numPr>
    </w:pPr>
  </w:style>
  <w:style w:type="numbering" w:customStyle="1" w:styleId="ImportedStyle61">
    <w:name w:val="Imported Style 61"/>
    <w:rsid w:val="002916DC"/>
    <w:pPr>
      <w:numPr>
        <w:numId w:val="6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2916DC"/>
    <w:rPr>
      <w:color w:val="000000"/>
      <w:sz w:val="24"/>
      <w:szCs w:val="24"/>
      <w:u w:color="000000"/>
      <w:bdr w:val="nil"/>
      <w:lang w:val="fi-FI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2916DC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916DC"/>
    <w:rPr>
      <w:rFonts w:eastAsia="Calibri"/>
      <w:lang w:val="fi-FI"/>
    </w:rPr>
  </w:style>
  <w:style w:type="character" w:styleId="EndnoteReference">
    <w:name w:val="endnote reference"/>
    <w:basedOn w:val="DefaultParagraphFont"/>
    <w:uiPriority w:val="99"/>
    <w:unhideWhenUsed/>
    <w:rsid w:val="002916DC"/>
    <w:rPr>
      <w:vertAlign w:val="superscript"/>
    </w:rPr>
  </w:style>
  <w:style w:type="paragraph" w:customStyle="1" w:styleId="Style1">
    <w:name w:val="Style1"/>
    <w:basedOn w:val="Text1"/>
    <w:qFormat/>
    <w:rsid w:val="002916DC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2916DC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2916DC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2916DC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2916DC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2916DC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2916DC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2916DC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2916DC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fi-FI" w:eastAsia="en-US"/>
    </w:rPr>
  </w:style>
  <w:style w:type="paragraph" w:customStyle="1" w:styleId="CM1">
    <w:name w:val="CM1"/>
    <w:basedOn w:val="Default"/>
    <w:next w:val="Default"/>
    <w:uiPriority w:val="99"/>
    <w:rsid w:val="002916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2916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2916DC"/>
    <w:rPr>
      <w:i/>
      <w:iCs/>
    </w:rPr>
  </w:style>
  <w:style w:type="paragraph" w:customStyle="1" w:styleId="Tetxt1">
    <w:name w:val="Tetxt 1"/>
    <w:basedOn w:val="Normal"/>
    <w:rsid w:val="002916DC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2916DC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2916DC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2916DC"/>
  </w:style>
  <w:style w:type="paragraph" w:customStyle="1" w:styleId="Numbpar">
    <w:name w:val="Numb par"/>
    <w:basedOn w:val="ManualNumbpar"/>
    <w:rsid w:val="002916DC"/>
  </w:style>
  <w:style w:type="paragraph" w:customStyle="1" w:styleId="Numbpar1">
    <w:name w:val="Numb par 1"/>
    <w:basedOn w:val="ManualNumbpar"/>
    <w:rsid w:val="002916DC"/>
  </w:style>
  <w:style w:type="paragraph" w:customStyle="1" w:styleId="Point1letter0">
    <w:name w:val="Point 1 letter"/>
    <w:basedOn w:val="NormalWeb"/>
    <w:rsid w:val="002916DC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2916DC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2916DC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916DC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916DC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916DC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2916DC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2916DC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916DC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916DC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916D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916D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916D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2916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2916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2916D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EntPE">
    <w:name w:val="EntPE"/>
    <w:basedOn w:val="Normal12"/>
    <w:rsid w:val="002916D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916DC"/>
    <w:pPr>
      <w:spacing w:after="240"/>
    </w:pPr>
    <w:rPr>
      <w:noProof/>
    </w:rPr>
  </w:style>
  <w:style w:type="paragraph" w:styleId="TOC4">
    <w:name w:val="toc 4"/>
    <w:basedOn w:val="Normal"/>
    <w:next w:val="Normal"/>
    <w:uiPriority w:val="39"/>
    <w:unhideWhenUsed/>
    <w:rsid w:val="002916DC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916DC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916DC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916DC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916DC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916DC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916DC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916D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2916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916D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916D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2916DC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916D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916DC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916DC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916DC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916D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916DC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916D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916D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916D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916DC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916DC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2916DC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2916DC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2916DC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2916DC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2916DC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2916D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916D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916D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916D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916D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916D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916D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916D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916D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916D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916DC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916DC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916DC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916DC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916D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916D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916D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916D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916D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916D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916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916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916D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916DC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916DC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16DC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916DC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2916D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916DC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2916D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2916DC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916DC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916DC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916DC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916DC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916DC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916DC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916DC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916DC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916DC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916DC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916DC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916DC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916DC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916D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916DC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916D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916D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916D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916D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916D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2916D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2916D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916D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916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916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916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916DC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916DC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916DC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916DC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916DC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916DC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916D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916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916DC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916DC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916DC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916DC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916DC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916DC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916D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916D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916D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16DC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916DC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916D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2916D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916D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916D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916DC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916DC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916D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2916DC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916D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916D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916DC"/>
  </w:style>
  <w:style w:type="paragraph" w:customStyle="1" w:styleId="StatutPagedecouverture">
    <w:name w:val="Statut (Page de couverture)"/>
    <w:basedOn w:val="Statut"/>
    <w:next w:val="TypedudocumentPagedecouverture"/>
    <w:rsid w:val="002916DC"/>
  </w:style>
  <w:style w:type="paragraph" w:customStyle="1" w:styleId="TitreobjetPagedecouverture">
    <w:name w:val="Titre objet (Page de couverture)"/>
    <w:basedOn w:val="Titreobjet"/>
    <w:next w:val="IntrtEEEPagedecouverture"/>
    <w:rsid w:val="002916D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916DC"/>
  </w:style>
  <w:style w:type="paragraph" w:customStyle="1" w:styleId="Volume">
    <w:name w:val="Volume"/>
    <w:basedOn w:val="Normal"/>
    <w:next w:val="Confidentialit"/>
    <w:rsid w:val="002916D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916DC"/>
    <w:pPr>
      <w:spacing w:after="240"/>
    </w:pPr>
  </w:style>
  <w:style w:type="paragraph" w:customStyle="1" w:styleId="Accompagnant">
    <w:name w:val="Accompagnant"/>
    <w:basedOn w:val="Normal"/>
    <w:next w:val="Typeacteprincipal"/>
    <w:rsid w:val="002916DC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916DC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916DC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916DC"/>
  </w:style>
  <w:style w:type="paragraph" w:customStyle="1" w:styleId="AccompagnantPagedecouverture">
    <w:name w:val="Accompagnant (Page de couverture)"/>
    <w:basedOn w:val="Accompagnant"/>
    <w:next w:val="TypeacteprincipalPagedecouverture"/>
    <w:rsid w:val="002916D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916DC"/>
  </w:style>
  <w:style w:type="paragraph" w:customStyle="1" w:styleId="ObjetacteprincipalPagedecouverture">
    <w:name w:val="Objet acte principal (Page de couverture)"/>
    <w:basedOn w:val="Objetacteprincipal"/>
    <w:next w:val="Rfrencecroise"/>
    <w:rsid w:val="002916DC"/>
  </w:style>
  <w:style w:type="paragraph" w:customStyle="1" w:styleId="LanguesfaisantfoiPagedecouverture">
    <w:name w:val="Langues faisant foi (Page de couverture)"/>
    <w:basedOn w:val="Normal"/>
    <w:next w:val="Normal"/>
    <w:rsid w:val="002916D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2916DC"/>
    <w:pPr>
      <w:spacing w:after="240"/>
    </w:pPr>
  </w:style>
  <w:style w:type="paragraph" w:customStyle="1" w:styleId="Normal6a">
    <w:name w:val="Normal6a"/>
    <w:basedOn w:val="Normal"/>
    <w:rsid w:val="002916DC"/>
    <w:pPr>
      <w:spacing w:after="120"/>
    </w:pPr>
  </w:style>
  <w:style w:type="paragraph" w:customStyle="1" w:styleId="PageHeadingNotTOC">
    <w:name w:val="PageHeadingNotTOC"/>
    <w:basedOn w:val="Normal"/>
    <w:rsid w:val="002916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2916DC"/>
    <w:pPr>
      <w:spacing w:after="240"/>
    </w:pPr>
    <w:rPr>
      <w:i/>
    </w:rPr>
  </w:style>
  <w:style w:type="paragraph" w:customStyle="1" w:styleId="AmCrossRef">
    <w:name w:val="AmCrossRef"/>
    <w:basedOn w:val="Normal"/>
    <w:rsid w:val="002916D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916DC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2916D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2916D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916DC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2916DC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2916DC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2916DC"/>
    <w:pPr>
      <w:spacing w:after="120"/>
    </w:pPr>
  </w:style>
  <w:style w:type="paragraph" w:customStyle="1" w:styleId="Normal12Italic">
    <w:name w:val="Normal12Italic"/>
    <w:basedOn w:val="Normal"/>
    <w:rsid w:val="002916DC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916DC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2916D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916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916DC"/>
    <w:pPr>
      <w:jc w:val="right"/>
    </w:pPr>
    <w:rPr>
      <w:lang w:val="fi-FI"/>
    </w:rPr>
  </w:style>
  <w:style w:type="paragraph" w:customStyle="1" w:styleId="RollCallSymbols14pt">
    <w:name w:val="RollCallSymbols14pt"/>
    <w:basedOn w:val="Normal"/>
    <w:rsid w:val="002916D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916D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916D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916DC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2916D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916DC"/>
    <w:rPr>
      <w:sz w:val="24"/>
      <w:lang w:val="fi-FI"/>
    </w:rPr>
  </w:style>
  <w:style w:type="paragraph" w:customStyle="1" w:styleId="CommitteeAM">
    <w:name w:val="CommitteeAM"/>
    <w:basedOn w:val="Normal"/>
    <w:rsid w:val="002916D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916D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916DC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916DC"/>
    <w:rPr>
      <w:noProof/>
      <w:sz w:val="24"/>
      <w:lang w:val="fi-FI"/>
    </w:rPr>
  </w:style>
  <w:style w:type="paragraph" w:customStyle="1" w:styleId="PELeft">
    <w:name w:val="PELeft"/>
    <w:basedOn w:val="Normal"/>
    <w:rsid w:val="002916D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916DC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2916DC"/>
    <w:pPr>
      <w:spacing w:before="240"/>
      <w:jc w:val="center"/>
    </w:pPr>
    <w:rPr>
      <w:i/>
    </w:rPr>
  </w:style>
  <w:style w:type="character" w:customStyle="1" w:styleId="Footer2Middle">
    <w:name w:val="Footer2Middle"/>
    <w:rsid w:val="002916DC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2916DC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2916DC"/>
    <w:pPr>
      <w:jc w:val="center"/>
    </w:pPr>
    <w:rPr>
      <w:b/>
      <w:i/>
    </w:rPr>
  </w:style>
  <w:style w:type="paragraph" w:styleId="NoSpacing">
    <w:name w:val="No Spacing"/>
    <w:uiPriority w:val="1"/>
    <w:qFormat/>
    <w:rsid w:val="002916DC"/>
    <w:pPr>
      <w:widowControl w:val="0"/>
    </w:pPr>
    <w:rPr>
      <w:sz w:val="24"/>
      <w:szCs w:val="24"/>
      <w:lang w:val="fi-FI"/>
    </w:rPr>
  </w:style>
  <w:style w:type="character" w:customStyle="1" w:styleId="SupBoldItalic">
    <w:name w:val="SupBoldItalic"/>
    <w:uiPriority w:val="1"/>
    <w:qFormat/>
    <w:rsid w:val="002916DC"/>
    <w:rPr>
      <w:b/>
      <w:i/>
      <w:vertAlign w:val="superscript"/>
    </w:rPr>
  </w:style>
  <w:style w:type="paragraph" w:customStyle="1" w:styleId="msonormal0">
    <w:name w:val="msonormal"/>
    <w:basedOn w:val="Normal"/>
    <w:rsid w:val="002916D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2916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16DC"/>
    <w:rPr>
      <w:sz w:val="24"/>
      <w:lang w:val="fi-FI"/>
    </w:rPr>
  </w:style>
  <w:style w:type="paragraph" w:customStyle="1" w:styleId="AmDocTypeTab">
    <w:name w:val="AmDocTypeTab"/>
    <w:basedOn w:val="Normal"/>
    <w:rsid w:val="00B3578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B35789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B3578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3578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B3578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B3578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3578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3578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3578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3578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3578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3578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3578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3578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3578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35789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35789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35789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35789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35789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35789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35789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B3578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3578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B3578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3578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3578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3578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B3578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3578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3578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3578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3578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35789"/>
    <w:pPr>
      <w:spacing w:before="240"/>
    </w:pPr>
  </w:style>
  <w:style w:type="paragraph" w:customStyle="1" w:styleId="Accordtitre">
    <w:name w:val="Accord titre"/>
    <w:basedOn w:val="Normal"/>
    <w:rsid w:val="00B3578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3578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3578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3578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3578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357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357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357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357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3578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3578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3578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3578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3578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3578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3578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3578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3578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3578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3578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3578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3578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3578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3578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3578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3578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3578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3578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3578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3578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357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3578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B3578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3578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35789"/>
    <w:rPr>
      <w:b/>
      <w:i/>
    </w:rPr>
  </w:style>
  <w:style w:type="character" w:customStyle="1" w:styleId="diff-tte-removed">
    <w:name w:val="diff-tte-removed"/>
    <w:basedOn w:val="DefaultParagraphFont"/>
    <w:rsid w:val="00B35789"/>
    <w:rPr>
      <w:strike/>
    </w:rPr>
  </w:style>
  <w:style w:type="paragraph" w:customStyle="1" w:styleId="Normal1">
    <w:name w:val="Normal1"/>
    <w:basedOn w:val="Normal"/>
    <w:rsid w:val="00B35789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B35789"/>
  </w:style>
  <w:style w:type="character" w:customStyle="1" w:styleId="lexicoexa">
    <w:name w:val="lexico_exa"/>
    <w:basedOn w:val="DefaultParagraphFont"/>
    <w:rsid w:val="00B35789"/>
  </w:style>
  <w:style w:type="character" w:customStyle="1" w:styleId="lexicolabelgrp">
    <w:name w:val="lexico_labelgrp"/>
    <w:basedOn w:val="DefaultParagraphFont"/>
    <w:rsid w:val="00B3578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5789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35789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B35789"/>
    <w:rPr>
      <w:color w:val="2B579A"/>
      <w:shd w:val="clear" w:color="auto" w:fill="E1DFDD"/>
    </w:rPr>
  </w:style>
  <w:style w:type="paragraph" w:customStyle="1" w:styleId="Title1">
    <w:name w:val="Title1"/>
    <w:basedOn w:val="Normal"/>
    <w:next w:val="Normal"/>
    <w:uiPriority w:val="10"/>
    <w:qFormat/>
    <w:rsid w:val="00B35789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35789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B35789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35789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B35789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B35789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35789"/>
    <w:rPr>
      <w:rFonts w:eastAsia="Calibri"/>
      <w:i/>
      <w:sz w:val="24"/>
      <w:szCs w:val="24"/>
      <w:lang w:val="fi-F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789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789"/>
    <w:rPr>
      <w:rFonts w:eastAsia="Calibri"/>
      <w:b/>
      <w:i/>
      <w:sz w:val="24"/>
      <w:szCs w:val="22"/>
      <w:lang w:val="fi-FI" w:eastAsia="en-US"/>
    </w:rPr>
  </w:style>
  <w:style w:type="character" w:customStyle="1" w:styleId="SubtleEmphasis1">
    <w:name w:val="Subtle Emphasis1"/>
    <w:uiPriority w:val="19"/>
    <w:qFormat/>
    <w:rsid w:val="00B35789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B3578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3578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35789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B35789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B35789"/>
  </w:style>
  <w:style w:type="paragraph" w:styleId="Title">
    <w:name w:val="Title"/>
    <w:basedOn w:val="Normal"/>
    <w:next w:val="Normal"/>
    <w:link w:val="TitleChar"/>
    <w:uiPriority w:val="10"/>
    <w:qFormat/>
    <w:rsid w:val="00B35789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B35789"/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789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B3578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i-FI"/>
    </w:rPr>
  </w:style>
  <w:style w:type="character" w:styleId="SubtleEmphasis">
    <w:name w:val="Subtle Emphasis"/>
    <w:basedOn w:val="DefaultParagraphFont"/>
    <w:uiPriority w:val="19"/>
    <w:qFormat/>
    <w:rsid w:val="00B35789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B35789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45ADB-C707-4B86-AA00-7A1269AC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2024-09-11T17:31:00Z</dcterms:created>
  <dcterms:modified xsi:type="dcterms:W3CDTF">2024-09-11T17:31:00Z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