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3119"/>
      </w:tblGrid>
      <w:tr w:rsidR="00751A4A" w:rsidRPr="00EF5CF9" w:rsidTr="0028497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5CF9" w:rsidRDefault="00EF3C5B" w:rsidP="0010095E">
            <w:pPr>
              <w:pStyle w:val="EPName"/>
            </w:pPr>
            <w:r w:rsidRPr="00EF5CF9">
              <w:t>Parlamento europeo</w:t>
            </w:r>
          </w:p>
          <w:p w:rsidR="00751A4A" w:rsidRPr="00EF5C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1DBF">
              <w:t>2019</w:t>
            </w:r>
            <w:r w:rsidRPr="00EF5CF9">
              <w:t>-</w:t>
            </w:r>
            <w:r w:rsidRPr="00AA1DBF">
              <w:t>2024</w:t>
            </w:r>
          </w:p>
        </w:tc>
        <w:tc>
          <w:tcPr>
            <w:tcW w:w="3119" w:type="dxa"/>
            <w:shd w:val="clear" w:color="auto" w:fill="auto"/>
          </w:tcPr>
          <w:p w:rsidR="00751A4A" w:rsidRPr="00EF5CF9" w:rsidRDefault="00187494" w:rsidP="0010095E">
            <w:pPr>
              <w:pStyle w:val="EPLogo"/>
            </w:pPr>
            <w:r w:rsidRPr="00EF5CF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5CF9" w:rsidRDefault="00D058B8" w:rsidP="004C5D52">
      <w:pPr>
        <w:pStyle w:val="LineTop"/>
      </w:pPr>
    </w:p>
    <w:p w:rsidR="00680577" w:rsidRPr="00EF5CF9" w:rsidRDefault="00EF3C5B" w:rsidP="00680577">
      <w:pPr>
        <w:pStyle w:val="EPBodyTA1"/>
      </w:pPr>
      <w:r w:rsidRPr="00EF5CF9">
        <w:t>TESTI APPROVATI</w:t>
      </w:r>
    </w:p>
    <w:p w:rsidR="00D058B8" w:rsidRPr="00EF5CF9" w:rsidRDefault="00D058B8" w:rsidP="00D058B8">
      <w:pPr>
        <w:pStyle w:val="LineBottom"/>
      </w:pPr>
    </w:p>
    <w:p w:rsidR="00EF3C5B" w:rsidRPr="00EF5CF9" w:rsidRDefault="00EF3C5B" w:rsidP="00EF3C5B">
      <w:pPr>
        <w:pStyle w:val="ATHeading1"/>
      </w:pPr>
      <w:bookmarkStart w:id="0" w:name="TANumber"/>
      <w:r w:rsidRPr="00EF5CF9">
        <w:t>P</w:t>
      </w:r>
      <w:r w:rsidRPr="00AA1DBF">
        <w:t>9</w:t>
      </w:r>
      <w:r w:rsidRPr="00EF5CF9">
        <w:t>_</w:t>
      </w:r>
      <w:proofErr w:type="gramStart"/>
      <w:r w:rsidRPr="00EF5CF9">
        <w:t>TA(</w:t>
      </w:r>
      <w:proofErr w:type="gramEnd"/>
      <w:r w:rsidRPr="00AA1DBF">
        <w:t>2024</w:t>
      </w:r>
      <w:r w:rsidRPr="00EF5CF9">
        <w:t>)</w:t>
      </w:r>
      <w:r w:rsidRPr="00AA1DBF">
        <w:t>0</w:t>
      </w:r>
      <w:bookmarkEnd w:id="0"/>
      <w:r w:rsidR="00EF5CF9" w:rsidRPr="00AA1DBF">
        <w:t>366</w:t>
      </w:r>
    </w:p>
    <w:p w:rsidR="00EF3C5B" w:rsidRPr="00EF5CF9" w:rsidRDefault="00EF3C5B" w:rsidP="00EF3C5B">
      <w:pPr>
        <w:pStyle w:val="ATHeading2"/>
      </w:pPr>
      <w:bookmarkStart w:id="1" w:name="title"/>
      <w:r w:rsidRPr="00EF5CF9">
        <w:t>Istituzione dell'Autorità per la lotta al riciclaggio e al finanziamento del terrorismo</w:t>
      </w:r>
      <w:bookmarkEnd w:id="1"/>
    </w:p>
    <w:p w:rsidR="00EF3C5B" w:rsidRPr="00EF5CF9" w:rsidRDefault="00EF3C5B" w:rsidP="00EF3C5B">
      <w:pPr>
        <w:rPr>
          <w:i/>
          <w:vanish/>
        </w:rPr>
      </w:pPr>
      <w:r w:rsidRPr="00EF5CF9">
        <w:rPr>
          <w:i/>
        </w:rPr>
        <w:fldChar w:fldCharType="begin"/>
      </w:r>
      <w:r w:rsidRPr="00EF5CF9">
        <w:rPr>
          <w:i/>
        </w:rPr>
        <w:instrText xml:space="preserve"> TC"(</w:instrText>
      </w:r>
      <w:bookmarkStart w:id="2" w:name="DocNumber"/>
      <w:r w:rsidRPr="00EF5CF9">
        <w:rPr>
          <w:i/>
        </w:rPr>
        <w:instrText>A</w:instrText>
      </w:r>
      <w:r w:rsidRPr="00AA1DBF">
        <w:rPr>
          <w:i/>
        </w:rPr>
        <w:instrText>9</w:instrText>
      </w:r>
      <w:r w:rsidRPr="00EF5CF9">
        <w:rPr>
          <w:i/>
        </w:rPr>
        <w:instrText>-</w:instrText>
      </w:r>
      <w:r w:rsidRPr="00AA1DBF">
        <w:rPr>
          <w:i/>
        </w:rPr>
        <w:instrText>0128</w:instrText>
      </w:r>
      <w:r w:rsidRPr="00EF5CF9">
        <w:rPr>
          <w:i/>
        </w:rPr>
        <w:instrText>/</w:instrText>
      </w:r>
      <w:r w:rsidRPr="00AA1DBF">
        <w:rPr>
          <w:i/>
        </w:rPr>
        <w:instrText>2023</w:instrText>
      </w:r>
      <w:bookmarkEnd w:id="2"/>
      <w:r w:rsidRPr="00EF5CF9">
        <w:rPr>
          <w:i/>
        </w:rPr>
        <w:instrText xml:space="preserve"> - Relatori: Eva Maria </w:instrText>
      </w:r>
      <w:proofErr w:type="spellStart"/>
      <w:r w:rsidRPr="00EF5CF9">
        <w:rPr>
          <w:i/>
        </w:rPr>
        <w:instrText>Poptcheva</w:instrText>
      </w:r>
      <w:proofErr w:type="spellEnd"/>
      <w:r w:rsidRPr="00EF5CF9">
        <w:rPr>
          <w:i/>
        </w:rPr>
        <w:instrText xml:space="preserve">, </w:instrText>
      </w:r>
      <w:proofErr w:type="spellStart"/>
      <w:r w:rsidRPr="00EF5CF9">
        <w:rPr>
          <w:i/>
        </w:rPr>
        <w:instrText>Emil</w:instrText>
      </w:r>
      <w:proofErr w:type="spellEnd"/>
      <w:r w:rsidRPr="00EF5CF9">
        <w:rPr>
          <w:i/>
        </w:rPr>
        <w:instrText xml:space="preserve"> </w:instrText>
      </w:r>
      <w:proofErr w:type="spellStart"/>
      <w:r w:rsidRPr="00EF5CF9">
        <w:rPr>
          <w:i/>
        </w:rPr>
        <w:instrText>Radev</w:instrText>
      </w:r>
      <w:proofErr w:type="spellEnd"/>
      <w:r w:rsidRPr="00EF5CF9">
        <w:rPr>
          <w:i/>
        </w:rPr>
        <w:instrText>)"\l</w:instrText>
      </w:r>
      <w:r w:rsidRPr="00AA1DBF">
        <w:rPr>
          <w:i/>
        </w:rPr>
        <w:instrText>3</w:instrText>
      </w:r>
      <w:r w:rsidRPr="00EF5CF9">
        <w:rPr>
          <w:i/>
        </w:rPr>
        <w:instrText xml:space="preserve"> \n&gt; \* MERGEFORMAT </w:instrText>
      </w:r>
      <w:r w:rsidRPr="00EF5CF9">
        <w:rPr>
          <w:i/>
        </w:rPr>
        <w:fldChar w:fldCharType="end"/>
      </w:r>
    </w:p>
    <w:p w:rsidR="00EF3C5B" w:rsidRPr="00EF5CF9" w:rsidRDefault="00EF3C5B" w:rsidP="00EF3C5B">
      <w:pPr>
        <w:rPr>
          <w:vanish/>
        </w:rPr>
      </w:pPr>
      <w:bookmarkStart w:id="3" w:name="Commission"/>
      <w:r w:rsidRPr="00EF5CF9">
        <w:rPr>
          <w:vanish/>
        </w:rPr>
        <w:t>Commissione per i problemi economici e monetari</w:t>
      </w:r>
      <w:bookmarkEnd w:id="3"/>
      <w:r w:rsidR="00AF360B" w:rsidRPr="00EF5CF9">
        <w:rPr>
          <w:vanish/>
        </w:rPr>
        <w:t xml:space="preserve">, </w:t>
      </w:r>
      <w:r w:rsidR="00C6031F" w:rsidRPr="00EF5CF9">
        <w:rPr>
          <w:vanish/>
        </w:rPr>
        <w:t>c</w:t>
      </w:r>
      <w:r w:rsidR="00AF360B" w:rsidRPr="00EF5CF9">
        <w:rPr>
          <w:vanish/>
        </w:rPr>
        <w:t>ommissione per le libertà civili, la giustizia e gli affari interni</w:t>
      </w:r>
    </w:p>
    <w:p w:rsidR="00EF3C5B" w:rsidRPr="00EF5CF9" w:rsidRDefault="00EF3C5B" w:rsidP="00EF3C5B">
      <w:pPr>
        <w:rPr>
          <w:vanish/>
        </w:rPr>
      </w:pPr>
      <w:bookmarkStart w:id="4" w:name="PE"/>
      <w:r w:rsidRPr="00EF5CF9">
        <w:rPr>
          <w:vanish/>
        </w:rPr>
        <w:t>PE</w:t>
      </w:r>
      <w:r w:rsidRPr="00AA1DBF">
        <w:rPr>
          <w:vanish/>
        </w:rPr>
        <w:t>731</w:t>
      </w:r>
      <w:r w:rsidRPr="00EF5CF9">
        <w:rPr>
          <w:vanish/>
        </w:rPr>
        <w:t>.</w:t>
      </w:r>
      <w:r w:rsidRPr="00AA1DBF">
        <w:rPr>
          <w:vanish/>
        </w:rPr>
        <w:t>820</w:t>
      </w:r>
      <w:bookmarkEnd w:id="4"/>
    </w:p>
    <w:p w:rsidR="00EF3C5B" w:rsidRDefault="00EF3C5B" w:rsidP="00EF3C5B">
      <w:pPr>
        <w:pStyle w:val="ATHeading3"/>
      </w:pPr>
      <w:bookmarkStart w:id="5" w:name="Sujet"/>
      <w:r w:rsidRPr="00EF5CF9">
        <w:t xml:space="preserve">Risoluzione legislativa del Parlamento europeo del </w:t>
      </w:r>
      <w:r w:rsidRPr="00AA1DBF">
        <w:t>24</w:t>
      </w:r>
      <w:r w:rsidRPr="00EF5CF9">
        <w:t xml:space="preserve"> aprile </w:t>
      </w:r>
      <w:r w:rsidRPr="00AA1DBF">
        <w:t>2024</w:t>
      </w:r>
      <w:r w:rsidRPr="00EF5CF9">
        <w:t xml:space="preserve"> sulla proposta di regolamento del Parlamento europeo e del Consiglio che istituisce l'Autorità per la lotta al riciclaggio e al finanziamento del terrorismo e che modifica i regolamenti (UE) n. </w:t>
      </w:r>
      <w:r w:rsidRPr="00AA1DBF">
        <w:t>1093</w:t>
      </w:r>
      <w:r w:rsidRPr="00EF5CF9">
        <w:t>/</w:t>
      </w:r>
      <w:r w:rsidRPr="00AA1DBF">
        <w:t>2010</w:t>
      </w:r>
      <w:r w:rsidRPr="00EF5CF9">
        <w:t xml:space="preserve">, (UE) n. </w:t>
      </w:r>
      <w:r w:rsidRPr="00AA1DBF">
        <w:t>1094</w:t>
      </w:r>
      <w:r w:rsidRPr="00EF5CF9">
        <w:t>/</w:t>
      </w:r>
      <w:r w:rsidRPr="00AA1DBF">
        <w:t>2010</w:t>
      </w:r>
      <w:r w:rsidRPr="00EF5CF9">
        <w:t xml:space="preserve">, (UE) n. </w:t>
      </w:r>
      <w:r w:rsidRPr="00AA1DBF">
        <w:t>1095</w:t>
      </w:r>
      <w:r w:rsidRPr="00EF5CF9">
        <w:t>/</w:t>
      </w:r>
      <w:r w:rsidRPr="00AA1DBF">
        <w:t>2010</w:t>
      </w:r>
      <w:bookmarkEnd w:id="5"/>
      <w:r w:rsidRPr="00EF5CF9">
        <w:t xml:space="preserve"> </w:t>
      </w:r>
      <w:bookmarkStart w:id="6" w:name="References"/>
      <w:r w:rsidRPr="00EF5CF9">
        <w:t>(</w:t>
      </w:r>
      <w:proofErr w:type="gramStart"/>
      <w:r w:rsidRPr="00EF5CF9">
        <w:t>COM(</w:t>
      </w:r>
      <w:proofErr w:type="gramEnd"/>
      <w:r w:rsidRPr="00AA1DBF">
        <w:t>2021</w:t>
      </w:r>
      <w:r w:rsidRPr="00EF5CF9">
        <w:t>)</w:t>
      </w:r>
      <w:r w:rsidRPr="00AA1DBF">
        <w:t>0421</w:t>
      </w:r>
      <w:r w:rsidRPr="00EF5CF9">
        <w:t xml:space="preserve"> – C</w:t>
      </w:r>
      <w:r w:rsidRPr="00AA1DBF">
        <w:t>9</w:t>
      </w:r>
      <w:r w:rsidRPr="00EF5CF9">
        <w:t>-</w:t>
      </w:r>
      <w:r w:rsidRPr="00AA1DBF">
        <w:t>0340</w:t>
      </w:r>
      <w:r w:rsidRPr="00EF5CF9">
        <w:t>/</w:t>
      </w:r>
      <w:r w:rsidRPr="00AA1DBF">
        <w:t>2021</w:t>
      </w:r>
      <w:r w:rsidRPr="00EF5CF9">
        <w:t xml:space="preserve"> – </w:t>
      </w:r>
      <w:r w:rsidRPr="00AA1DBF">
        <w:t>2021</w:t>
      </w:r>
      <w:r w:rsidRPr="00EF5CF9">
        <w:t>/</w:t>
      </w:r>
      <w:r w:rsidRPr="00AA1DBF">
        <w:t>0240</w:t>
      </w:r>
      <w:r w:rsidRPr="00EF5CF9">
        <w:t>(COD))</w:t>
      </w:r>
      <w:bookmarkEnd w:id="6"/>
    </w:p>
    <w:p w:rsidR="00E75351" w:rsidRPr="00EF5CF9" w:rsidRDefault="00E75351" w:rsidP="00AF360B">
      <w:pPr>
        <w:pStyle w:val="NormalBold"/>
        <w:spacing w:before="360"/>
      </w:pPr>
      <w:bookmarkStart w:id="7" w:name="TextBodyBegin"/>
      <w:bookmarkStart w:id="8" w:name="_GoBack"/>
      <w:bookmarkEnd w:id="7"/>
      <w:bookmarkEnd w:id="8"/>
      <w:r w:rsidRPr="00EF5CF9">
        <w:t>(Procedura legislativa ordinaria: prima lettura)</w:t>
      </w:r>
    </w:p>
    <w:p w:rsidR="00E75351" w:rsidRPr="00EF5CF9" w:rsidRDefault="00E75351" w:rsidP="00E75351">
      <w:pPr>
        <w:pStyle w:val="EPComma"/>
      </w:pPr>
      <w:r w:rsidRPr="00EF5CF9">
        <w:rPr>
          <w:i/>
        </w:rPr>
        <w:t>Il Parlamento europeo,</w:t>
      </w:r>
    </w:p>
    <w:p w:rsidR="00E75351" w:rsidRPr="00EF5CF9" w:rsidRDefault="00E75351" w:rsidP="00E75351">
      <w:pPr>
        <w:pStyle w:val="NormalHanging12a"/>
      </w:pPr>
      <w:r w:rsidRPr="00EF5CF9">
        <w:t>–</w:t>
      </w:r>
      <w:r w:rsidRPr="00EF5CF9">
        <w:tab/>
        <w:t>vista la proposta della Commissione al Parlamento europeo e al Consiglio (</w:t>
      </w:r>
      <w:proofErr w:type="gramStart"/>
      <w:r w:rsidRPr="00EF5CF9">
        <w:t>COM(</w:t>
      </w:r>
      <w:proofErr w:type="gramEnd"/>
      <w:r w:rsidRPr="00AA1DBF">
        <w:t>2021</w:t>
      </w:r>
      <w:r w:rsidRPr="00EF5CF9">
        <w:t>)</w:t>
      </w:r>
      <w:r w:rsidRPr="00AA1DBF">
        <w:t>0421</w:t>
      </w:r>
      <w:r w:rsidRPr="00EF5CF9">
        <w:t>),</w:t>
      </w:r>
    </w:p>
    <w:p w:rsidR="00E75351" w:rsidRPr="00EF5CF9" w:rsidRDefault="00E75351" w:rsidP="00E75351">
      <w:pPr>
        <w:pStyle w:val="NormalHanging12a"/>
      </w:pPr>
      <w:r w:rsidRPr="00EF5CF9">
        <w:t>–</w:t>
      </w:r>
      <w:r w:rsidRPr="00EF5CF9">
        <w:tab/>
        <w:t xml:space="preserve">visti l'articolo </w:t>
      </w:r>
      <w:r w:rsidRPr="00AA1DBF">
        <w:t>294</w:t>
      </w:r>
      <w:r w:rsidRPr="00EF5CF9">
        <w:t xml:space="preserve">, paragrafo </w:t>
      </w:r>
      <w:r w:rsidRPr="00AA1DBF">
        <w:t>2</w:t>
      </w:r>
      <w:r w:rsidRPr="00EF5CF9">
        <w:t xml:space="preserve">, e l'articolo </w:t>
      </w:r>
      <w:r w:rsidRPr="00AA1DBF">
        <w:t>114</w:t>
      </w:r>
      <w:r w:rsidRPr="00EF5CF9">
        <w:t xml:space="preserve"> del trattato sul funzionamento dell'Unione europea, a norma dei quali la proposta gli è stata presentata dalla Commissione (C</w:t>
      </w:r>
      <w:r w:rsidRPr="00AA1DBF">
        <w:t>9</w:t>
      </w:r>
      <w:r w:rsidRPr="00EF5CF9">
        <w:t>-</w:t>
      </w:r>
      <w:r w:rsidRPr="00AA1DBF">
        <w:t>0340</w:t>
      </w:r>
      <w:r w:rsidRPr="00EF5CF9">
        <w:t>/</w:t>
      </w:r>
      <w:r w:rsidRPr="00AA1DBF">
        <w:t>2021</w:t>
      </w:r>
      <w:r w:rsidRPr="00EF5CF9">
        <w:t>),</w:t>
      </w:r>
    </w:p>
    <w:p w:rsidR="00E75351" w:rsidRPr="00EF5CF9" w:rsidRDefault="00E75351" w:rsidP="00E75351">
      <w:pPr>
        <w:pStyle w:val="NormalHanging12a"/>
      </w:pPr>
      <w:r w:rsidRPr="00EF5CF9">
        <w:t>–</w:t>
      </w:r>
      <w:r w:rsidRPr="00EF5CF9">
        <w:tab/>
        <w:t xml:space="preserve">visto l'articolo </w:t>
      </w:r>
      <w:r w:rsidRPr="00AA1DBF">
        <w:t>294</w:t>
      </w:r>
      <w:r w:rsidRPr="00EF5CF9">
        <w:t xml:space="preserve">, paragrafo </w:t>
      </w:r>
      <w:r w:rsidRPr="00AA1DBF">
        <w:t>3</w:t>
      </w:r>
      <w:r w:rsidRPr="00EF5CF9">
        <w:t>, del trattato sul funzionamento dell'Unione europea,</w:t>
      </w:r>
    </w:p>
    <w:p w:rsidR="00E75351" w:rsidRPr="00EF5CF9" w:rsidRDefault="00E75351" w:rsidP="00E75351">
      <w:pPr>
        <w:spacing w:after="240"/>
        <w:ind w:left="567" w:hanging="567"/>
      </w:pPr>
      <w:r w:rsidRPr="00EF5CF9">
        <w:t>–</w:t>
      </w:r>
      <w:r w:rsidRPr="00EF5CF9">
        <w:tab/>
        <w:t>visto il parere del Comitato economico e sociale europeo dell'</w:t>
      </w:r>
      <w:r w:rsidRPr="00AA1DBF">
        <w:t>8</w:t>
      </w:r>
      <w:r w:rsidRPr="00EF5CF9">
        <w:t xml:space="preserve"> dicembre </w:t>
      </w:r>
      <w:r w:rsidRPr="00AA1DBF">
        <w:t>2021</w:t>
      </w:r>
      <w:r w:rsidRPr="00EF5CF9">
        <w:rPr>
          <w:vertAlign w:val="superscript"/>
        </w:rPr>
        <w:footnoteReference w:id="1"/>
      </w:r>
      <w:r w:rsidRPr="00EF5CF9">
        <w:t>,</w:t>
      </w:r>
    </w:p>
    <w:p w:rsidR="00AF360B" w:rsidRPr="00EF5CF9" w:rsidRDefault="00AF360B" w:rsidP="00E75351">
      <w:pPr>
        <w:pStyle w:val="NormalHanging12a"/>
      </w:pPr>
      <w:r w:rsidRPr="00EF5CF9">
        <w:t>–</w:t>
      </w:r>
      <w:r w:rsidRPr="00EF5CF9">
        <w:tab/>
        <w:t xml:space="preserve">visti l'accordo provvisorio approvato dalle commissioni competenti a norma dell'articolo </w:t>
      </w:r>
      <w:r w:rsidRPr="00AA1DBF">
        <w:t>74</w:t>
      </w:r>
      <w:r w:rsidRPr="00EF5CF9">
        <w:t xml:space="preserve">, paragrafo </w:t>
      </w:r>
      <w:r w:rsidRPr="00AA1DBF">
        <w:t>4</w:t>
      </w:r>
      <w:r w:rsidRPr="00EF5CF9">
        <w:t xml:space="preserve">, del regolamento e l'impegno assunto dal rappresentante del Consiglio, con lettera del </w:t>
      </w:r>
      <w:r w:rsidRPr="00AA1DBF">
        <w:t>29</w:t>
      </w:r>
      <w:r w:rsidRPr="00EF5CF9">
        <w:t xml:space="preserve"> febbraio </w:t>
      </w:r>
      <w:r w:rsidRPr="00AA1DBF">
        <w:t>2024</w:t>
      </w:r>
      <w:r w:rsidRPr="00EF5CF9">
        <w:t xml:space="preserve">, di approvare la posizione del Parlamento europeo, in conformità dell'articolo </w:t>
      </w:r>
      <w:r w:rsidRPr="00AA1DBF">
        <w:t>294</w:t>
      </w:r>
      <w:r w:rsidRPr="00EF5CF9">
        <w:t xml:space="preserve">, paragrafo </w:t>
      </w:r>
      <w:r w:rsidRPr="00AA1DBF">
        <w:t>4</w:t>
      </w:r>
      <w:r w:rsidRPr="00EF5CF9">
        <w:t>, del trattato sul funzionamento dell'Unione europea,</w:t>
      </w:r>
    </w:p>
    <w:p w:rsidR="00E75351" w:rsidRPr="00EF5CF9" w:rsidRDefault="00E75351" w:rsidP="00E75351">
      <w:pPr>
        <w:pStyle w:val="NormalHanging12a"/>
      </w:pPr>
      <w:r w:rsidRPr="00EF5CF9">
        <w:t>–</w:t>
      </w:r>
      <w:r w:rsidRPr="00EF5CF9">
        <w:tab/>
        <w:t xml:space="preserve">visto l'articolo </w:t>
      </w:r>
      <w:r w:rsidRPr="00AA1DBF">
        <w:t>59</w:t>
      </w:r>
      <w:r w:rsidRPr="00EF5CF9">
        <w:t xml:space="preserve"> del suo regolamento,</w:t>
      </w:r>
    </w:p>
    <w:p w:rsidR="00C6031F" w:rsidRPr="00EF5CF9" w:rsidRDefault="00C6031F" w:rsidP="00C6031F">
      <w:pPr>
        <w:pStyle w:val="NormalHanging12a"/>
      </w:pPr>
      <w:r w:rsidRPr="00EF5CF9">
        <w:t>–</w:t>
      </w:r>
      <w:r w:rsidRPr="00EF5CF9">
        <w:tab/>
      </w:r>
      <w:r w:rsidRPr="00EF5CF9">
        <w:rPr>
          <w:szCs w:val="24"/>
        </w:rPr>
        <w:t xml:space="preserve">viste le deliberazioni congiunte della </w:t>
      </w:r>
      <w:r w:rsidRPr="00AA1DBF">
        <w:rPr>
          <w:szCs w:val="24"/>
        </w:rPr>
        <w:t>commissione per i problemi economici e monetari e della</w:t>
      </w:r>
      <w:r w:rsidRPr="00EF5CF9">
        <w:rPr>
          <w:vanish/>
        </w:rPr>
        <w:t xml:space="preserve"> </w:t>
      </w:r>
      <w:r w:rsidRPr="00EF5CF9">
        <w:rPr>
          <w:szCs w:val="24"/>
        </w:rPr>
        <w:t xml:space="preserve">commissione per le libertà civili, la giustizia e gli affari interni a norma dell'articolo </w:t>
      </w:r>
      <w:r w:rsidRPr="00AA1DBF">
        <w:rPr>
          <w:szCs w:val="24"/>
        </w:rPr>
        <w:t>58</w:t>
      </w:r>
      <w:r w:rsidRPr="00EF5CF9">
        <w:rPr>
          <w:szCs w:val="24"/>
        </w:rPr>
        <w:t xml:space="preserve"> del regolamento,</w:t>
      </w:r>
    </w:p>
    <w:p w:rsidR="00E75351" w:rsidRPr="00EF5CF9" w:rsidRDefault="00E75351" w:rsidP="00E75351">
      <w:pPr>
        <w:pStyle w:val="NormalHanging12a"/>
      </w:pPr>
      <w:r w:rsidRPr="00EF5CF9">
        <w:t>–</w:t>
      </w:r>
      <w:r w:rsidRPr="00EF5CF9">
        <w:tab/>
        <w:t>visti i pareri della commissione per i bilanci, della commissione per il controllo dei bilanci e della commissione per gli affari costituzionali,</w:t>
      </w:r>
    </w:p>
    <w:p w:rsidR="00E75351" w:rsidRPr="00EF5CF9" w:rsidRDefault="00E75351" w:rsidP="00E75351">
      <w:pPr>
        <w:pStyle w:val="NormalHanging12a"/>
      </w:pPr>
      <w:r w:rsidRPr="00EF5CF9">
        <w:lastRenderedPageBreak/>
        <w:t>–</w:t>
      </w:r>
      <w:r w:rsidRPr="00EF5CF9">
        <w:tab/>
        <w:t>vista la relazione della commissione per i problemi economici e monetari e della commissione per le libertà civili, la giustizia e gli affari interni (A</w:t>
      </w:r>
      <w:r w:rsidRPr="00AA1DBF">
        <w:t>9</w:t>
      </w:r>
      <w:r w:rsidRPr="00EF5CF9">
        <w:t>-</w:t>
      </w:r>
      <w:r w:rsidRPr="00AA1DBF">
        <w:t>0128</w:t>
      </w:r>
      <w:r w:rsidRPr="00EF5CF9">
        <w:t>/</w:t>
      </w:r>
      <w:r w:rsidRPr="00AA1DBF">
        <w:t>2023</w:t>
      </w:r>
      <w:r w:rsidRPr="00EF5CF9">
        <w:t>),</w:t>
      </w:r>
    </w:p>
    <w:p w:rsidR="00E75351" w:rsidRPr="00EF5CF9" w:rsidRDefault="00E75351" w:rsidP="00E75351">
      <w:pPr>
        <w:pStyle w:val="NormalHanging12a"/>
      </w:pPr>
      <w:r w:rsidRPr="00AA1DBF">
        <w:t>1</w:t>
      </w:r>
      <w:r w:rsidRPr="00EF5CF9">
        <w:t>.</w:t>
      </w:r>
      <w:r w:rsidRPr="00EF5CF9">
        <w:tab/>
        <w:t>adotta la posizione in prima lettura figurante in appresso;</w:t>
      </w:r>
    </w:p>
    <w:p w:rsidR="00E75351" w:rsidRPr="00EF5CF9" w:rsidRDefault="00E75351" w:rsidP="00E75351">
      <w:pPr>
        <w:pStyle w:val="NormalHanging12a"/>
      </w:pPr>
      <w:r w:rsidRPr="00AA1DBF">
        <w:t>2</w:t>
      </w:r>
      <w:r w:rsidRPr="00EF5CF9">
        <w:t>.</w:t>
      </w:r>
      <w:r w:rsidRPr="00EF5CF9">
        <w:tab/>
        <w:t>chiede alla Commissione di presentargli nuovamente la proposta qualora la sostituisca, la modifichi sostanzialmente o intenda modificarla sostanzialmente;</w:t>
      </w:r>
    </w:p>
    <w:p w:rsidR="00E75351" w:rsidRPr="00EF5CF9" w:rsidRDefault="00E75351" w:rsidP="00E75351">
      <w:pPr>
        <w:pStyle w:val="NormalHanging12a"/>
      </w:pPr>
      <w:r w:rsidRPr="00AA1DBF">
        <w:t>3</w:t>
      </w:r>
      <w:r w:rsidRPr="00EF5CF9">
        <w:t>.</w:t>
      </w:r>
      <w:r w:rsidRPr="00EF5CF9">
        <w:tab/>
        <w:t>incarica la sua Presidente di trasmettere la posizione del Parlamento al Consiglio e alla Commissione nonché ai parlamenti nazionali.</w:t>
      </w:r>
    </w:p>
    <w:p w:rsidR="00AF360B" w:rsidRPr="00EF5CF9" w:rsidRDefault="00AF360B" w:rsidP="00E75351">
      <w:pPr>
        <w:pStyle w:val="NormalHanging12a"/>
        <w:sectPr w:rsidR="00AF360B" w:rsidRPr="00EF5CF9" w:rsidSect="002C66F1">
          <w:footerReference w:type="even" r:id="rId9"/>
          <w:footerReference w:type="first" r:id="rId10"/>
          <w:footnotePr>
            <w:numRestart w:val="eachSect"/>
          </w:footnotePr>
          <w:pgSz w:w="12240" w:h="15840"/>
          <w:pgMar w:top="794" w:right="907" w:bottom="851" w:left="1361" w:header="510" w:footer="454" w:gutter="0"/>
          <w:cols w:space="720"/>
          <w:docGrid w:linePitch="326"/>
        </w:sectPr>
      </w:pPr>
    </w:p>
    <w:p w:rsidR="002F2269" w:rsidRPr="00EF5CF9" w:rsidRDefault="002F2269" w:rsidP="002F2269">
      <w:pPr>
        <w:spacing w:after="240"/>
        <w:rPr>
          <w:b/>
        </w:rPr>
      </w:pPr>
      <w:r w:rsidRPr="00EF5CF9">
        <w:rPr>
          <w:b/>
        </w:rPr>
        <w:lastRenderedPageBreak/>
        <w:t>P</w:t>
      </w:r>
      <w:r w:rsidRPr="00AA1DBF">
        <w:rPr>
          <w:b/>
        </w:rPr>
        <w:t>9</w:t>
      </w:r>
      <w:r w:rsidRPr="00EF5CF9">
        <w:rPr>
          <w:b/>
        </w:rPr>
        <w:t>_TC</w:t>
      </w:r>
      <w:r w:rsidRPr="00AA1DBF">
        <w:rPr>
          <w:b/>
        </w:rPr>
        <w:t>1</w:t>
      </w:r>
      <w:r w:rsidRPr="00EF5CF9">
        <w:rPr>
          <w:b/>
        </w:rPr>
        <w:t>-</w:t>
      </w:r>
      <w:proofErr w:type="gramStart"/>
      <w:r w:rsidRPr="00EF5CF9">
        <w:rPr>
          <w:b/>
        </w:rPr>
        <w:t>COD(</w:t>
      </w:r>
      <w:proofErr w:type="gramEnd"/>
      <w:r w:rsidRPr="00AA1DBF">
        <w:rPr>
          <w:b/>
        </w:rPr>
        <w:t>2021</w:t>
      </w:r>
      <w:r w:rsidRPr="00EF5CF9">
        <w:rPr>
          <w:b/>
        </w:rPr>
        <w:t>)</w:t>
      </w:r>
      <w:r w:rsidRPr="00AA1DBF">
        <w:rPr>
          <w:b/>
        </w:rPr>
        <w:t>0240</w:t>
      </w:r>
    </w:p>
    <w:p w:rsidR="002F2269" w:rsidRPr="00EF5CF9" w:rsidRDefault="002F2269" w:rsidP="002F2269">
      <w:pPr>
        <w:spacing w:before="120" w:after="360"/>
        <w:rPr>
          <w:rFonts w:eastAsia="Calibri"/>
          <w:b/>
          <w:szCs w:val="22"/>
          <w:lang w:eastAsia="en-US"/>
        </w:rPr>
      </w:pPr>
      <w:r w:rsidRPr="00EF5CF9">
        <w:rPr>
          <w:b/>
        </w:rPr>
        <w:t xml:space="preserve">Posizione del Parlamento europeo definita in prima lettura il </w:t>
      </w:r>
      <w:r w:rsidRPr="00AA1DBF">
        <w:rPr>
          <w:b/>
        </w:rPr>
        <w:t>24</w:t>
      </w:r>
      <w:r w:rsidRPr="00EF5CF9">
        <w:rPr>
          <w:b/>
        </w:rPr>
        <w:t xml:space="preserve"> aprile </w:t>
      </w:r>
      <w:r w:rsidRPr="00AA1DBF">
        <w:rPr>
          <w:b/>
        </w:rPr>
        <w:t>2024</w:t>
      </w:r>
      <w:r w:rsidRPr="00EF5CF9">
        <w:rPr>
          <w:b/>
        </w:rPr>
        <w:t xml:space="preserve"> in vista dell'adozione del regolamento (UE) </w:t>
      </w:r>
      <w:r w:rsidRPr="00AA1DBF">
        <w:rPr>
          <w:b/>
        </w:rPr>
        <w:t>2024</w:t>
      </w:r>
      <w:r w:rsidRPr="00EF5CF9">
        <w:rPr>
          <w:b/>
        </w:rPr>
        <w:t xml:space="preserve">/... del Parlamento europeo e del Consiglio </w:t>
      </w:r>
      <w:r w:rsidRPr="00EF5CF9">
        <w:rPr>
          <w:rFonts w:eastAsia="Calibri"/>
          <w:b/>
          <w:szCs w:val="22"/>
          <w:lang w:eastAsia="en-US"/>
        </w:rPr>
        <w:t>che istituisce l'Autorità per la lotta al riciclaggio e al finanziamento del terrorismo e che modifica i regolamenti (UE) n. </w:t>
      </w:r>
      <w:r w:rsidRPr="00AA1DBF">
        <w:rPr>
          <w:rFonts w:eastAsia="Calibri"/>
          <w:b/>
          <w:szCs w:val="22"/>
          <w:lang w:eastAsia="en-US"/>
        </w:rPr>
        <w:t>1093</w:t>
      </w:r>
      <w:r w:rsidRPr="00EF5CF9">
        <w:rPr>
          <w:rFonts w:eastAsia="Calibri"/>
          <w:b/>
          <w:szCs w:val="22"/>
          <w:lang w:eastAsia="en-US"/>
        </w:rPr>
        <w:t>/</w:t>
      </w:r>
      <w:r w:rsidRPr="00AA1DBF">
        <w:rPr>
          <w:rFonts w:eastAsia="Calibri"/>
          <w:b/>
          <w:szCs w:val="22"/>
          <w:lang w:eastAsia="en-US"/>
        </w:rPr>
        <w:t>2010</w:t>
      </w:r>
      <w:r w:rsidRPr="00EF5CF9">
        <w:rPr>
          <w:rFonts w:eastAsia="Calibri"/>
          <w:b/>
          <w:szCs w:val="22"/>
          <w:lang w:eastAsia="en-US"/>
        </w:rPr>
        <w:t>, (UE) n. </w:t>
      </w:r>
      <w:r w:rsidRPr="00AA1DBF">
        <w:rPr>
          <w:rFonts w:eastAsia="Calibri"/>
          <w:b/>
          <w:szCs w:val="22"/>
          <w:lang w:eastAsia="en-US"/>
        </w:rPr>
        <w:t>1094</w:t>
      </w:r>
      <w:r w:rsidRPr="00EF5CF9">
        <w:rPr>
          <w:rFonts w:eastAsia="Calibri"/>
          <w:b/>
          <w:szCs w:val="22"/>
          <w:lang w:eastAsia="en-US"/>
        </w:rPr>
        <w:t>/</w:t>
      </w:r>
      <w:r w:rsidRPr="00AA1DBF">
        <w:rPr>
          <w:rFonts w:eastAsia="Calibri"/>
          <w:b/>
          <w:szCs w:val="22"/>
          <w:lang w:eastAsia="en-US"/>
        </w:rPr>
        <w:t>2010</w:t>
      </w:r>
      <w:r w:rsidRPr="00EF5CF9">
        <w:rPr>
          <w:rFonts w:eastAsia="Calibri"/>
          <w:b/>
          <w:szCs w:val="22"/>
          <w:lang w:eastAsia="en-US"/>
        </w:rPr>
        <w:t xml:space="preserve"> e (UE) n. </w:t>
      </w:r>
      <w:r w:rsidRPr="00AA1DBF">
        <w:rPr>
          <w:rFonts w:eastAsia="Calibri"/>
          <w:b/>
          <w:szCs w:val="22"/>
          <w:lang w:eastAsia="en-US"/>
        </w:rPr>
        <w:t>1095</w:t>
      </w:r>
      <w:r w:rsidRPr="00EF5CF9">
        <w:rPr>
          <w:rFonts w:eastAsia="Calibri"/>
          <w:b/>
          <w:szCs w:val="22"/>
          <w:lang w:eastAsia="en-US"/>
        </w:rPr>
        <w:t>/</w:t>
      </w:r>
      <w:r w:rsidRPr="00AA1DBF">
        <w:rPr>
          <w:rFonts w:eastAsia="Calibri"/>
          <w:b/>
          <w:szCs w:val="22"/>
          <w:lang w:eastAsia="en-US"/>
        </w:rPr>
        <w:t>2010</w:t>
      </w:r>
    </w:p>
    <w:p w:rsidR="00BE2A42" w:rsidRPr="00CD492A" w:rsidRDefault="00BE2A42" w:rsidP="00BE2A42">
      <w:r w:rsidRPr="00CD492A">
        <w:rPr>
          <w:i/>
        </w:rPr>
        <w:t>Dato l'accordo tra il Parlamento e il Consiglio, la posizione del Parlamento corrisponde all'atto legislativo finale, il regolamento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1620</w:t>
      </w:r>
      <w:r>
        <w:rPr>
          <w:i/>
        </w:rPr>
        <w:t>.</w:t>
      </w:r>
      <w:r w:rsidRPr="00CD492A">
        <w:rPr>
          <w:i/>
        </w:rPr>
        <w:t>)</w:t>
      </w:r>
    </w:p>
    <w:p w:rsidR="00E75351" w:rsidRPr="00EF5CF9" w:rsidRDefault="00E75351" w:rsidP="00E75351">
      <w:pPr>
        <w:pStyle w:val="NormalHanging12a"/>
      </w:pPr>
    </w:p>
    <w:sectPr w:rsidR="00E75351" w:rsidRPr="00EF5CF9" w:rsidSect="002F226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2240" w:h="15840"/>
      <w:pgMar w:top="794" w:right="907" w:bottom="851" w:left="1361" w:header="51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C5B" w:rsidRPr="002C66F1" w:rsidRDefault="00EF3C5B">
      <w:r w:rsidRPr="002C66F1">
        <w:separator/>
      </w:r>
    </w:p>
  </w:endnote>
  <w:endnote w:type="continuationSeparator" w:id="0">
    <w:p w:rsidR="00EF3C5B" w:rsidRPr="002C66F1" w:rsidRDefault="00EF3C5B">
      <w:r w:rsidRPr="002C66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351" w:rsidRPr="002C66F1" w:rsidRDefault="00E75351" w:rsidP="003356D4">
    <w:pPr>
      <w:pStyle w:val="EPFooter"/>
    </w:pPr>
    <w:r w:rsidRPr="002C66F1">
      <w:t>PE</w:t>
    </w:r>
    <w:r w:rsidRPr="002C66F1">
      <w:rPr>
        <w:rStyle w:val="HideTWBExt"/>
      </w:rPr>
      <w:t>&lt;</w:t>
    </w:r>
    <w:proofErr w:type="spellStart"/>
    <w:r w:rsidRPr="002C66F1">
      <w:rPr>
        <w:rStyle w:val="HideTWBExt"/>
      </w:rPr>
      <w:t>NoPE</w:t>
    </w:r>
    <w:proofErr w:type="spellEnd"/>
    <w:r w:rsidRPr="002C66F1">
      <w:rPr>
        <w:rStyle w:val="HideTWBExt"/>
      </w:rPr>
      <w:t>&gt;</w:t>
    </w:r>
    <w:r w:rsidRPr="002C66F1">
      <w:t>731.820</w:t>
    </w:r>
    <w:r w:rsidRPr="002C66F1">
      <w:rPr>
        <w:rStyle w:val="HideTWBExt"/>
      </w:rPr>
      <w:t>&lt;/</w:t>
    </w:r>
    <w:proofErr w:type="spellStart"/>
    <w:r w:rsidRPr="002C66F1">
      <w:rPr>
        <w:rStyle w:val="HideTWBExt"/>
      </w:rPr>
      <w:t>NoPE</w:t>
    </w:r>
    <w:proofErr w:type="spellEnd"/>
    <w:r w:rsidRPr="002C66F1">
      <w:rPr>
        <w:rStyle w:val="HideTWBExt"/>
      </w:rPr>
      <w:t>&gt;&lt;Version&gt;</w:t>
    </w:r>
    <w:r w:rsidRPr="002C66F1">
      <w:t>v02-00</w:t>
    </w:r>
    <w:r w:rsidRPr="002C66F1">
      <w:rPr>
        <w:rStyle w:val="HideTWBExt"/>
      </w:rPr>
      <w:t>&lt;/Version&gt;</w:t>
    </w:r>
    <w:r w:rsidRPr="002C66F1">
      <w:tab/>
    </w:r>
    <w:r w:rsidRPr="002C66F1">
      <w:fldChar w:fldCharType="begin"/>
    </w:r>
    <w:r w:rsidRPr="002C66F1">
      <w:instrText xml:space="preserve"> PAGE  \* MERGEFORMAT </w:instrText>
    </w:r>
    <w:r w:rsidRPr="002C66F1">
      <w:fldChar w:fldCharType="separate"/>
    </w:r>
    <w:r w:rsidR="002C66F1" w:rsidRPr="002C66F1">
      <w:rPr>
        <w:noProof/>
      </w:rPr>
      <w:t>2</w:t>
    </w:r>
    <w:r w:rsidRPr="002C66F1">
      <w:fldChar w:fldCharType="end"/>
    </w:r>
    <w:r w:rsidRPr="002C66F1">
      <w:t>/</w:t>
    </w:r>
    <w:r w:rsidR="00BE2A42">
      <w:fldChar w:fldCharType="begin"/>
    </w:r>
    <w:r w:rsidR="00BE2A42">
      <w:instrText xml:space="preserve"> NUMPAGES  \* MERGEFORMAT </w:instrText>
    </w:r>
    <w:r w:rsidR="00BE2A42">
      <w:fldChar w:fldCharType="separate"/>
    </w:r>
    <w:r w:rsidR="002C66F1" w:rsidRPr="002C66F1">
      <w:rPr>
        <w:noProof/>
      </w:rPr>
      <w:t>123</w:t>
    </w:r>
    <w:r w:rsidR="00BE2A42">
      <w:rPr>
        <w:noProof/>
      </w:rPr>
      <w:fldChar w:fldCharType="end"/>
    </w:r>
    <w:r w:rsidRPr="002C66F1">
      <w:tab/>
    </w:r>
    <w:r w:rsidRPr="002C66F1">
      <w:rPr>
        <w:rStyle w:val="HideTWBExt"/>
      </w:rPr>
      <w:t>&lt;PathFdR&gt;</w:t>
    </w:r>
    <w:r w:rsidRPr="002C66F1">
      <w:t>RR\1276359IT.docx</w:t>
    </w:r>
    <w:r w:rsidRPr="002C66F1">
      <w:rPr>
        <w:rStyle w:val="HideTWBExt"/>
      </w:rPr>
      <w:t>&lt;/</w:t>
    </w:r>
    <w:proofErr w:type="spellStart"/>
    <w:r w:rsidRPr="002C66F1">
      <w:rPr>
        <w:rStyle w:val="HideTWBExt"/>
      </w:rPr>
      <w:t>PathFdR</w:t>
    </w:r>
    <w:proofErr w:type="spellEnd"/>
    <w:r w:rsidRPr="002C66F1">
      <w:rPr>
        <w:rStyle w:val="HideTWBExt"/>
      </w:rPr>
      <w:t>&gt;</w:t>
    </w:r>
  </w:p>
  <w:p w:rsidR="00E75351" w:rsidRPr="002C66F1" w:rsidRDefault="00E75351" w:rsidP="003356D4">
    <w:pPr>
      <w:pStyle w:val="EPFooter2"/>
    </w:pPr>
    <w:r w:rsidRPr="002C66F1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351" w:rsidRPr="002C66F1" w:rsidRDefault="00E75351" w:rsidP="003356D4">
    <w:pPr>
      <w:pStyle w:val="EPFooter"/>
    </w:pPr>
    <w:r w:rsidRPr="002C66F1">
      <w:rPr>
        <w:rStyle w:val="HideTWBExt"/>
      </w:rPr>
      <w:t>&lt;PathFdR&gt;</w:t>
    </w:r>
    <w:r w:rsidRPr="002C66F1">
      <w:t>RR\1276359IT.docx</w:t>
    </w:r>
    <w:r w:rsidRPr="002C66F1">
      <w:rPr>
        <w:rStyle w:val="HideTWBExt"/>
      </w:rPr>
      <w:t>&lt;/</w:t>
    </w:r>
    <w:proofErr w:type="spellStart"/>
    <w:r w:rsidRPr="002C66F1">
      <w:rPr>
        <w:rStyle w:val="HideTWBExt"/>
      </w:rPr>
      <w:t>PathFdR</w:t>
    </w:r>
    <w:proofErr w:type="spellEnd"/>
    <w:r w:rsidRPr="002C66F1">
      <w:rPr>
        <w:rStyle w:val="HideTWBExt"/>
      </w:rPr>
      <w:t>&gt;</w:t>
    </w:r>
    <w:r w:rsidRPr="002C66F1">
      <w:tab/>
    </w:r>
    <w:r w:rsidRPr="002C66F1">
      <w:tab/>
      <w:t>PE</w:t>
    </w:r>
    <w:r w:rsidRPr="002C66F1">
      <w:rPr>
        <w:rStyle w:val="HideTWBExt"/>
      </w:rPr>
      <w:t>&lt;</w:t>
    </w:r>
    <w:proofErr w:type="spellStart"/>
    <w:r w:rsidRPr="002C66F1">
      <w:rPr>
        <w:rStyle w:val="HideTWBExt"/>
      </w:rPr>
      <w:t>NoPE</w:t>
    </w:r>
    <w:proofErr w:type="spellEnd"/>
    <w:r w:rsidRPr="002C66F1">
      <w:rPr>
        <w:rStyle w:val="HideTWBExt"/>
      </w:rPr>
      <w:t>&gt;</w:t>
    </w:r>
    <w:r w:rsidRPr="002C66F1">
      <w:t>731.820</w:t>
    </w:r>
    <w:r w:rsidRPr="002C66F1">
      <w:rPr>
        <w:rStyle w:val="HideTWBExt"/>
      </w:rPr>
      <w:t>&lt;/</w:t>
    </w:r>
    <w:proofErr w:type="spellStart"/>
    <w:r w:rsidRPr="002C66F1">
      <w:rPr>
        <w:rStyle w:val="HideTWBExt"/>
      </w:rPr>
      <w:t>NoPE</w:t>
    </w:r>
    <w:proofErr w:type="spellEnd"/>
    <w:r w:rsidRPr="002C66F1">
      <w:rPr>
        <w:rStyle w:val="HideTWBExt"/>
      </w:rPr>
      <w:t>&gt;&lt;Version&gt;</w:t>
    </w:r>
    <w:r w:rsidRPr="002C66F1">
      <w:t>v02-00</w:t>
    </w:r>
    <w:r w:rsidRPr="002C66F1">
      <w:rPr>
        <w:rStyle w:val="HideTWBExt"/>
      </w:rPr>
      <w:t>&lt;/Version&gt;</w:t>
    </w:r>
  </w:p>
  <w:p w:rsidR="00E75351" w:rsidRPr="002C66F1" w:rsidRDefault="00E75351" w:rsidP="003356D4">
    <w:pPr>
      <w:pStyle w:val="EPFooter2"/>
    </w:pPr>
    <w:r w:rsidRPr="002C66F1">
      <w:t>IT</w:t>
    </w:r>
    <w:r w:rsidRPr="002C66F1">
      <w:tab/>
    </w:r>
    <w:proofErr w:type="spellStart"/>
    <w:r w:rsidRPr="002C66F1">
      <w:rPr>
        <w:b w:val="0"/>
        <w:i/>
        <w:color w:val="C0C0C0"/>
        <w:sz w:val="22"/>
      </w:rPr>
      <w:t>Unita</w:t>
    </w:r>
    <w:proofErr w:type="spellEnd"/>
    <w:r w:rsidRPr="002C66F1">
      <w:rPr>
        <w:b w:val="0"/>
        <w:i/>
        <w:color w:val="C0C0C0"/>
        <w:sz w:val="22"/>
      </w:rPr>
      <w:t xml:space="preserve"> nella diversità</w:t>
    </w:r>
    <w:r w:rsidRPr="002C66F1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6F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6F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6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C5B" w:rsidRPr="002C66F1" w:rsidRDefault="00EF3C5B">
      <w:r w:rsidRPr="002C66F1">
        <w:separator/>
      </w:r>
    </w:p>
  </w:footnote>
  <w:footnote w:type="continuationSeparator" w:id="0">
    <w:p w:rsidR="00EF3C5B" w:rsidRPr="002C66F1" w:rsidRDefault="00EF3C5B">
      <w:r w:rsidRPr="002C66F1">
        <w:continuationSeparator/>
      </w:r>
    </w:p>
  </w:footnote>
  <w:footnote w:id="1">
    <w:p w:rsidR="00E75351" w:rsidRPr="002F2269" w:rsidRDefault="00E75351" w:rsidP="002C66F1">
      <w:pPr>
        <w:pStyle w:val="FootnoteText"/>
        <w:ind w:left="567" w:hanging="567"/>
        <w:rPr>
          <w:sz w:val="24"/>
          <w:szCs w:val="24"/>
          <w:lang w:val="it-IT"/>
        </w:rPr>
      </w:pPr>
      <w:r w:rsidRPr="002F2269">
        <w:rPr>
          <w:rStyle w:val="FootnoteReference"/>
          <w:sz w:val="24"/>
          <w:szCs w:val="24"/>
          <w:lang w:val="it-IT"/>
        </w:rPr>
        <w:footnoteRef/>
      </w:r>
      <w:r w:rsidR="002C66F1" w:rsidRPr="002F2269">
        <w:rPr>
          <w:sz w:val="24"/>
          <w:szCs w:val="24"/>
          <w:lang w:val="it-IT"/>
        </w:rPr>
        <w:t xml:space="preserve"> </w:t>
      </w:r>
      <w:r w:rsidR="002C66F1" w:rsidRPr="002F2269">
        <w:rPr>
          <w:sz w:val="24"/>
          <w:szCs w:val="24"/>
          <w:lang w:val="it-IT"/>
        </w:rPr>
        <w:tab/>
      </w:r>
      <w:r w:rsidRPr="002F2269">
        <w:rPr>
          <w:sz w:val="24"/>
          <w:szCs w:val="24"/>
          <w:lang w:val="it-IT"/>
        </w:rPr>
        <w:t xml:space="preserve">GU C </w:t>
      </w:r>
      <w:r w:rsidRPr="00AA1DBF">
        <w:rPr>
          <w:sz w:val="24"/>
          <w:szCs w:val="24"/>
          <w:lang w:val="it-IT"/>
        </w:rPr>
        <w:t>152</w:t>
      </w:r>
      <w:r w:rsidRPr="002F2269">
        <w:rPr>
          <w:sz w:val="24"/>
          <w:szCs w:val="24"/>
          <w:lang w:val="it-IT"/>
        </w:rPr>
        <w:t xml:space="preserve"> del </w:t>
      </w:r>
      <w:r w:rsidRPr="00AA1DBF">
        <w:rPr>
          <w:sz w:val="24"/>
          <w:szCs w:val="24"/>
          <w:lang w:val="it-IT"/>
        </w:rPr>
        <w:t>6</w:t>
      </w:r>
      <w:r w:rsidRPr="002F2269">
        <w:rPr>
          <w:sz w:val="24"/>
          <w:szCs w:val="24"/>
          <w:lang w:val="it-IT"/>
        </w:rPr>
        <w:t>.</w:t>
      </w:r>
      <w:r w:rsidRPr="00AA1DBF">
        <w:rPr>
          <w:sz w:val="24"/>
          <w:szCs w:val="24"/>
          <w:lang w:val="it-IT"/>
        </w:rPr>
        <w:t>4</w:t>
      </w:r>
      <w:r w:rsidRPr="002F2269">
        <w:rPr>
          <w:sz w:val="24"/>
          <w:szCs w:val="24"/>
          <w:lang w:val="it-IT"/>
        </w:rPr>
        <w:t>.</w:t>
      </w:r>
      <w:r w:rsidRPr="00AA1DBF">
        <w:rPr>
          <w:sz w:val="24"/>
          <w:szCs w:val="24"/>
          <w:lang w:val="it-IT"/>
        </w:rPr>
        <w:t>2022</w:t>
      </w:r>
      <w:r w:rsidRPr="002F2269">
        <w:rPr>
          <w:sz w:val="24"/>
          <w:szCs w:val="24"/>
          <w:lang w:val="it-IT"/>
        </w:rPr>
        <w:t xml:space="preserve">, pag. </w:t>
      </w:r>
      <w:r w:rsidRPr="00AA1DBF">
        <w:rPr>
          <w:sz w:val="24"/>
          <w:szCs w:val="24"/>
          <w:lang w:val="it-IT"/>
        </w:rPr>
        <w:t>89</w:t>
      </w:r>
      <w:r w:rsidRPr="002F2269">
        <w:rPr>
          <w:sz w:val="24"/>
          <w:szCs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6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6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66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CA1C3E50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IT"/>
    <w:docVar w:name="dvnumam" w:val="230"/>
    <w:docVar w:name="dvpe" w:val="731.820"/>
    <w:docVar w:name="dvrapporteur" w:val="Relatori: "/>
    <w:docVar w:name="dvstar" w:val="***I"/>
    <w:docVar w:name="dvtitre" w:val="Risoluzione legislativa del Parlamento europeo del 24 aprile 2024 sulla proposta di regolamento del Parlamento europeo e del Consiglio che istituisce l'Autorità per la lotta al riciclaggio e al finanziamento del terrorismo e che modifica i regolamenti (UE) n. 1093/2010, (UE) n. 1094/2010, (UE) n. 1095/2010(COM(2021)0421 – C9-0340/2021 – 2021/0240(COD))"/>
  </w:docVars>
  <w:rsids>
    <w:rsidRoot w:val="00EF3C5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497A"/>
    <w:rsid w:val="002B18FE"/>
    <w:rsid w:val="002B5493"/>
    <w:rsid w:val="002C66F1"/>
    <w:rsid w:val="002F226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96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DBF"/>
    <w:rsid w:val="00AB441E"/>
    <w:rsid w:val="00AB6293"/>
    <w:rsid w:val="00AE0928"/>
    <w:rsid w:val="00AF360B"/>
    <w:rsid w:val="00AF3B82"/>
    <w:rsid w:val="00B12E95"/>
    <w:rsid w:val="00B22876"/>
    <w:rsid w:val="00B558F0"/>
    <w:rsid w:val="00B8418E"/>
    <w:rsid w:val="00BD48FE"/>
    <w:rsid w:val="00BD7BD8"/>
    <w:rsid w:val="00BE2A42"/>
    <w:rsid w:val="00BE6ADC"/>
    <w:rsid w:val="00C05BFE"/>
    <w:rsid w:val="00C23CD4"/>
    <w:rsid w:val="00C6031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5351"/>
    <w:rsid w:val="00E820A4"/>
    <w:rsid w:val="00EB006A"/>
    <w:rsid w:val="00EB4772"/>
    <w:rsid w:val="00ED169E"/>
    <w:rsid w:val="00ED4235"/>
    <w:rsid w:val="00EF3C5B"/>
    <w:rsid w:val="00EF5CF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A6A72F"/>
  <w15:chartTrackingRefBased/>
  <w15:docId w15:val="{6ADD1765-D6A9-462A-912B-B60DF43FB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BVI fnr,EN Footnote Reference,Times 10 Point,Exposant 3 Point,Footnote reference number,note TESI,Footnote,Footnote call,SUPERS,(Footnote Reference),Voetnootverwijzing,Odwołanie przypisu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7535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35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35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35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35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351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351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E75351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E75351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E7535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E7535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7535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75351"/>
    <w:pPr>
      <w:spacing w:after="120"/>
    </w:pPr>
  </w:style>
  <w:style w:type="paragraph" w:customStyle="1" w:styleId="PageHeading">
    <w:name w:val="PageHeading"/>
    <w:basedOn w:val="Normal"/>
    <w:rsid w:val="00E7535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7535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75351"/>
    <w:rPr>
      <w:b/>
      <w:sz w:val="24"/>
      <w:lang w:val="it-IT"/>
    </w:rPr>
  </w:style>
  <w:style w:type="paragraph" w:customStyle="1" w:styleId="NormalBold12a">
    <w:name w:val="NormalBold12a"/>
    <w:basedOn w:val="Normal"/>
    <w:rsid w:val="00E75351"/>
    <w:pPr>
      <w:spacing w:after="240"/>
    </w:pPr>
    <w:rPr>
      <w:b/>
    </w:rPr>
  </w:style>
  <w:style w:type="paragraph" w:customStyle="1" w:styleId="AmJustText">
    <w:name w:val="AmJustText"/>
    <w:basedOn w:val="Normal"/>
    <w:rsid w:val="00E7535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7535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75351"/>
    <w:pPr>
      <w:spacing w:after="480"/>
      <w:ind w:left="1417"/>
    </w:pPr>
  </w:style>
  <w:style w:type="paragraph" w:customStyle="1" w:styleId="CoverNormal">
    <w:name w:val="CoverNormal"/>
    <w:basedOn w:val="Normal"/>
    <w:rsid w:val="00E75351"/>
    <w:pPr>
      <w:ind w:left="1418"/>
    </w:pPr>
  </w:style>
  <w:style w:type="paragraph" w:customStyle="1" w:styleId="AmCrossRef">
    <w:name w:val="AmCrossRef"/>
    <w:basedOn w:val="Normal"/>
    <w:rsid w:val="00E7535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7535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7535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7535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7535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7535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753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5351"/>
    <w:rPr>
      <w:sz w:val="24"/>
      <w:lang w:val="it-IT"/>
    </w:rPr>
  </w:style>
  <w:style w:type="paragraph" w:customStyle="1" w:styleId="AmOrLang">
    <w:name w:val="AmOrLang"/>
    <w:basedOn w:val="Normal"/>
    <w:rsid w:val="00E7535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7535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753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75351"/>
    <w:pPr>
      <w:spacing w:before="240"/>
    </w:pPr>
    <w:rPr>
      <w:b/>
    </w:rPr>
  </w:style>
  <w:style w:type="paragraph" w:customStyle="1" w:styleId="EPBody">
    <w:name w:val="EPBody"/>
    <w:basedOn w:val="Normal"/>
    <w:rsid w:val="00E7535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E7535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75351"/>
    <w:pPr>
      <w:spacing w:before="480" w:after="240"/>
    </w:pPr>
  </w:style>
  <w:style w:type="paragraph" w:customStyle="1" w:styleId="Lgendesigne">
    <w:name w:val="Légende signe"/>
    <w:basedOn w:val="Normal"/>
    <w:rsid w:val="00E7535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7535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75351"/>
    <w:rPr>
      <w:sz w:val="18"/>
    </w:rPr>
  </w:style>
  <w:style w:type="paragraph" w:styleId="Footer">
    <w:name w:val="footer"/>
    <w:basedOn w:val="Normal"/>
    <w:link w:val="FooterChar"/>
    <w:uiPriority w:val="99"/>
    <w:rsid w:val="00E753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5351"/>
    <w:rPr>
      <w:sz w:val="24"/>
      <w:lang w:val="it-IT"/>
    </w:rPr>
  </w:style>
  <w:style w:type="character" w:customStyle="1" w:styleId="Normal12Char">
    <w:name w:val="Normal12 Char"/>
    <w:basedOn w:val="DefaultParagraphFont"/>
    <w:link w:val="Normal12"/>
    <w:locked/>
    <w:rsid w:val="00E75351"/>
    <w:rPr>
      <w:noProof/>
      <w:sz w:val="24"/>
    </w:rPr>
  </w:style>
  <w:style w:type="paragraph" w:customStyle="1" w:styleId="Normal12">
    <w:name w:val="Normal12"/>
    <w:basedOn w:val="Normal"/>
    <w:link w:val="Normal12Char"/>
    <w:rsid w:val="00E75351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E75351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E75351"/>
    <w:pPr>
      <w:spacing w:after="120"/>
    </w:pPr>
  </w:style>
  <w:style w:type="paragraph" w:customStyle="1" w:styleId="Normal12Italic">
    <w:name w:val="Normal12Italic"/>
    <w:basedOn w:val="Normal12"/>
    <w:rsid w:val="00E75351"/>
    <w:rPr>
      <w:i/>
    </w:rPr>
  </w:style>
  <w:style w:type="paragraph" w:customStyle="1" w:styleId="EntPE">
    <w:name w:val="EntPE"/>
    <w:basedOn w:val="Normal12"/>
    <w:rsid w:val="00E75351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E753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535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5351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753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75351"/>
    <w:rPr>
      <w:b/>
      <w:bCs/>
      <w:lang w:val="it-IT"/>
    </w:rPr>
  </w:style>
  <w:style w:type="paragraph" w:styleId="BalloonText">
    <w:name w:val="Balloon Text"/>
    <w:basedOn w:val="Normal"/>
    <w:link w:val="BalloonTextChar"/>
    <w:unhideWhenUsed/>
    <w:rsid w:val="00E753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75351"/>
    <w:rPr>
      <w:rFonts w:ascii="Segoe UI" w:hAnsi="Segoe UI" w:cs="Segoe UI"/>
      <w:sz w:val="18"/>
      <w:szCs w:val="18"/>
      <w:lang w:val="it-IT"/>
    </w:rPr>
  </w:style>
  <w:style w:type="paragraph" w:customStyle="1" w:styleId="AMNumberTabs0">
    <w:name w:val="AMNumberTabs"/>
    <w:basedOn w:val="Normal"/>
    <w:rsid w:val="00E753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E7535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E75351"/>
    <w:pPr>
      <w:spacing w:before="240" w:after="240"/>
      <w:jc w:val="right"/>
    </w:pPr>
    <w:rPr>
      <w:noProof/>
      <w:szCs w:val="24"/>
    </w:rPr>
  </w:style>
  <w:style w:type="paragraph" w:styleId="Revision">
    <w:name w:val="Revision"/>
    <w:hidden/>
    <w:uiPriority w:val="99"/>
    <w:semiHidden/>
    <w:rsid w:val="00E75351"/>
    <w:rPr>
      <w:sz w:val="24"/>
      <w:lang w:val="it-IT"/>
    </w:rPr>
  </w:style>
  <w:style w:type="paragraph" w:customStyle="1" w:styleId="NormalCenter12a">
    <w:name w:val="NormalCenter12a"/>
    <w:basedOn w:val="Normal"/>
    <w:rsid w:val="00E75351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E7535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75351"/>
  </w:style>
  <w:style w:type="paragraph" w:styleId="ListBullet4">
    <w:name w:val="List Bullet 4"/>
    <w:basedOn w:val="Normal"/>
    <w:rsid w:val="00E75351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E75351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E75351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E75351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E75351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E75351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E75351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E75351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E75351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E75351"/>
    <w:pPr>
      <w:spacing w:before="120" w:after="120"/>
      <w:jc w:val="both"/>
    </w:pPr>
    <w:rPr>
      <w:lang w:val="it-I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E75351"/>
    <w:rPr>
      <w:color w:val="0000FF"/>
      <w:u w:val="single"/>
    </w:rPr>
  </w:style>
  <w:style w:type="paragraph" w:styleId="ListBullet">
    <w:name w:val="List Bullet"/>
    <w:basedOn w:val="Normal"/>
    <w:qFormat/>
    <w:rsid w:val="00E75351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E75351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E75351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E75351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E75351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E75351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E75351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E75351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E75351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E75351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E75351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E75351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E75351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E75351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E75351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E75351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E75351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E75351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E75351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E75351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E75351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E75351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E75351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E75351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E75351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E75351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E75351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E75351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E75351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E75351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E75351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E75351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E75351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E75351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E75351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E75351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E75351"/>
    <w:rPr>
      <w:color w:val="800080"/>
      <w:u w:val="single"/>
    </w:rPr>
  </w:style>
  <w:style w:type="paragraph" w:customStyle="1" w:styleId="Sous-titreobjet">
    <w:name w:val="Sous-titre objet"/>
    <w:basedOn w:val="Normal"/>
    <w:rsid w:val="00E75351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E75351"/>
  </w:style>
  <w:style w:type="paragraph" w:customStyle="1" w:styleId="FooterCoverPage">
    <w:name w:val="Footer Cover Page"/>
    <w:basedOn w:val="Normal"/>
    <w:link w:val="FooterCoverPageChar"/>
    <w:rsid w:val="00E7535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E75351"/>
    <w:rPr>
      <w:rFonts w:ascii="Times New Roman" w:hAnsi="Times New Roman" w:cs="Times New Roman"/>
      <w:b/>
      <w:sz w:val="28"/>
      <w:lang w:val="it-IT"/>
    </w:rPr>
  </w:style>
  <w:style w:type="character" w:customStyle="1" w:styleId="FooterCoverPageChar">
    <w:name w:val="Footer Cover Page Char"/>
    <w:link w:val="FooterCoverPage"/>
    <w:rsid w:val="00E75351"/>
    <w:rPr>
      <w:rFonts w:eastAsia="Calibri"/>
      <w:sz w:val="24"/>
      <w:szCs w:val="22"/>
      <w:lang w:val="it-IT"/>
    </w:rPr>
  </w:style>
  <w:style w:type="paragraph" w:customStyle="1" w:styleId="HeaderCoverPage">
    <w:name w:val="Header Cover Page"/>
    <w:basedOn w:val="Normal"/>
    <w:link w:val="HeaderCoverPageChar"/>
    <w:rsid w:val="00E75351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E75351"/>
    <w:rPr>
      <w:rFonts w:eastAsia="Calibri"/>
      <w:sz w:val="24"/>
      <w:szCs w:val="22"/>
      <w:lang w:val="it-IT"/>
    </w:rPr>
  </w:style>
  <w:style w:type="paragraph" w:customStyle="1" w:styleId="Body">
    <w:name w:val="Body"/>
    <w:rsid w:val="00E7535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it-IT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E75351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it-IT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E75351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it-IT" w:eastAsia="en-IE"/>
    </w:rPr>
  </w:style>
  <w:style w:type="numbering" w:customStyle="1" w:styleId="ImportedStyle1">
    <w:name w:val="Imported Style 1"/>
    <w:rsid w:val="00E75351"/>
    <w:pPr>
      <w:numPr>
        <w:numId w:val="18"/>
      </w:numPr>
    </w:pPr>
  </w:style>
  <w:style w:type="paragraph" w:customStyle="1" w:styleId="Default">
    <w:name w:val="Default"/>
    <w:rsid w:val="00E75351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it-IT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E75351"/>
    <w:pPr>
      <w:numPr>
        <w:numId w:val="19"/>
      </w:numPr>
    </w:pPr>
  </w:style>
  <w:style w:type="numbering" w:customStyle="1" w:styleId="ImportedStyle3">
    <w:name w:val="Imported Style 3"/>
    <w:rsid w:val="00E75351"/>
    <w:pPr>
      <w:numPr>
        <w:numId w:val="20"/>
      </w:numPr>
    </w:pPr>
  </w:style>
  <w:style w:type="numbering" w:customStyle="1" w:styleId="ImportedStyle4">
    <w:name w:val="Imported Style 4"/>
    <w:rsid w:val="00E75351"/>
    <w:pPr>
      <w:numPr>
        <w:numId w:val="21"/>
      </w:numPr>
    </w:pPr>
  </w:style>
  <w:style w:type="numbering" w:customStyle="1" w:styleId="ImportedStyle5">
    <w:name w:val="Imported Style 5"/>
    <w:rsid w:val="00E75351"/>
    <w:pPr>
      <w:numPr>
        <w:numId w:val="22"/>
      </w:numPr>
    </w:pPr>
  </w:style>
  <w:style w:type="numbering" w:customStyle="1" w:styleId="ImportedStyle6">
    <w:name w:val="Imported Style 6"/>
    <w:rsid w:val="00E75351"/>
    <w:pPr>
      <w:numPr>
        <w:numId w:val="23"/>
      </w:numPr>
    </w:pPr>
  </w:style>
  <w:style w:type="numbering" w:customStyle="1" w:styleId="ImportedStyle7">
    <w:name w:val="Imported Style 7"/>
    <w:rsid w:val="00E75351"/>
    <w:pPr>
      <w:numPr>
        <w:numId w:val="24"/>
      </w:numPr>
    </w:pPr>
  </w:style>
  <w:style w:type="numbering" w:customStyle="1" w:styleId="ImportedStyle8">
    <w:name w:val="Imported Style 8"/>
    <w:rsid w:val="00E75351"/>
    <w:pPr>
      <w:numPr>
        <w:numId w:val="25"/>
      </w:numPr>
    </w:pPr>
  </w:style>
  <w:style w:type="numbering" w:customStyle="1" w:styleId="ImportedStyle9">
    <w:name w:val="Imported Style 9"/>
    <w:rsid w:val="00E75351"/>
    <w:pPr>
      <w:numPr>
        <w:numId w:val="26"/>
      </w:numPr>
    </w:pPr>
  </w:style>
  <w:style w:type="numbering" w:customStyle="1" w:styleId="ImportedStyle10">
    <w:name w:val="Imported Style 10"/>
    <w:rsid w:val="00E75351"/>
    <w:pPr>
      <w:numPr>
        <w:numId w:val="27"/>
      </w:numPr>
    </w:pPr>
  </w:style>
  <w:style w:type="numbering" w:customStyle="1" w:styleId="ImportedStyle11">
    <w:name w:val="Imported Style 11"/>
    <w:rsid w:val="00E75351"/>
    <w:pPr>
      <w:numPr>
        <w:numId w:val="28"/>
      </w:numPr>
    </w:pPr>
  </w:style>
  <w:style w:type="numbering" w:customStyle="1" w:styleId="ImportedStyle12">
    <w:name w:val="Imported Style 12"/>
    <w:rsid w:val="00E75351"/>
    <w:pPr>
      <w:numPr>
        <w:numId w:val="29"/>
      </w:numPr>
    </w:pPr>
  </w:style>
  <w:style w:type="numbering" w:customStyle="1" w:styleId="ImportedStyle13">
    <w:name w:val="Imported Style 13"/>
    <w:rsid w:val="00E75351"/>
    <w:pPr>
      <w:numPr>
        <w:numId w:val="30"/>
      </w:numPr>
    </w:pPr>
  </w:style>
  <w:style w:type="numbering" w:customStyle="1" w:styleId="ImportedStyle14">
    <w:name w:val="Imported Style 14"/>
    <w:rsid w:val="00E75351"/>
    <w:pPr>
      <w:numPr>
        <w:numId w:val="31"/>
      </w:numPr>
    </w:pPr>
  </w:style>
  <w:style w:type="numbering" w:customStyle="1" w:styleId="ImportedStyle15">
    <w:name w:val="Imported Style 15"/>
    <w:rsid w:val="00E75351"/>
    <w:pPr>
      <w:numPr>
        <w:numId w:val="32"/>
      </w:numPr>
    </w:pPr>
  </w:style>
  <w:style w:type="numbering" w:customStyle="1" w:styleId="ImportedStyle16">
    <w:name w:val="Imported Style 16"/>
    <w:rsid w:val="00E75351"/>
    <w:pPr>
      <w:numPr>
        <w:numId w:val="33"/>
      </w:numPr>
    </w:pPr>
  </w:style>
  <w:style w:type="numbering" w:customStyle="1" w:styleId="ImportedStyle17">
    <w:name w:val="Imported Style 17"/>
    <w:rsid w:val="00E75351"/>
    <w:pPr>
      <w:numPr>
        <w:numId w:val="34"/>
      </w:numPr>
    </w:pPr>
  </w:style>
  <w:style w:type="numbering" w:customStyle="1" w:styleId="ImportedStyle18">
    <w:name w:val="Imported Style 18"/>
    <w:rsid w:val="00E75351"/>
    <w:pPr>
      <w:numPr>
        <w:numId w:val="35"/>
      </w:numPr>
    </w:pPr>
  </w:style>
  <w:style w:type="numbering" w:customStyle="1" w:styleId="ImportedStyle19">
    <w:name w:val="Imported Style 19"/>
    <w:rsid w:val="00E75351"/>
    <w:pPr>
      <w:numPr>
        <w:numId w:val="36"/>
      </w:numPr>
    </w:pPr>
  </w:style>
  <w:style w:type="numbering" w:customStyle="1" w:styleId="ImportedStyle20">
    <w:name w:val="Imported Style 20"/>
    <w:rsid w:val="00E75351"/>
    <w:pPr>
      <w:numPr>
        <w:numId w:val="37"/>
      </w:numPr>
    </w:pPr>
  </w:style>
  <w:style w:type="numbering" w:customStyle="1" w:styleId="ImportedStyle21">
    <w:name w:val="Imported Style 21"/>
    <w:rsid w:val="00E75351"/>
    <w:pPr>
      <w:numPr>
        <w:numId w:val="38"/>
      </w:numPr>
    </w:pPr>
  </w:style>
  <w:style w:type="numbering" w:customStyle="1" w:styleId="ImportedStyle22">
    <w:name w:val="Imported Style 22"/>
    <w:rsid w:val="00E75351"/>
    <w:pPr>
      <w:numPr>
        <w:numId w:val="39"/>
      </w:numPr>
    </w:pPr>
  </w:style>
  <w:style w:type="paragraph" w:customStyle="1" w:styleId="CM4">
    <w:name w:val="CM4"/>
    <w:next w:val="Default"/>
    <w:rsid w:val="00E7535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it-IT" w:eastAsia="en-IE"/>
    </w:rPr>
  </w:style>
  <w:style w:type="numbering" w:customStyle="1" w:styleId="ImportedStyle23">
    <w:name w:val="Imported Style 23"/>
    <w:rsid w:val="00E75351"/>
    <w:pPr>
      <w:numPr>
        <w:numId w:val="40"/>
      </w:numPr>
    </w:pPr>
  </w:style>
  <w:style w:type="numbering" w:customStyle="1" w:styleId="ImportedStyle24">
    <w:name w:val="Imported Style 24"/>
    <w:rsid w:val="00E75351"/>
    <w:pPr>
      <w:numPr>
        <w:numId w:val="41"/>
      </w:numPr>
    </w:pPr>
  </w:style>
  <w:style w:type="numbering" w:customStyle="1" w:styleId="ImportedStyle25">
    <w:name w:val="Imported Style 25"/>
    <w:rsid w:val="00E75351"/>
    <w:pPr>
      <w:numPr>
        <w:numId w:val="42"/>
      </w:numPr>
    </w:pPr>
  </w:style>
  <w:style w:type="numbering" w:customStyle="1" w:styleId="ImportedStyle26">
    <w:name w:val="Imported Style 26"/>
    <w:rsid w:val="00E75351"/>
    <w:pPr>
      <w:numPr>
        <w:numId w:val="43"/>
      </w:numPr>
    </w:pPr>
  </w:style>
  <w:style w:type="numbering" w:customStyle="1" w:styleId="ImportedStyle27">
    <w:name w:val="Imported Style 27"/>
    <w:rsid w:val="00E75351"/>
    <w:pPr>
      <w:numPr>
        <w:numId w:val="44"/>
      </w:numPr>
    </w:pPr>
  </w:style>
  <w:style w:type="numbering" w:customStyle="1" w:styleId="ImportedStyle28">
    <w:name w:val="Imported Style 28"/>
    <w:rsid w:val="00E75351"/>
    <w:pPr>
      <w:numPr>
        <w:numId w:val="45"/>
      </w:numPr>
    </w:pPr>
  </w:style>
  <w:style w:type="numbering" w:customStyle="1" w:styleId="ImportedStyle29">
    <w:name w:val="Imported Style 29"/>
    <w:rsid w:val="00E75351"/>
    <w:pPr>
      <w:numPr>
        <w:numId w:val="82"/>
      </w:numPr>
    </w:pPr>
  </w:style>
  <w:style w:type="numbering" w:customStyle="1" w:styleId="ImportedStyle30">
    <w:name w:val="Imported Style 30"/>
    <w:rsid w:val="00E75351"/>
    <w:pPr>
      <w:numPr>
        <w:numId w:val="79"/>
      </w:numPr>
    </w:pPr>
  </w:style>
  <w:style w:type="numbering" w:customStyle="1" w:styleId="ImportedStyle31">
    <w:name w:val="Imported Style 31"/>
    <w:rsid w:val="00E75351"/>
    <w:pPr>
      <w:numPr>
        <w:numId w:val="80"/>
      </w:numPr>
    </w:pPr>
  </w:style>
  <w:style w:type="numbering" w:customStyle="1" w:styleId="ImportedStyle32">
    <w:name w:val="Imported Style 32"/>
    <w:rsid w:val="00E75351"/>
    <w:pPr>
      <w:numPr>
        <w:numId w:val="76"/>
      </w:numPr>
    </w:pPr>
  </w:style>
  <w:style w:type="numbering" w:customStyle="1" w:styleId="ImportedStyle33">
    <w:name w:val="Imported Style 33"/>
    <w:rsid w:val="00E75351"/>
    <w:pPr>
      <w:numPr>
        <w:numId w:val="46"/>
      </w:numPr>
    </w:pPr>
  </w:style>
  <w:style w:type="numbering" w:customStyle="1" w:styleId="ImportedStyle34">
    <w:name w:val="Imported Style 34"/>
    <w:rsid w:val="00E75351"/>
    <w:pPr>
      <w:numPr>
        <w:numId w:val="47"/>
      </w:numPr>
    </w:pPr>
  </w:style>
  <w:style w:type="numbering" w:customStyle="1" w:styleId="ImportedStyle35">
    <w:name w:val="Imported Style 35"/>
    <w:rsid w:val="00E75351"/>
    <w:pPr>
      <w:numPr>
        <w:numId w:val="48"/>
      </w:numPr>
    </w:p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link w:val="ListParagraphChar"/>
    <w:uiPriority w:val="34"/>
    <w:qFormat/>
    <w:rsid w:val="00E75351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it-IT" w:eastAsia="en-IE"/>
    </w:rPr>
  </w:style>
  <w:style w:type="numbering" w:customStyle="1" w:styleId="ImportedStyle37">
    <w:name w:val="Imported Style 37"/>
    <w:rsid w:val="00E75351"/>
    <w:pPr>
      <w:numPr>
        <w:numId w:val="49"/>
      </w:numPr>
    </w:pPr>
  </w:style>
  <w:style w:type="numbering" w:customStyle="1" w:styleId="ImportedStyle38">
    <w:name w:val="Imported Style 38"/>
    <w:rsid w:val="00E75351"/>
    <w:pPr>
      <w:numPr>
        <w:numId w:val="50"/>
      </w:numPr>
    </w:pPr>
  </w:style>
  <w:style w:type="numbering" w:customStyle="1" w:styleId="ImportedStyle39">
    <w:name w:val="Imported Style 39"/>
    <w:rsid w:val="00E75351"/>
    <w:pPr>
      <w:numPr>
        <w:numId w:val="51"/>
      </w:numPr>
    </w:pPr>
  </w:style>
  <w:style w:type="numbering" w:customStyle="1" w:styleId="ImportedStyle40">
    <w:name w:val="Imported Style 40"/>
    <w:rsid w:val="00E75351"/>
    <w:pPr>
      <w:numPr>
        <w:numId w:val="77"/>
      </w:numPr>
    </w:pPr>
  </w:style>
  <w:style w:type="numbering" w:customStyle="1" w:styleId="ImportedStyle41">
    <w:name w:val="Imported Style 41"/>
    <w:rsid w:val="00E75351"/>
    <w:pPr>
      <w:numPr>
        <w:numId w:val="52"/>
      </w:numPr>
    </w:pPr>
  </w:style>
  <w:style w:type="numbering" w:customStyle="1" w:styleId="ImportedStyle42">
    <w:name w:val="Imported Style 42"/>
    <w:rsid w:val="00E75351"/>
    <w:pPr>
      <w:numPr>
        <w:numId w:val="81"/>
      </w:numPr>
    </w:pPr>
  </w:style>
  <w:style w:type="numbering" w:customStyle="1" w:styleId="ImportedStyle43">
    <w:name w:val="Imported Style 43"/>
    <w:rsid w:val="00E75351"/>
    <w:pPr>
      <w:numPr>
        <w:numId w:val="53"/>
      </w:numPr>
    </w:pPr>
  </w:style>
  <w:style w:type="numbering" w:customStyle="1" w:styleId="ImportedStyle44">
    <w:name w:val="Imported Style 44"/>
    <w:rsid w:val="00E75351"/>
  </w:style>
  <w:style w:type="numbering" w:customStyle="1" w:styleId="ImportedStyle45">
    <w:name w:val="Imported Style 45"/>
    <w:rsid w:val="00E75351"/>
    <w:pPr>
      <w:numPr>
        <w:numId w:val="66"/>
      </w:numPr>
    </w:pPr>
  </w:style>
  <w:style w:type="numbering" w:customStyle="1" w:styleId="ImportedStyle46">
    <w:name w:val="Imported Style 46"/>
    <w:rsid w:val="00E75351"/>
    <w:pPr>
      <w:numPr>
        <w:numId w:val="55"/>
      </w:numPr>
    </w:pPr>
  </w:style>
  <w:style w:type="numbering" w:customStyle="1" w:styleId="ImportedStyle47">
    <w:name w:val="Imported Style 47"/>
    <w:rsid w:val="00E75351"/>
    <w:pPr>
      <w:numPr>
        <w:numId w:val="67"/>
      </w:numPr>
    </w:pPr>
  </w:style>
  <w:style w:type="numbering" w:customStyle="1" w:styleId="ImportedStyle48">
    <w:name w:val="Imported Style 48"/>
    <w:rsid w:val="00E75351"/>
    <w:pPr>
      <w:numPr>
        <w:numId w:val="56"/>
      </w:numPr>
    </w:pPr>
  </w:style>
  <w:style w:type="numbering" w:customStyle="1" w:styleId="ImportedStyle36">
    <w:name w:val="Imported Style 36"/>
    <w:rsid w:val="00E75351"/>
    <w:pPr>
      <w:numPr>
        <w:numId w:val="68"/>
      </w:numPr>
    </w:pPr>
  </w:style>
  <w:style w:type="numbering" w:customStyle="1" w:styleId="ImportedStyle49">
    <w:name w:val="Imported Style 49"/>
    <w:rsid w:val="00E75351"/>
  </w:style>
  <w:style w:type="numbering" w:customStyle="1" w:styleId="ImportedStyle50">
    <w:name w:val="Imported Style 50"/>
    <w:rsid w:val="00E75351"/>
  </w:style>
  <w:style w:type="numbering" w:customStyle="1" w:styleId="ImportedStyle51">
    <w:name w:val="Imported Style 51"/>
    <w:rsid w:val="00E75351"/>
    <w:pPr>
      <w:numPr>
        <w:numId w:val="57"/>
      </w:numPr>
    </w:pPr>
  </w:style>
  <w:style w:type="numbering" w:customStyle="1" w:styleId="ImportedStyle52">
    <w:name w:val="Imported Style 52"/>
    <w:rsid w:val="00E75351"/>
    <w:pPr>
      <w:numPr>
        <w:numId w:val="58"/>
      </w:numPr>
    </w:pPr>
  </w:style>
  <w:style w:type="numbering" w:customStyle="1" w:styleId="ImportedStyle53">
    <w:name w:val="Imported Style 53"/>
    <w:rsid w:val="00E75351"/>
    <w:pPr>
      <w:numPr>
        <w:numId w:val="59"/>
      </w:numPr>
    </w:pPr>
  </w:style>
  <w:style w:type="numbering" w:customStyle="1" w:styleId="ImportedStyle54">
    <w:name w:val="Imported Style 54"/>
    <w:rsid w:val="00E75351"/>
    <w:pPr>
      <w:numPr>
        <w:numId w:val="78"/>
      </w:numPr>
    </w:pPr>
  </w:style>
  <w:style w:type="numbering" w:customStyle="1" w:styleId="ImportedStyle55">
    <w:name w:val="Imported Style 55"/>
    <w:rsid w:val="00E75351"/>
    <w:pPr>
      <w:numPr>
        <w:numId w:val="60"/>
      </w:numPr>
    </w:pPr>
  </w:style>
  <w:style w:type="numbering" w:customStyle="1" w:styleId="ImportedStyle56">
    <w:name w:val="Imported Style 56"/>
    <w:rsid w:val="00E75351"/>
    <w:pPr>
      <w:numPr>
        <w:numId w:val="61"/>
      </w:numPr>
    </w:pPr>
  </w:style>
  <w:style w:type="numbering" w:customStyle="1" w:styleId="ImportedStyle57">
    <w:name w:val="Imported Style 57"/>
    <w:rsid w:val="00E75351"/>
    <w:pPr>
      <w:numPr>
        <w:numId w:val="62"/>
      </w:numPr>
    </w:pPr>
  </w:style>
  <w:style w:type="numbering" w:customStyle="1" w:styleId="ImportedStyle58">
    <w:name w:val="Imported Style 58"/>
    <w:rsid w:val="00E75351"/>
    <w:pPr>
      <w:numPr>
        <w:numId w:val="63"/>
      </w:numPr>
    </w:pPr>
  </w:style>
  <w:style w:type="numbering" w:customStyle="1" w:styleId="ImportedStyle59">
    <w:name w:val="Imported Style 59"/>
    <w:rsid w:val="00E75351"/>
    <w:pPr>
      <w:numPr>
        <w:numId w:val="64"/>
      </w:numPr>
    </w:pPr>
  </w:style>
  <w:style w:type="numbering" w:customStyle="1" w:styleId="ImportedStyle60">
    <w:name w:val="Imported Style 60"/>
    <w:rsid w:val="00E75351"/>
    <w:pPr>
      <w:numPr>
        <w:numId w:val="54"/>
      </w:numPr>
    </w:pPr>
  </w:style>
  <w:style w:type="numbering" w:customStyle="1" w:styleId="ImportedStyle61">
    <w:name w:val="Imported Style 61"/>
    <w:rsid w:val="00E75351"/>
    <w:pPr>
      <w:numPr>
        <w:numId w:val="6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E75351"/>
    <w:rPr>
      <w:color w:val="000000"/>
      <w:sz w:val="24"/>
      <w:szCs w:val="24"/>
      <w:u w:color="000000"/>
      <w:bdr w:val="nil"/>
      <w:lang w:val="it-IT" w:eastAsia="en-IE"/>
    </w:rPr>
  </w:style>
  <w:style w:type="paragraph" w:styleId="EndnoteText">
    <w:name w:val="endnote text"/>
    <w:basedOn w:val="Normal"/>
    <w:link w:val="EndnoteTextChar"/>
    <w:unhideWhenUsed/>
    <w:rsid w:val="00E75351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75351"/>
    <w:rPr>
      <w:rFonts w:eastAsia="Calibri"/>
      <w:lang w:val="it-IT"/>
    </w:rPr>
  </w:style>
  <w:style w:type="character" w:styleId="EndnoteReference">
    <w:name w:val="endnote reference"/>
    <w:basedOn w:val="DefaultParagraphFont"/>
    <w:uiPriority w:val="99"/>
    <w:unhideWhenUsed/>
    <w:rsid w:val="00E75351"/>
    <w:rPr>
      <w:vertAlign w:val="superscript"/>
    </w:rPr>
  </w:style>
  <w:style w:type="paragraph" w:customStyle="1" w:styleId="Style1">
    <w:name w:val="Style1"/>
    <w:basedOn w:val="Text1"/>
    <w:qFormat/>
    <w:rsid w:val="00E75351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E75351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E75351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E75351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E75351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E75351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E75351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E75351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E75351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it-IT" w:eastAsia="en-US"/>
    </w:rPr>
  </w:style>
  <w:style w:type="paragraph" w:customStyle="1" w:styleId="CM1">
    <w:name w:val="CM1"/>
    <w:basedOn w:val="Default"/>
    <w:next w:val="Default"/>
    <w:uiPriority w:val="99"/>
    <w:rsid w:val="00E753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E753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E75351"/>
    <w:rPr>
      <w:i/>
      <w:iCs/>
    </w:rPr>
  </w:style>
  <w:style w:type="paragraph" w:customStyle="1" w:styleId="Tetxt1">
    <w:name w:val="Tetxt 1"/>
    <w:basedOn w:val="Normal"/>
    <w:rsid w:val="00E75351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E75351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E75351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E75351"/>
  </w:style>
  <w:style w:type="paragraph" w:customStyle="1" w:styleId="Numbpar">
    <w:name w:val="Numb par"/>
    <w:basedOn w:val="ManualNumbpar"/>
    <w:rsid w:val="00E75351"/>
  </w:style>
  <w:style w:type="paragraph" w:customStyle="1" w:styleId="Numbpar1">
    <w:name w:val="Numb par 1"/>
    <w:basedOn w:val="ManualNumbpar"/>
    <w:rsid w:val="00E75351"/>
  </w:style>
  <w:style w:type="paragraph" w:customStyle="1" w:styleId="Point1letter0">
    <w:name w:val="Point 1 letter"/>
    <w:basedOn w:val="NormalWeb"/>
    <w:rsid w:val="00E75351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E75351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E75351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75351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7535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7535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E75351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E75351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75351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75351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7535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7535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7535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7535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7535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7535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E7535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7535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7535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7535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7535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75351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75351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7535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E7535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7535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7535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E7535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7535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75351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75351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75351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7535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75351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7535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7535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7535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7535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7535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E75351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E75351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E75351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E75351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E75351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E7535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7535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7535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7535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7535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7535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7535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7535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7535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7535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75351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75351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75351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75351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7535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7535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7535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7535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7535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7535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7535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7535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7535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7535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7535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7535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7535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E7535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75351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7535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E75351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75351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75351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75351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75351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75351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75351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75351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75351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75351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75351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75351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75351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75351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7535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7535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7535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7535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7535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7535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7535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E7535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E7535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7535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7535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7535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7535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7535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7535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7535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7535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75351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7535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7535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7535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7535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7535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7535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7535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7535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7535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7535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7535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7535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7535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7535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7535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E7535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7535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7535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7535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7535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7535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E7535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7535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7535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75351"/>
  </w:style>
  <w:style w:type="paragraph" w:customStyle="1" w:styleId="StatutPagedecouverture">
    <w:name w:val="Statut (Page de couverture)"/>
    <w:basedOn w:val="Statut"/>
    <w:next w:val="TypedudocumentPagedecouverture"/>
    <w:rsid w:val="00E75351"/>
  </w:style>
  <w:style w:type="paragraph" w:customStyle="1" w:styleId="TitreobjetPagedecouverture">
    <w:name w:val="Titre objet (Page de couverture)"/>
    <w:basedOn w:val="Titreobjet"/>
    <w:next w:val="IntrtEEEPagedecouverture"/>
    <w:rsid w:val="00E7535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75351"/>
  </w:style>
  <w:style w:type="paragraph" w:customStyle="1" w:styleId="Volume">
    <w:name w:val="Volume"/>
    <w:basedOn w:val="Normal"/>
    <w:next w:val="Confidentialit"/>
    <w:rsid w:val="00E7535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75351"/>
    <w:pPr>
      <w:spacing w:after="240"/>
    </w:pPr>
  </w:style>
  <w:style w:type="paragraph" w:customStyle="1" w:styleId="Accompagnant">
    <w:name w:val="Accompagnant"/>
    <w:basedOn w:val="Normal"/>
    <w:next w:val="Typeacteprincipal"/>
    <w:rsid w:val="00E7535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7535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7535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75351"/>
  </w:style>
  <w:style w:type="paragraph" w:customStyle="1" w:styleId="AccompagnantPagedecouverture">
    <w:name w:val="Accompagnant (Page de couverture)"/>
    <w:basedOn w:val="Accompagnant"/>
    <w:next w:val="TypeacteprincipalPagedecouverture"/>
    <w:rsid w:val="00E7535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75351"/>
  </w:style>
  <w:style w:type="paragraph" w:customStyle="1" w:styleId="ObjetacteprincipalPagedecouverture">
    <w:name w:val="Objet acte principal (Page de couverture)"/>
    <w:basedOn w:val="Objetacteprincipal"/>
    <w:next w:val="Rfrencecroise"/>
    <w:rsid w:val="00E75351"/>
  </w:style>
  <w:style w:type="paragraph" w:customStyle="1" w:styleId="LanguesfaisantfoiPagedecouverture">
    <w:name w:val="Langues faisant foi (Page de couverture)"/>
    <w:basedOn w:val="Normal"/>
    <w:next w:val="Normal"/>
    <w:rsid w:val="00E7535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E75351"/>
    <w:pPr>
      <w:spacing w:after="240"/>
    </w:pPr>
  </w:style>
  <w:style w:type="paragraph" w:customStyle="1" w:styleId="PageHeadingNotTOC">
    <w:name w:val="PageHeadingNotTOC"/>
    <w:basedOn w:val="Normal"/>
    <w:rsid w:val="00E7535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7535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"/>
    <w:rsid w:val="00E75351"/>
    <w:pPr>
      <w:keepNext/>
      <w:spacing w:before="240" w:after="240"/>
      <w:jc w:val="center"/>
    </w:pPr>
    <w:rPr>
      <w:i/>
      <w:noProof/>
    </w:rPr>
  </w:style>
  <w:style w:type="paragraph" w:customStyle="1" w:styleId="RollCallSymbols14pt">
    <w:name w:val="RollCallSymbols14pt"/>
    <w:basedOn w:val="Normal"/>
    <w:rsid w:val="00E7535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7535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7535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75351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E7535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E75351"/>
    <w:rPr>
      <w:sz w:val="24"/>
      <w:lang w:val="it-IT"/>
    </w:rPr>
  </w:style>
  <w:style w:type="paragraph" w:customStyle="1" w:styleId="CommitteeAM">
    <w:name w:val="CommitteeAM"/>
    <w:basedOn w:val="Normal"/>
    <w:rsid w:val="00E7535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7535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7535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7535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75351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E75351"/>
    <w:pPr>
      <w:spacing w:before="240"/>
      <w:jc w:val="center"/>
    </w:pPr>
    <w:rPr>
      <w:i/>
    </w:rPr>
  </w:style>
  <w:style w:type="character" w:customStyle="1" w:styleId="Footer2Middle">
    <w:name w:val="Footer2Middle"/>
    <w:rsid w:val="00E75351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E75351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E75351"/>
    <w:pPr>
      <w:jc w:val="center"/>
    </w:pPr>
    <w:rPr>
      <w:b/>
      <w:i/>
    </w:rPr>
  </w:style>
  <w:style w:type="paragraph" w:styleId="NoSpacing">
    <w:name w:val="No Spacing"/>
    <w:uiPriority w:val="1"/>
    <w:qFormat/>
    <w:rsid w:val="00E75351"/>
    <w:pPr>
      <w:widowControl w:val="0"/>
    </w:pPr>
    <w:rPr>
      <w:sz w:val="24"/>
      <w:szCs w:val="24"/>
      <w:lang w:val="it-IT"/>
    </w:rPr>
  </w:style>
  <w:style w:type="character" w:customStyle="1" w:styleId="SupBoldItalic">
    <w:name w:val="SupBoldItalic"/>
    <w:uiPriority w:val="1"/>
    <w:qFormat/>
    <w:rsid w:val="00E75351"/>
    <w:rPr>
      <w:b/>
      <w:i/>
      <w:vertAlign w:val="superscript"/>
    </w:rPr>
  </w:style>
  <w:style w:type="paragraph" w:customStyle="1" w:styleId="msonormal0">
    <w:name w:val="msonormal"/>
    <w:basedOn w:val="Normal"/>
    <w:rsid w:val="00E75351"/>
    <w:pPr>
      <w:widowControl/>
      <w:spacing w:before="100" w:beforeAutospacing="1" w:after="100" w:afterAutospacing="1"/>
    </w:pPr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7535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75351"/>
    <w:rPr>
      <w:rFonts w:ascii="Arial" w:eastAsiaTheme="majorEastAsia" w:hAnsi="Arial" w:cs="Arial"/>
      <w:b/>
      <w:bCs/>
      <w:kern w:val="28"/>
      <w:sz w:val="32"/>
      <w:szCs w:val="32"/>
      <w:lang w:val="it-I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35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75351"/>
    <w:rPr>
      <w:rFonts w:ascii="Arial" w:eastAsiaTheme="majorEastAsia" w:hAnsi="Arial" w:cs="Arial"/>
      <w:sz w:val="24"/>
      <w:szCs w:val="24"/>
      <w:lang w:val="it-IT" w:eastAsia="en-US"/>
    </w:rPr>
  </w:style>
  <w:style w:type="character" w:styleId="Strong">
    <w:name w:val="Strong"/>
    <w:basedOn w:val="DefaultParagraphFont"/>
    <w:uiPriority w:val="22"/>
    <w:qFormat/>
    <w:rsid w:val="00E75351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E7535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75351"/>
    <w:rPr>
      <w:rFonts w:eastAsiaTheme="minorHAnsi"/>
      <w:i/>
      <w:sz w:val="24"/>
      <w:szCs w:val="24"/>
      <w:lang w:val="it-I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35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351"/>
    <w:rPr>
      <w:rFonts w:eastAsiaTheme="minorHAnsi"/>
      <w:b/>
      <w:i/>
      <w:sz w:val="24"/>
      <w:szCs w:val="22"/>
      <w:lang w:val="it-IT" w:eastAsia="en-US"/>
    </w:rPr>
  </w:style>
  <w:style w:type="character" w:styleId="SubtleEmphasis">
    <w:name w:val="Subtle Emphasis"/>
    <w:uiPriority w:val="19"/>
    <w:qFormat/>
    <w:rsid w:val="00E7535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7535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7535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7535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75351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E75351"/>
    <w:rPr>
      <w:rFonts w:ascii="Arial" w:hAnsi="Arial" w:cs="Arial"/>
      <w:b/>
      <w:sz w:val="48"/>
      <w:lang w:val="it-IT"/>
    </w:rPr>
  </w:style>
  <w:style w:type="character" w:customStyle="1" w:styleId="EPFooterChar">
    <w:name w:val="EPFooter Char"/>
    <w:basedOn w:val="DefaultParagraphFont"/>
    <w:link w:val="EPFooter"/>
    <w:rsid w:val="00E75351"/>
    <w:rPr>
      <w:color w:val="010000"/>
      <w:sz w:val="22"/>
      <w:lang w:val="it-IT"/>
    </w:rPr>
  </w:style>
  <w:style w:type="numbering" w:customStyle="1" w:styleId="NoList2">
    <w:name w:val="No List2"/>
    <w:next w:val="NoList"/>
    <w:uiPriority w:val="99"/>
    <w:semiHidden/>
    <w:unhideWhenUsed/>
    <w:rsid w:val="002F2269"/>
  </w:style>
  <w:style w:type="numbering" w:customStyle="1" w:styleId="NoList11">
    <w:name w:val="No List11"/>
    <w:next w:val="NoList"/>
    <w:uiPriority w:val="99"/>
    <w:semiHidden/>
    <w:unhideWhenUsed/>
    <w:rsid w:val="002F2269"/>
  </w:style>
  <w:style w:type="paragraph" w:customStyle="1" w:styleId="AmDocTypeTab">
    <w:name w:val="AmDocTypeTab"/>
    <w:basedOn w:val="Normal"/>
    <w:rsid w:val="002F2269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2F2269"/>
    <w:pPr>
      <w:tabs>
        <w:tab w:val="right" w:pos="9072"/>
      </w:tabs>
    </w:pPr>
  </w:style>
  <w:style w:type="numbering" w:customStyle="1" w:styleId="NoList111">
    <w:name w:val="No List111"/>
    <w:next w:val="NoList"/>
    <w:uiPriority w:val="99"/>
    <w:semiHidden/>
    <w:unhideWhenUsed/>
    <w:rsid w:val="002F2269"/>
  </w:style>
  <w:style w:type="paragraph" w:customStyle="1" w:styleId="TOC11">
    <w:name w:val="TOC 11"/>
    <w:basedOn w:val="Normal"/>
    <w:next w:val="Normal"/>
    <w:uiPriority w:val="39"/>
    <w:semiHidden/>
    <w:unhideWhenUsed/>
    <w:rsid w:val="002F226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2F226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2F226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2F226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2F226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2F226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2F226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2F226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2F226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F226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F226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F226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F226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F226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F226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F226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F226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F226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F226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F226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F226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F226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F2269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F2269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F2269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F2269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F2269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F2269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F2269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F226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F226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2F226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F226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F226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F226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F226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F226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F226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F226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F226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F2269"/>
    <w:pPr>
      <w:spacing w:before="240"/>
    </w:pPr>
  </w:style>
  <w:style w:type="paragraph" w:customStyle="1" w:styleId="Accordtitre">
    <w:name w:val="Accord titre"/>
    <w:basedOn w:val="Normal"/>
    <w:rsid w:val="002F226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F226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F226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F226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2F226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2F2269"/>
    <w:pPr>
      <w:widowControl/>
    </w:pPr>
    <w:rPr>
      <w:sz w:val="20"/>
      <w:lang w:val="en-GB"/>
    </w:rPr>
  </w:style>
  <w:style w:type="paragraph" w:customStyle="1" w:styleId="Division1">
    <w:name w:val="Division 1"/>
    <w:basedOn w:val="Normal"/>
    <w:next w:val="Normal"/>
    <w:rsid w:val="002F22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F22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F22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F22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F226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F226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F226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F226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F226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F226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F226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F226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F226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F226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F226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F226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F226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F226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F226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F226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F226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F226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F226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F226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F226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F226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F226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it-IT" w:eastAsia="en-US"/>
    </w:rPr>
  </w:style>
  <w:style w:type="paragraph" w:customStyle="1" w:styleId="CommentFwdQuotedText">
    <w:name w:val="CommentFwdQuotedText"/>
    <w:basedOn w:val="Normal"/>
    <w:rsid w:val="002F226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F226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2F2269"/>
    <w:rPr>
      <w:b/>
      <w:i/>
    </w:rPr>
  </w:style>
  <w:style w:type="character" w:customStyle="1" w:styleId="diff-tte-removed">
    <w:name w:val="diff-tte-removed"/>
    <w:basedOn w:val="DefaultParagraphFont"/>
    <w:rsid w:val="002F2269"/>
    <w:rPr>
      <w:strike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2F2269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2F2269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2F2269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Revision1">
    <w:name w:val="Revision1"/>
    <w:next w:val="Revision"/>
    <w:hidden/>
    <w:uiPriority w:val="99"/>
    <w:semiHidden/>
    <w:rsid w:val="002F2269"/>
    <w:rPr>
      <w:rFonts w:eastAsia="Calibri"/>
      <w:sz w:val="24"/>
      <w:szCs w:val="22"/>
      <w:lang w:val="it-IT" w:eastAsia="en-US"/>
    </w:rPr>
  </w:style>
  <w:style w:type="paragraph" w:customStyle="1" w:styleId="Normal1">
    <w:name w:val="Normal1"/>
    <w:basedOn w:val="Normal"/>
    <w:rsid w:val="002F2269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2F2269"/>
  </w:style>
  <w:style w:type="character" w:customStyle="1" w:styleId="lexicoexa">
    <w:name w:val="lexico_exa"/>
    <w:basedOn w:val="DefaultParagraphFont"/>
    <w:rsid w:val="002F2269"/>
  </w:style>
  <w:style w:type="character" w:customStyle="1" w:styleId="lexicolabelgrp">
    <w:name w:val="lexico_labelgrp"/>
    <w:basedOn w:val="DefaultParagraphFont"/>
    <w:rsid w:val="002F226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226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2F2269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2F2269"/>
    <w:rPr>
      <w:color w:val="2B579A"/>
      <w:shd w:val="clear" w:color="auto" w:fill="E1DFDD"/>
    </w:rPr>
  </w:style>
  <w:style w:type="character" w:customStyle="1" w:styleId="EndnoteTextChar1">
    <w:name w:val="Endnote Text Char1"/>
    <w:basedOn w:val="DefaultParagraphFont"/>
    <w:rsid w:val="002F2269"/>
    <w:rPr>
      <w:rFonts w:ascii="Times New Roman" w:eastAsia="Times New Roman" w:hAnsi="Times New Roman"/>
      <w:sz w:val="20"/>
      <w:szCs w:val="20"/>
      <w:lang w:val="it-IT" w:eastAsia="en-GB"/>
    </w:rPr>
  </w:style>
  <w:style w:type="character" w:customStyle="1" w:styleId="CommentTextChar1">
    <w:name w:val="Comment Text Char1"/>
    <w:basedOn w:val="DefaultParagraphFont"/>
    <w:rsid w:val="002F2269"/>
    <w:rPr>
      <w:rFonts w:ascii="Times New Roman" w:eastAsia="Times New Roman" w:hAnsi="Times New Roman"/>
      <w:sz w:val="20"/>
      <w:szCs w:val="20"/>
      <w:lang w:val="it-IT" w:eastAsia="en-GB"/>
    </w:rPr>
  </w:style>
  <w:style w:type="character" w:customStyle="1" w:styleId="CommentSubjectChar1">
    <w:name w:val="Comment Subject Char1"/>
    <w:basedOn w:val="CommentTextChar1"/>
    <w:rsid w:val="002F2269"/>
    <w:rPr>
      <w:rFonts w:ascii="Times New Roman" w:eastAsia="Times New Roman" w:hAnsi="Times New Roman"/>
      <w:b/>
      <w:bCs/>
      <w:sz w:val="20"/>
      <w:szCs w:val="20"/>
      <w:lang w:val="it-IT" w:eastAsia="en-GB"/>
    </w:rPr>
  </w:style>
  <w:style w:type="character" w:customStyle="1" w:styleId="BalloonTextChar1">
    <w:name w:val="Balloon Text Char1"/>
    <w:basedOn w:val="DefaultParagraphFont"/>
    <w:rsid w:val="002F2269"/>
    <w:rPr>
      <w:rFonts w:ascii="Segoe UI" w:eastAsia="Times New Roman" w:hAnsi="Segoe UI" w:cs="Segoe UI"/>
      <w:sz w:val="18"/>
      <w:szCs w:val="18"/>
      <w:lang w:val="it-IT" w:eastAsia="en-GB"/>
    </w:rPr>
  </w:style>
  <w:style w:type="character" w:customStyle="1" w:styleId="FollowedHyperlink2">
    <w:name w:val="FollowedHyperlink2"/>
    <w:basedOn w:val="DefaultParagraphFont"/>
    <w:rsid w:val="002F2269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343A8-457B-4103-B8FF-9075FAAF2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</dc:creator>
  <cp:keywords/>
  <cp:lastModifiedBy>AP</cp:lastModifiedBy>
  <cp:revision>2</cp:revision>
  <cp:lastPrinted>2004-11-19T15:42:00Z</cp:lastPrinted>
  <dcterms:created xsi:type="dcterms:W3CDTF">2024-09-20T07:10:00Z</dcterms:created>
  <dcterms:modified xsi:type="dcterms:W3CDTF">2024-09-20T07:10:00Z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