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01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501B" w:rsidRDefault="001C457F" w:rsidP="0010095E">
            <w:pPr>
              <w:pStyle w:val="EPName"/>
            </w:pPr>
            <w:r w:rsidRPr="0029501B">
              <w:t>Parlament Europejski</w:t>
            </w:r>
          </w:p>
          <w:p w:rsidR="00751A4A" w:rsidRPr="0029501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2DD2">
              <w:t>2019</w:t>
            </w:r>
            <w:r w:rsidRPr="0029501B">
              <w:t>-</w:t>
            </w:r>
            <w:r w:rsidRPr="00022DD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9501B" w:rsidRDefault="00187494" w:rsidP="0010095E">
            <w:pPr>
              <w:pStyle w:val="EPLogo"/>
            </w:pPr>
            <w:r w:rsidRPr="0029501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501B" w:rsidRDefault="00D058B8" w:rsidP="004C5D52">
      <w:pPr>
        <w:pStyle w:val="LineTop"/>
      </w:pPr>
    </w:p>
    <w:p w:rsidR="00680577" w:rsidRPr="0029501B" w:rsidRDefault="001C457F" w:rsidP="00680577">
      <w:pPr>
        <w:pStyle w:val="EPBodyTA1"/>
      </w:pPr>
      <w:r w:rsidRPr="0029501B">
        <w:t>TEKSTY PRZYJĘTE</w:t>
      </w:r>
    </w:p>
    <w:p w:rsidR="00D058B8" w:rsidRPr="0029501B" w:rsidRDefault="00D058B8" w:rsidP="00D058B8">
      <w:pPr>
        <w:pStyle w:val="LineBottom"/>
      </w:pPr>
    </w:p>
    <w:p w:rsidR="001C457F" w:rsidRPr="0029501B" w:rsidRDefault="001C457F" w:rsidP="001C457F">
      <w:pPr>
        <w:pStyle w:val="ATHeading1"/>
      </w:pPr>
      <w:bookmarkStart w:id="0" w:name="TANumber"/>
      <w:r w:rsidRPr="0029501B">
        <w:t>P</w:t>
      </w:r>
      <w:r w:rsidRPr="00022DD2">
        <w:t>9</w:t>
      </w:r>
      <w:r w:rsidRPr="0029501B">
        <w:t>_TA(</w:t>
      </w:r>
      <w:r w:rsidRPr="00022DD2">
        <w:t>2024</w:t>
      </w:r>
      <w:r w:rsidRPr="0029501B">
        <w:t>)</w:t>
      </w:r>
      <w:r w:rsidRPr="00022DD2">
        <w:t>0</w:t>
      </w:r>
      <w:bookmarkEnd w:id="0"/>
      <w:r w:rsidR="00861352" w:rsidRPr="00022DD2">
        <w:t>366</w:t>
      </w:r>
    </w:p>
    <w:p w:rsidR="001C457F" w:rsidRPr="0029501B" w:rsidRDefault="001C457F" w:rsidP="001C457F">
      <w:pPr>
        <w:pStyle w:val="ATHeading2"/>
      </w:pPr>
      <w:bookmarkStart w:id="1" w:name="title"/>
      <w:r w:rsidRPr="0029501B">
        <w:t>Utworzenie Urzędu ds. Przeciwdziałania Praniu Pieniędzy i Finansowaniu Terroryzmu</w:t>
      </w:r>
      <w:bookmarkEnd w:id="1"/>
    </w:p>
    <w:p w:rsidR="001C457F" w:rsidRPr="0029501B" w:rsidRDefault="001C457F" w:rsidP="001C457F">
      <w:pPr>
        <w:rPr>
          <w:i/>
          <w:vanish/>
        </w:rPr>
      </w:pPr>
      <w:r w:rsidRPr="0029501B">
        <w:rPr>
          <w:i/>
        </w:rPr>
        <w:fldChar w:fldCharType="begin"/>
      </w:r>
      <w:r w:rsidRPr="0029501B">
        <w:rPr>
          <w:i/>
        </w:rPr>
        <w:instrText xml:space="preserve"> TC"(</w:instrText>
      </w:r>
      <w:bookmarkStart w:id="2" w:name="DocNumber"/>
      <w:r w:rsidRPr="0029501B">
        <w:rPr>
          <w:i/>
        </w:rPr>
        <w:instrText>A</w:instrText>
      </w:r>
      <w:r w:rsidRPr="00022DD2">
        <w:rPr>
          <w:i/>
        </w:rPr>
        <w:instrText>9</w:instrText>
      </w:r>
      <w:r w:rsidRPr="0029501B">
        <w:rPr>
          <w:i/>
        </w:rPr>
        <w:instrText>-</w:instrText>
      </w:r>
      <w:r w:rsidRPr="00022DD2">
        <w:rPr>
          <w:i/>
        </w:rPr>
        <w:instrText>0128</w:instrText>
      </w:r>
      <w:r w:rsidRPr="0029501B">
        <w:rPr>
          <w:i/>
        </w:rPr>
        <w:instrText>/</w:instrText>
      </w:r>
      <w:r w:rsidRPr="00022DD2">
        <w:rPr>
          <w:i/>
        </w:rPr>
        <w:instrText>2023</w:instrText>
      </w:r>
      <w:bookmarkEnd w:id="2"/>
      <w:r w:rsidR="00BB04EA">
        <w:rPr>
          <w:i/>
        </w:rPr>
        <w:instrText xml:space="preserve"> - Sprawozdawcy</w:instrText>
      </w:r>
      <w:r w:rsidRPr="0029501B">
        <w:rPr>
          <w:i/>
        </w:rPr>
        <w:instrText>: Eva Maria Poptcheva, Emil Radev)"\l</w:instrText>
      </w:r>
      <w:r w:rsidRPr="00022DD2">
        <w:rPr>
          <w:i/>
        </w:rPr>
        <w:instrText>3</w:instrText>
      </w:r>
      <w:r w:rsidRPr="0029501B">
        <w:rPr>
          <w:i/>
        </w:rPr>
        <w:instrText xml:space="preserve"> \n&gt; \* MERGEFORMAT </w:instrText>
      </w:r>
      <w:r w:rsidRPr="0029501B">
        <w:rPr>
          <w:i/>
        </w:rPr>
        <w:fldChar w:fldCharType="end"/>
      </w:r>
    </w:p>
    <w:p w:rsidR="001C457F" w:rsidRPr="0029501B" w:rsidRDefault="001C457F" w:rsidP="001C457F">
      <w:pPr>
        <w:rPr>
          <w:vanish/>
        </w:rPr>
      </w:pPr>
      <w:bookmarkStart w:id="3" w:name="Commission"/>
      <w:r w:rsidRPr="0029501B">
        <w:rPr>
          <w:vanish/>
        </w:rPr>
        <w:t>Komisja Gospodarcza i Monetarna</w:t>
      </w:r>
      <w:bookmarkEnd w:id="3"/>
      <w:r w:rsidR="00A04FFD">
        <w:rPr>
          <w:vanish/>
        </w:rPr>
        <w:t xml:space="preserve"> i Komisja </w:t>
      </w:r>
      <w:r w:rsidR="00A04FFD" w:rsidRPr="00A04FFD">
        <w:rPr>
          <w:vanish/>
        </w:rPr>
        <w:t>Wolności Obywatelskich, Sprawiedliwości i Spraw Wewnętrznych</w:t>
      </w:r>
    </w:p>
    <w:p w:rsidR="001C457F" w:rsidRPr="0029501B" w:rsidRDefault="001C457F" w:rsidP="001C457F">
      <w:pPr>
        <w:rPr>
          <w:vanish/>
        </w:rPr>
      </w:pPr>
      <w:bookmarkStart w:id="4" w:name="PE"/>
      <w:r w:rsidRPr="0029501B">
        <w:rPr>
          <w:vanish/>
        </w:rPr>
        <w:t>PE</w:t>
      </w:r>
      <w:r w:rsidRPr="00022DD2">
        <w:rPr>
          <w:vanish/>
        </w:rPr>
        <w:t>731</w:t>
      </w:r>
      <w:r w:rsidRPr="0029501B">
        <w:rPr>
          <w:vanish/>
        </w:rPr>
        <w:t>.</w:t>
      </w:r>
      <w:r w:rsidRPr="00022DD2">
        <w:rPr>
          <w:vanish/>
        </w:rPr>
        <w:t>820</w:t>
      </w:r>
      <w:bookmarkEnd w:id="4"/>
    </w:p>
    <w:p w:rsidR="001C457F" w:rsidRPr="0029501B" w:rsidRDefault="001C457F" w:rsidP="001C457F">
      <w:pPr>
        <w:pStyle w:val="ATHeading3"/>
      </w:pPr>
      <w:bookmarkStart w:id="5" w:name="Sujet"/>
      <w:r w:rsidRPr="0029501B">
        <w:t xml:space="preserve">Rezolucja ustawodawcza Parlamentu Europejskiego z dnia </w:t>
      </w:r>
      <w:r w:rsidR="00A04FFD" w:rsidRPr="00022DD2">
        <w:t>24</w:t>
      </w:r>
      <w:r w:rsidR="00A04FFD">
        <w:t xml:space="preserve"> kwietnia</w:t>
      </w:r>
      <w:r w:rsidRPr="0029501B">
        <w:t xml:space="preserve"> </w:t>
      </w:r>
      <w:r w:rsidRPr="00022DD2">
        <w:t>2024</w:t>
      </w:r>
      <w:r w:rsidRPr="0029501B">
        <w:t xml:space="preserve"> r. w sprawie wniosku dotyczącego rozporządzenia Parlamentu Europejskiego i Rady ustanawiającego Urząd ds. Przeciwdziałania Praniu Pieniędzy i Finansowaniu Terroryzmu i zmieniającego rozporządzenia (UE) nr </w:t>
      </w:r>
      <w:r w:rsidRPr="00022DD2">
        <w:t>1093</w:t>
      </w:r>
      <w:r w:rsidRPr="0029501B">
        <w:t>/</w:t>
      </w:r>
      <w:r w:rsidRPr="00022DD2">
        <w:t>2010</w:t>
      </w:r>
      <w:r w:rsidR="003A1028">
        <w:t>, (UE)</w:t>
      </w:r>
      <w:r w:rsidRPr="0029501B">
        <w:t xml:space="preserve"> </w:t>
      </w:r>
      <w:r w:rsidRPr="00022DD2">
        <w:t>1094</w:t>
      </w:r>
      <w:r w:rsidRPr="0029501B">
        <w:t>/</w:t>
      </w:r>
      <w:r w:rsidRPr="00022DD2">
        <w:t>2010</w:t>
      </w:r>
      <w:r w:rsidR="003A1028">
        <w:t xml:space="preserve"> i (UE)</w:t>
      </w:r>
      <w:bookmarkStart w:id="6" w:name="_GoBack"/>
      <w:bookmarkEnd w:id="6"/>
      <w:r w:rsidRPr="0029501B">
        <w:t xml:space="preserve"> </w:t>
      </w:r>
      <w:r w:rsidRPr="00022DD2">
        <w:t>1095</w:t>
      </w:r>
      <w:r w:rsidRPr="0029501B">
        <w:t>/</w:t>
      </w:r>
      <w:r w:rsidRPr="00022DD2">
        <w:t>2010</w:t>
      </w:r>
      <w:bookmarkEnd w:id="5"/>
      <w:r w:rsidRPr="0029501B">
        <w:t xml:space="preserve"> </w:t>
      </w:r>
      <w:bookmarkStart w:id="7" w:name="References"/>
      <w:r w:rsidRPr="0029501B">
        <w:t>(COM</w:t>
      </w:r>
      <w:proofErr w:type="gramStart"/>
      <w:r w:rsidRPr="0029501B">
        <w:t>(</w:t>
      </w:r>
      <w:r w:rsidRPr="00022DD2">
        <w:t>2021</w:t>
      </w:r>
      <w:r w:rsidRPr="0029501B">
        <w:t>)</w:t>
      </w:r>
      <w:r w:rsidRPr="00022DD2">
        <w:t>0421</w:t>
      </w:r>
      <w:r w:rsidRPr="0029501B">
        <w:t xml:space="preserve"> – C</w:t>
      </w:r>
      <w:proofErr w:type="gramEnd"/>
      <w:r w:rsidRPr="00022DD2">
        <w:t>9</w:t>
      </w:r>
      <w:r w:rsidRPr="0029501B">
        <w:t>-</w:t>
      </w:r>
      <w:r w:rsidRPr="00022DD2">
        <w:t>0340</w:t>
      </w:r>
      <w:r w:rsidRPr="0029501B">
        <w:t>/</w:t>
      </w:r>
      <w:r w:rsidRPr="00022DD2">
        <w:t>2021</w:t>
      </w:r>
      <w:r w:rsidRPr="0029501B">
        <w:t xml:space="preserve"> – </w:t>
      </w:r>
      <w:r w:rsidRPr="00022DD2">
        <w:t>2021</w:t>
      </w:r>
      <w:r w:rsidRPr="0029501B">
        <w:t>/</w:t>
      </w:r>
      <w:r w:rsidRPr="00022DD2">
        <w:t>0240</w:t>
      </w:r>
      <w:r w:rsidRPr="0029501B">
        <w:t>(COD))</w:t>
      </w:r>
      <w:bookmarkEnd w:id="7"/>
    </w:p>
    <w:p w:rsidR="001C457F" w:rsidRPr="0029501B" w:rsidRDefault="001C457F" w:rsidP="001C457F"/>
    <w:p w:rsidR="007F2B57" w:rsidRPr="0029501B" w:rsidRDefault="007F2B57" w:rsidP="007F2B57">
      <w:pPr>
        <w:pStyle w:val="NormalBold"/>
      </w:pPr>
      <w:bookmarkStart w:id="8" w:name="TextBodyBegin"/>
      <w:bookmarkEnd w:id="8"/>
      <w:r w:rsidRPr="0029501B">
        <w:t>(Zwykła procedura ustawodawcza: pierwsze czytanie)</w:t>
      </w:r>
    </w:p>
    <w:p w:rsidR="007F2B57" w:rsidRPr="0029501B" w:rsidRDefault="007F2B57" w:rsidP="007F2B57">
      <w:pPr>
        <w:pStyle w:val="EPComma"/>
      </w:pPr>
      <w:r w:rsidRPr="0029501B">
        <w:rPr>
          <w:i/>
        </w:rPr>
        <w:t>Parlament Europejski</w:t>
      </w:r>
      <w:r w:rsidRPr="0029501B">
        <w:t>,</w:t>
      </w:r>
    </w:p>
    <w:p w:rsidR="007F2B57" w:rsidRPr="0029501B" w:rsidRDefault="007F2B57" w:rsidP="007F2B57">
      <w:pPr>
        <w:pStyle w:val="NormalHanging12a"/>
      </w:pPr>
      <w:r w:rsidRPr="0029501B">
        <w:t>–</w:t>
      </w:r>
      <w:r w:rsidRPr="0029501B">
        <w:tab/>
        <w:t>uwzględniając wniosek Komisji przedstawiony Parlamentowi Europejskiemu i Radzie (COM(</w:t>
      </w:r>
      <w:r w:rsidRPr="00022DD2">
        <w:t>2021</w:t>
      </w:r>
      <w:r w:rsidRPr="0029501B">
        <w:t>)</w:t>
      </w:r>
      <w:r w:rsidRPr="00022DD2">
        <w:t>0421</w:t>
      </w:r>
      <w:r w:rsidRPr="0029501B">
        <w:t>),</w:t>
      </w:r>
    </w:p>
    <w:p w:rsidR="007F2B57" w:rsidRPr="0029501B" w:rsidRDefault="007F2B57" w:rsidP="007F2B57">
      <w:pPr>
        <w:pStyle w:val="NormalHanging12a"/>
      </w:pPr>
      <w:r w:rsidRPr="0029501B">
        <w:t>–</w:t>
      </w:r>
      <w:r w:rsidRPr="0029501B">
        <w:tab/>
        <w:t xml:space="preserve">uwzględniając art. </w:t>
      </w:r>
      <w:r w:rsidRPr="00022DD2">
        <w:t>294</w:t>
      </w:r>
      <w:r w:rsidRPr="0029501B">
        <w:t xml:space="preserve"> ust. </w:t>
      </w:r>
      <w:r w:rsidRPr="00022DD2">
        <w:t>2</w:t>
      </w:r>
      <w:r w:rsidRPr="0029501B">
        <w:t xml:space="preserve"> i art. </w:t>
      </w:r>
      <w:r w:rsidRPr="00022DD2">
        <w:t>114</w:t>
      </w:r>
      <w:r w:rsidRPr="0029501B">
        <w:t xml:space="preserve"> Traktatu o funkcjonowaniu Unii Europejskiej, zgodnie z </w:t>
      </w:r>
      <w:proofErr w:type="gramStart"/>
      <w:r w:rsidRPr="0029501B">
        <w:t>którymi</w:t>
      </w:r>
      <w:proofErr w:type="gramEnd"/>
      <w:r w:rsidRPr="0029501B">
        <w:t xml:space="preserve"> wniosek został przedstawiony Parlamentowi przez Komisję (C</w:t>
      </w:r>
      <w:r w:rsidRPr="00022DD2">
        <w:t>9</w:t>
      </w:r>
      <w:r w:rsidRPr="0029501B">
        <w:noBreakHyphen/>
      </w:r>
      <w:r w:rsidRPr="00022DD2">
        <w:t>0340</w:t>
      </w:r>
      <w:r w:rsidRPr="0029501B">
        <w:t>/</w:t>
      </w:r>
      <w:r w:rsidRPr="00022DD2">
        <w:t>2021</w:t>
      </w:r>
      <w:r w:rsidRPr="0029501B">
        <w:t>),</w:t>
      </w:r>
    </w:p>
    <w:p w:rsidR="007F2B57" w:rsidRPr="0029501B" w:rsidRDefault="007F2B57" w:rsidP="007F2B57">
      <w:pPr>
        <w:pStyle w:val="NormalHanging12a"/>
      </w:pPr>
      <w:r w:rsidRPr="0029501B">
        <w:t>–</w:t>
      </w:r>
      <w:r w:rsidRPr="0029501B">
        <w:tab/>
        <w:t xml:space="preserve">uwzględniając art. </w:t>
      </w:r>
      <w:r w:rsidRPr="00022DD2">
        <w:t>294</w:t>
      </w:r>
      <w:r w:rsidRPr="0029501B">
        <w:t xml:space="preserve"> ust. </w:t>
      </w:r>
      <w:r w:rsidRPr="00022DD2">
        <w:t>3</w:t>
      </w:r>
      <w:r w:rsidRPr="0029501B">
        <w:t xml:space="preserve"> Traktatu o funkcjonowaniu Unii Europejskiej,</w:t>
      </w:r>
    </w:p>
    <w:p w:rsidR="007F2B57" w:rsidRPr="0029501B" w:rsidRDefault="007F2B57" w:rsidP="007F2B57">
      <w:pPr>
        <w:spacing w:after="240"/>
        <w:ind w:left="567" w:hanging="567"/>
      </w:pPr>
      <w:r w:rsidRPr="0029501B">
        <w:t>–</w:t>
      </w:r>
      <w:r w:rsidRPr="0029501B">
        <w:tab/>
        <w:t xml:space="preserve">uwzględniając opinię Europejskiego Komitetu Ekonomiczno-Społecznego z dnia </w:t>
      </w:r>
      <w:r w:rsidRPr="00022DD2">
        <w:t>8</w:t>
      </w:r>
      <w:r w:rsidRPr="0029501B">
        <w:t xml:space="preserve"> grudnia </w:t>
      </w:r>
      <w:r w:rsidRPr="00022DD2">
        <w:t>2021</w:t>
      </w:r>
      <w:r w:rsidRPr="0029501B">
        <w:t> r.</w:t>
      </w:r>
      <w:r w:rsidRPr="0029501B">
        <w:rPr>
          <w:vertAlign w:val="superscript"/>
        </w:rPr>
        <w:footnoteReference w:id="1"/>
      </w:r>
      <w:r w:rsidRPr="0029501B">
        <w:t>,</w:t>
      </w:r>
    </w:p>
    <w:p w:rsidR="00A04FFD" w:rsidRDefault="00A04FFD" w:rsidP="00A04FFD">
      <w:pPr>
        <w:spacing w:after="240"/>
        <w:ind w:left="567" w:hanging="567"/>
      </w:pPr>
      <w:r w:rsidRPr="0090212C">
        <w:t>–</w:t>
      </w:r>
      <w:r w:rsidRPr="0090212C">
        <w:tab/>
        <w:t>uwzględniając wstępne porozum</w:t>
      </w:r>
      <w:r>
        <w:t>ienie zatwierdzone przez komisje</w:t>
      </w:r>
      <w:r w:rsidRPr="0090212C">
        <w:t xml:space="preserve"> </w:t>
      </w:r>
      <w:r>
        <w:t xml:space="preserve">przedmiotowo właściwe </w:t>
      </w:r>
      <w:r w:rsidRPr="0090212C">
        <w:t xml:space="preserve">na podstawie art. </w:t>
      </w:r>
      <w:r w:rsidRPr="00022DD2">
        <w:t>74</w:t>
      </w:r>
      <w:r w:rsidRPr="0090212C">
        <w:t xml:space="preserve"> ust. </w:t>
      </w:r>
      <w:r w:rsidRPr="00022DD2">
        <w:t>4</w:t>
      </w:r>
      <w:r w:rsidRPr="0090212C">
        <w:t xml:space="preserve"> Regulaminu oraz </w:t>
      </w:r>
      <w:r>
        <w:t xml:space="preserve">przekazane pismem z dnia </w:t>
      </w:r>
      <w:r w:rsidRPr="00022DD2">
        <w:t>29</w:t>
      </w:r>
      <w:r>
        <w:t xml:space="preserve"> lutego </w:t>
      </w:r>
      <w:r w:rsidRPr="00022DD2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022DD2">
        <w:t>294</w:t>
      </w:r>
      <w:r w:rsidRPr="0090212C">
        <w:t xml:space="preserve"> ust. </w:t>
      </w:r>
      <w:r w:rsidRPr="00022DD2">
        <w:t>4</w:t>
      </w:r>
      <w:r w:rsidRPr="0090212C">
        <w:t xml:space="preserve"> Traktatu o funkcjonowaniu Unii Europejskiej,</w:t>
      </w:r>
    </w:p>
    <w:p w:rsidR="007F2B57" w:rsidRDefault="007F2B57" w:rsidP="007F2B57">
      <w:pPr>
        <w:pStyle w:val="NormalHanging12a"/>
      </w:pPr>
      <w:r w:rsidRPr="0029501B">
        <w:t>–</w:t>
      </w:r>
      <w:r w:rsidRPr="0029501B">
        <w:tab/>
        <w:t>uwzględniając art. </w:t>
      </w:r>
      <w:r w:rsidRPr="00022DD2">
        <w:t>59</w:t>
      </w:r>
      <w:r w:rsidRPr="0029501B">
        <w:t xml:space="preserve"> Regulaminu,</w:t>
      </w:r>
    </w:p>
    <w:p w:rsidR="00BB04EA" w:rsidRPr="00BB04EA" w:rsidRDefault="00BB04EA" w:rsidP="00BB04EA">
      <w:pPr>
        <w:pStyle w:val="NormalHanging12a"/>
        <w:widowControl/>
      </w:pPr>
      <w:r w:rsidRPr="00BB04EA">
        <w:rPr>
          <w:szCs w:val="24"/>
        </w:rPr>
        <w:t>–</w:t>
      </w:r>
      <w:r w:rsidRPr="00BB04EA">
        <w:rPr>
          <w:szCs w:val="24"/>
        </w:rPr>
        <w:tab/>
      </w:r>
      <w:r w:rsidRPr="00BB04EA">
        <w:t>uwzględniając wspólne posiedzenia</w:t>
      </w:r>
      <w:r w:rsidRPr="00BB04EA">
        <w:rPr>
          <w:szCs w:val="24"/>
        </w:rPr>
        <w:t xml:space="preserve"> </w:t>
      </w:r>
      <w:r w:rsidRPr="00BB04EA">
        <w:t xml:space="preserve">Komisji Gospodarczej i Monetarnej i Komisji Wolności Obywatelskich, Sprawiedliwości i Spraw Wewnętrznych zgodnie z art. </w:t>
      </w:r>
      <w:r w:rsidRPr="00022DD2">
        <w:t>58</w:t>
      </w:r>
      <w:r w:rsidRPr="00BB04EA">
        <w:t xml:space="preserve"> Regulaminu,</w:t>
      </w:r>
    </w:p>
    <w:p w:rsidR="007F2B57" w:rsidRPr="0029501B" w:rsidRDefault="007F2B57" w:rsidP="007F2B57">
      <w:pPr>
        <w:pStyle w:val="NormalHanging12a"/>
      </w:pPr>
      <w:r w:rsidRPr="0029501B">
        <w:t>–</w:t>
      </w:r>
      <w:r w:rsidRPr="0029501B">
        <w:tab/>
        <w:t>uwzględniając opinie przedstawione przez Komisję Budżetową, Komisję Kontroli Budżetowej oraz Komisję Spraw Konstytucyjnych,</w:t>
      </w:r>
    </w:p>
    <w:p w:rsidR="007F2B57" w:rsidRPr="0029501B" w:rsidRDefault="007F2B57" w:rsidP="007F2B57">
      <w:pPr>
        <w:pStyle w:val="NormalHanging12a"/>
      </w:pPr>
      <w:r w:rsidRPr="0029501B">
        <w:t>–</w:t>
      </w:r>
      <w:r w:rsidRPr="0029501B">
        <w:tab/>
        <w:t xml:space="preserve">uwzględniając sprawozdanie Komisji Gospodarczej i Monetarnej oraz Komisji Wolności </w:t>
      </w:r>
      <w:r w:rsidRPr="0029501B">
        <w:lastRenderedPageBreak/>
        <w:t>Obywatelskich, Sprawiedliwości i Spraw Wewnętrznych (A</w:t>
      </w:r>
      <w:r w:rsidRPr="00022DD2">
        <w:t>9</w:t>
      </w:r>
      <w:r w:rsidRPr="0029501B">
        <w:t>-</w:t>
      </w:r>
      <w:r w:rsidRPr="00022DD2">
        <w:t>0128</w:t>
      </w:r>
      <w:r w:rsidRPr="0029501B">
        <w:t>/</w:t>
      </w:r>
      <w:r w:rsidRPr="00022DD2">
        <w:t>2023</w:t>
      </w:r>
      <w:r w:rsidRPr="0029501B">
        <w:t>),</w:t>
      </w:r>
    </w:p>
    <w:p w:rsidR="007F2B57" w:rsidRPr="0029501B" w:rsidRDefault="007F2B57" w:rsidP="007F2B57">
      <w:pPr>
        <w:pStyle w:val="NormalHanging12a"/>
      </w:pPr>
      <w:r w:rsidRPr="00022DD2">
        <w:t>1</w:t>
      </w:r>
      <w:r w:rsidRPr="0029501B">
        <w:t>.</w:t>
      </w:r>
      <w:r w:rsidRPr="0029501B">
        <w:tab/>
      </w:r>
      <w:proofErr w:type="gramStart"/>
      <w:r w:rsidRPr="0029501B">
        <w:t>przyjmuje</w:t>
      </w:r>
      <w:proofErr w:type="gramEnd"/>
      <w:r w:rsidRPr="0029501B">
        <w:t xml:space="preserve"> poniższe stanowisko w pierwszym czytaniu;</w:t>
      </w:r>
    </w:p>
    <w:p w:rsidR="007F2B57" w:rsidRPr="0029501B" w:rsidRDefault="007F2B57" w:rsidP="007F2B57">
      <w:pPr>
        <w:pStyle w:val="NormalHanging12a"/>
      </w:pPr>
      <w:r w:rsidRPr="00022DD2">
        <w:t>2</w:t>
      </w:r>
      <w:r w:rsidRPr="0029501B">
        <w:t>.</w:t>
      </w:r>
      <w:r w:rsidRPr="0029501B">
        <w:tab/>
      </w:r>
      <w:proofErr w:type="gramStart"/>
      <w:r w:rsidRPr="0029501B">
        <w:t>zwraca</w:t>
      </w:r>
      <w:proofErr w:type="gramEnd"/>
      <w:r w:rsidRPr="0029501B">
        <w:t xml:space="preserve"> się do Komisji o ponowne przekazanie mu sprawy, jeśli zastąpi ona pierwotny wniosek, wprowadzi w nim istotne zmiany lub planuje ich wprowadzenie;</w:t>
      </w:r>
    </w:p>
    <w:p w:rsidR="00BB04EA" w:rsidRDefault="007F2B57" w:rsidP="007F2B57">
      <w:pPr>
        <w:pStyle w:val="NormalHanging12a"/>
        <w:sectPr w:rsidR="00BB04EA" w:rsidSect="0029501B">
          <w:footerReference w:type="even" r:id="rId9"/>
          <w:footerReference w:type="first" r:id="rId10"/>
          <w:footnotePr>
            <w:numRestart w:val="eachSect"/>
          </w:footnotePr>
          <w:pgSz w:w="12240" w:h="15840"/>
          <w:pgMar w:top="794" w:right="907" w:bottom="851" w:left="1361" w:header="510" w:footer="454" w:gutter="0"/>
          <w:cols w:space="720"/>
          <w:docGrid w:linePitch="326"/>
        </w:sectPr>
      </w:pPr>
      <w:r w:rsidRPr="00022DD2">
        <w:t>3</w:t>
      </w:r>
      <w:r w:rsidRPr="0029501B">
        <w:t>.</w:t>
      </w:r>
      <w:r w:rsidRPr="0029501B">
        <w:tab/>
      </w:r>
      <w:proofErr w:type="gramStart"/>
      <w:r w:rsidRPr="0029501B">
        <w:t>zobowiązuje</w:t>
      </w:r>
      <w:proofErr w:type="gramEnd"/>
      <w:r w:rsidRPr="0029501B">
        <w:t xml:space="preserve"> swoją przewodniczącą do przekazania stanowiska Parlamentu Radzie i Komisji oraz parlamentom narodowym.</w:t>
      </w:r>
    </w:p>
    <w:p w:rsidR="00BB04EA" w:rsidRPr="00861352" w:rsidRDefault="00BB04EA" w:rsidP="00BB04E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61352">
        <w:rPr>
          <w:rFonts w:eastAsia="Calibri"/>
          <w:b/>
          <w:bCs/>
          <w:color w:val="000000"/>
          <w:szCs w:val="24"/>
        </w:rPr>
        <w:lastRenderedPageBreak/>
        <w:t>P</w:t>
      </w:r>
      <w:r w:rsidRPr="00022DD2">
        <w:rPr>
          <w:rFonts w:eastAsia="Calibri"/>
          <w:b/>
          <w:bCs/>
          <w:color w:val="000000"/>
          <w:szCs w:val="24"/>
        </w:rPr>
        <w:t>9</w:t>
      </w:r>
      <w:r w:rsidRPr="00861352">
        <w:rPr>
          <w:rFonts w:eastAsia="Calibri"/>
          <w:b/>
          <w:bCs/>
          <w:color w:val="000000"/>
          <w:szCs w:val="24"/>
        </w:rPr>
        <w:t>_TC</w:t>
      </w:r>
      <w:r w:rsidRPr="00022DD2">
        <w:rPr>
          <w:rFonts w:eastAsia="Calibri"/>
          <w:b/>
          <w:bCs/>
          <w:color w:val="000000"/>
          <w:szCs w:val="24"/>
        </w:rPr>
        <w:t>1</w:t>
      </w:r>
      <w:r w:rsidRPr="00861352">
        <w:rPr>
          <w:rFonts w:eastAsia="Calibri"/>
          <w:b/>
          <w:bCs/>
          <w:color w:val="000000"/>
          <w:szCs w:val="24"/>
        </w:rPr>
        <w:t>-COD(</w:t>
      </w:r>
      <w:r w:rsidRPr="00022DD2">
        <w:rPr>
          <w:rFonts w:eastAsia="Calibri"/>
          <w:b/>
          <w:bCs/>
          <w:color w:val="000000"/>
          <w:szCs w:val="24"/>
        </w:rPr>
        <w:t>2021</w:t>
      </w:r>
      <w:r w:rsidRPr="00861352">
        <w:rPr>
          <w:rFonts w:eastAsia="Calibri"/>
          <w:b/>
          <w:bCs/>
          <w:color w:val="000000"/>
          <w:szCs w:val="24"/>
        </w:rPr>
        <w:t>)</w:t>
      </w:r>
      <w:r w:rsidRPr="00022DD2">
        <w:rPr>
          <w:rFonts w:eastAsia="Calibri"/>
          <w:b/>
          <w:bCs/>
          <w:color w:val="000000"/>
          <w:szCs w:val="24"/>
        </w:rPr>
        <w:t>0240</w:t>
      </w:r>
    </w:p>
    <w:p w:rsidR="00BB04EA" w:rsidRDefault="00BB04EA" w:rsidP="00BB04EA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022DD2">
        <w:rPr>
          <w:b/>
        </w:rPr>
        <w:t>24</w:t>
      </w:r>
      <w:r>
        <w:rPr>
          <w:b/>
        </w:rPr>
        <w:t xml:space="preserve"> kwietnia </w:t>
      </w:r>
      <w:r w:rsidRPr="00022DD2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022DD2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BB04EA">
        <w:rPr>
          <w:rFonts w:eastAsia="Calibri"/>
          <w:b/>
          <w:szCs w:val="24"/>
          <w:lang w:eastAsia="en-US"/>
        </w:rPr>
        <w:t>w</w:t>
      </w:r>
      <w:proofErr w:type="gramEnd"/>
      <w:r w:rsidRPr="00BB04EA">
        <w:rPr>
          <w:rFonts w:eastAsia="Calibri"/>
          <w:b/>
          <w:szCs w:val="24"/>
          <w:lang w:eastAsia="en-US"/>
        </w:rPr>
        <w:t xml:space="preserve"> sprawie ustanowienia Urzędu </w:t>
      </w:r>
      <w:bookmarkStart w:id="9" w:name="_Hlk162949700"/>
      <w:r w:rsidRPr="00BB04EA">
        <w:rPr>
          <w:rFonts w:eastAsia="Calibri"/>
          <w:b/>
          <w:szCs w:val="24"/>
          <w:lang w:eastAsia="en-US"/>
        </w:rPr>
        <w:t xml:space="preserve">ds. Przeciwdziałania Praniu Pieniędzy i Finansowaniu Terroryzmu </w:t>
      </w:r>
      <w:bookmarkEnd w:id="9"/>
      <w:r w:rsidRPr="00BB04EA">
        <w:rPr>
          <w:rFonts w:eastAsia="Calibri"/>
          <w:b/>
          <w:szCs w:val="24"/>
          <w:lang w:eastAsia="en-US"/>
        </w:rPr>
        <w:t>oraz zmiany rozporządzeń (UE) nr </w:t>
      </w:r>
      <w:r w:rsidRPr="00022DD2">
        <w:rPr>
          <w:rFonts w:eastAsia="Calibri"/>
          <w:b/>
          <w:szCs w:val="24"/>
          <w:lang w:eastAsia="en-US"/>
        </w:rPr>
        <w:t>1093</w:t>
      </w:r>
      <w:r w:rsidRPr="00BB04EA">
        <w:rPr>
          <w:rFonts w:eastAsia="Calibri"/>
          <w:b/>
          <w:szCs w:val="24"/>
          <w:lang w:eastAsia="en-US"/>
        </w:rPr>
        <w:t>/</w:t>
      </w:r>
      <w:r w:rsidRPr="00022DD2">
        <w:rPr>
          <w:rFonts w:eastAsia="Calibri"/>
          <w:b/>
          <w:szCs w:val="24"/>
          <w:lang w:eastAsia="en-US"/>
        </w:rPr>
        <w:t>2010</w:t>
      </w:r>
      <w:r w:rsidRPr="00BB04EA">
        <w:rPr>
          <w:rFonts w:eastAsia="Calibri"/>
          <w:b/>
          <w:szCs w:val="24"/>
          <w:lang w:eastAsia="en-US"/>
        </w:rPr>
        <w:t>, (UE) nr </w:t>
      </w:r>
      <w:r w:rsidRPr="00022DD2">
        <w:rPr>
          <w:rFonts w:eastAsia="Calibri"/>
          <w:b/>
          <w:szCs w:val="24"/>
          <w:lang w:eastAsia="en-US"/>
        </w:rPr>
        <w:t>1094</w:t>
      </w:r>
      <w:r w:rsidRPr="00BB04EA">
        <w:rPr>
          <w:rFonts w:eastAsia="Calibri"/>
          <w:b/>
          <w:szCs w:val="24"/>
          <w:lang w:eastAsia="en-US"/>
        </w:rPr>
        <w:t>/</w:t>
      </w:r>
      <w:r w:rsidRPr="00022DD2">
        <w:rPr>
          <w:rFonts w:eastAsia="Calibri"/>
          <w:b/>
          <w:szCs w:val="24"/>
          <w:lang w:eastAsia="en-US"/>
        </w:rPr>
        <w:t>2010</w:t>
      </w:r>
      <w:r w:rsidRPr="00BB04EA">
        <w:rPr>
          <w:rFonts w:eastAsia="Calibri"/>
          <w:b/>
          <w:szCs w:val="24"/>
          <w:lang w:eastAsia="en-US"/>
        </w:rPr>
        <w:t xml:space="preserve"> i (UE) nr </w:t>
      </w:r>
      <w:r w:rsidRPr="00022DD2">
        <w:rPr>
          <w:rFonts w:eastAsia="Calibri"/>
          <w:b/>
          <w:szCs w:val="24"/>
          <w:lang w:eastAsia="en-US"/>
        </w:rPr>
        <w:t>1095</w:t>
      </w:r>
      <w:r w:rsidRPr="00BB04EA">
        <w:rPr>
          <w:rFonts w:eastAsia="Calibri"/>
          <w:b/>
          <w:szCs w:val="24"/>
          <w:lang w:eastAsia="en-US"/>
        </w:rPr>
        <w:t>/</w:t>
      </w:r>
      <w:r w:rsidRPr="00022DD2">
        <w:rPr>
          <w:rFonts w:eastAsia="Calibri"/>
          <w:b/>
          <w:szCs w:val="24"/>
          <w:lang w:eastAsia="en-US"/>
        </w:rPr>
        <w:t>2010</w:t>
      </w:r>
    </w:p>
    <w:p w:rsidR="00046B59" w:rsidRDefault="00046B59" w:rsidP="00BB04EA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</w:p>
    <w:p w:rsidR="00046B59" w:rsidRPr="00BB04EA" w:rsidRDefault="00046B59" w:rsidP="00BB04EA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2024/1620</w:t>
      </w:r>
      <w:r>
        <w:rPr>
          <w:i/>
        </w:rPr>
        <w:t>.)</w:t>
      </w:r>
    </w:p>
    <w:sectPr w:rsidR="00046B59" w:rsidRPr="00BB04EA" w:rsidSect="00046B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EA" w:rsidRPr="0029501B" w:rsidRDefault="00BB04EA">
      <w:r w:rsidRPr="0029501B">
        <w:separator/>
      </w:r>
    </w:p>
  </w:endnote>
  <w:endnote w:type="continuationSeparator" w:id="0">
    <w:p w:rsidR="00BB04EA" w:rsidRPr="0029501B" w:rsidRDefault="00BB04EA">
      <w:r w:rsidRPr="002950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 w:rsidP="00BB04EA">
    <w:pPr>
      <w:pStyle w:val="EPFooter"/>
    </w:pPr>
    <w:r w:rsidRPr="0029501B">
      <w:t>PE</w:t>
    </w:r>
    <w:r w:rsidRPr="0029501B">
      <w:rPr>
        <w:rStyle w:val="HideTWBExt"/>
      </w:rPr>
      <w:t>&lt;NoPE&gt;</w:t>
    </w:r>
    <w:r w:rsidRPr="0029501B">
      <w:t>731.820</w:t>
    </w:r>
    <w:r w:rsidRPr="0029501B">
      <w:rPr>
        <w:rStyle w:val="HideTWBExt"/>
      </w:rPr>
      <w:t>&lt;/NoPE&gt;&lt;Version&gt;</w:t>
    </w:r>
    <w:proofErr w:type="gramStart"/>
    <w:r w:rsidRPr="0029501B">
      <w:t>v</w:t>
    </w:r>
    <w:proofErr w:type="gramEnd"/>
    <w:r w:rsidRPr="0029501B">
      <w:t>02-00</w:t>
    </w:r>
    <w:r w:rsidRPr="0029501B">
      <w:rPr>
        <w:rStyle w:val="HideTWBExt"/>
      </w:rPr>
      <w:t>&lt;/Version&gt;</w:t>
    </w:r>
    <w:r w:rsidRPr="0029501B">
      <w:tab/>
    </w:r>
    <w:r w:rsidRPr="0029501B">
      <w:fldChar w:fldCharType="begin"/>
    </w:r>
    <w:r w:rsidRPr="0029501B">
      <w:instrText xml:space="preserve"> PAGE  \* MERGEFORMAT </w:instrText>
    </w:r>
    <w:r w:rsidRPr="0029501B">
      <w:fldChar w:fldCharType="separate"/>
    </w:r>
    <w:r w:rsidRPr="0029501B">
      <w:rPr>
        <w:noProof/>
      </w:rPr>
      <w:t>126</w:t>
    </w:r>
    <w:r w:rsidRPr="0029501B">
      <w:fldChar w:fldCharType="end"/>
    </w:r>
    <w:r w:rsidRPr="0029501B">
      <w:t>/</w:t>
    </w:r>
    <w:r w:rsidR="003A1028">
      <w:fldChar w:fldCharType="begin"/>
    </w:r>
    <w:r w:rsidR="003A1028">
      <w:instrText xml:space="preserve"> NUMPAGES  \* MERGEFORMAT </w:instrText>
    </w:r>
    <w:r w:rsidR="003A1028">
      <w:fldChar w:fldCharType="separate"/>
    </w:r>
    <w:r w:rsidRPr="0029501B">
      <w:rPr>
        <w:noProof/>
      </w:rPr>
      <w:t>126</w:t>
    </w:r>
    <w:r w:rsidR="003A1028">
      <w:rPr>
        <w:noProof/>
      </w:rPr>
      <w:fldChar w:fldCharType="end"/>
    </w:r>
    <w:r w:rsidRPr="0029501B">
      <w:tab/>
    </w:r>
    <w:r w:rsidRPr="0029501B">
      <w:rPr>
        <w:rStyle w:val="HideTWBExt"/>
      </w:rPr>
      <w:t>&lt;PathFdR&gt;</w:t>
    </w:r>
    <w:r w:rsidRPr="0029501B">
      <w:t>RR\1276359PL.docx</w:t>
    </w:r>
    <w:r w:rsidRPr="0029501B">
      <w:rPr>
        <w:rStyle w:val="HideTWBExt"/>
      </w:rPr>
      <w:t>&lt;/PathFdR&gt;</w:t>
    </w:r>
  </w:p>
  <w:p w:rsidR="00BB04EA" w:rsidRPr="0029501B" w:rsidRDefault="00BB04EA" w:rsidP="00BB04EA">
    <w:pPr>
      <w:pStyle w:val="EPFooter2"/>
    </w:pPr>
    <w:r w:rsidRPr="0029501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 w:rsidP="00BB04EA">
    <w:pPr>
      <w:pStyle w:val="EPFooter"/>
    </w:pPr>
    <w:r w:rsidRPr="0029501B">
      <w:rPr>
        <w:rStyle w:val="HideTWBExt"/>
      </w:rPr>
      <w:t>&lt;PathFdR&gt;</w:t>
    </w:r>
    <w:r w:rsidRPr="0029501B">
      <w:t>RR\1276359PL.docx</w:t>
    </w:r>
    <w:r w:rsidRPr="0029501B">
      <w:rPr>
        <w:rStyle w:val="HideTWBExt"/>
      </w:rPr>
      <w:t>&lt;/PathFdR&gt;</w:t>
    </w:r>
    <w:r w:rsidRPr="0029501B">
      <w:tab/>
    </w:r>
    <w:r w:rsidRPr="0029501B">
      <w:tab/>
      <w:t>PE</w:t>
    </w:r>
    <w:r w:rsidRPr="0029501B">
      <w:rPr>
        <w:rStyle w:val="HideTWBExt"/>
      </w:rPr>
      <w:t>&lt;NoPE&gt;</w:t>
    </w:r>
    <w:r w:rsidRPr="0029501B">
      <w:t>731.820</w:t>
    </w:r>
    <w:r w:rsidRPr="0029501B">
      <w:rPr>
        <w:rStyle w:val="HideTWBExt"/>
      </w:rPr>
      <w:t>&lt;/NoPE&gt;&lt;Version&gt;</w:t>
    </w:r>
    <w:proofErr w:type="gramStart"/>
    <w:r w:rsidRPr="0029501B">
      <w:t>v</w:t>
    </w:r>
    <w:proofErr w:type="gramEnd"/>
    <w:r w:rsidRPr="0029501B">
      <w:t>02-00</w:t>
    </w:r>
    <w:r w:rsidRPr="0029501B">
      <w:rPr>
        <w:rStyle w:val="HideTWBExt"/>
      </w:rPr>
      <w:t>&lt;/Version&gt;</w:t>
    </w:r>
  </w:p>
  <w:p w:rsidR="00BB04EA" w:rsidRPr="0029501B" w:rsidRDefault="00BB04EA" w:rsidP="00BB04EA">
    <w:pPr>
      <w:pStyle w:val="EPFooter2"/>
    </w:pPr>
    <w:r w:rsidRPr="0029501B">
      <w:t>PL</w:t>
    </w:r>
    <w:r w:rsidRPr="0029501B">
      <w:tab/>
    </w:r>
    <w:r w:rsidRPr="0029501B">
      <w:rPr>
        <w:b w:val="0"/>
        <w:i/>
        <w:color w:val="C0C0C0"/>
        <w:sz w:val="22"/>
      </w:rPr>
      <w:t>Zjednoczona w różnorodności</w:t>
    </w:r>
    <w:r w:rsidRPr="0029501B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EA" w:rsidRPr="0029501B" w:rsidRDefault="00BB04EA">
      <w:r w:rsidRPr="0029501B">
        <w:separator/>
      </w:r>
    </w:p>
  </w:footnote>
  <w:footnote w:type="continuationSeparator" w:id="0">
    <w:p w:rsidR="00BB04EA" w:rsidRPr="0029501B" w:rsidRDefault="00BB04EA">
      <w:r w:rsidRPr="0029501B">
        <w:continuationSeparator/>
      </w:r>
    </w:p>
  </w:footnote>
  <w:footnote w:id="1">
    <w:p w:rsidR="00BB04EA" w:rsidRPr="00BB04EA" w:rsidRDefault="00BB04EA" w:rsidP="0029501B">
      <w:pPr>
        <w:pStyle w:val="FootnoteText"/>
        <w:ind w:left="567" w:hanging="567"/>
        <w:rPr>
          <w:sz w:val="24"/>
          <w:szCs w:val="24"/>
          <w:lang w:val="pl-PL"/>
        </w:rPr>
      </w:pPr>
      <w:r w:rsidRPr="00BB04EA">
        <w:rPr>
          <w:rStyle w:val="FootnoteReference"/>
          <w:sz w:val="24"/>
          <w:szCs w:val="24"/>
          <w:lang w:val="pl-PL"/>
        </w:rPr>
        <w:footnoteRef/>
      </w:r>
      <w:r w:rsidRPr="00BB04EA">
        <w:rPr>
          <w:sz w:val="24"/>
          <w:szCs w:val="24"/>
          <w:lang w:val="pl-PL"/>
        </w:rPr>
        <w:t xml:space="preserve"> </w:t>
      </w:r>
      <w:r w:rsidRPr="00BB04EA">
        <w:rPr>
          <w:sz w:val="24"/>
          <w:szCs w:val="24"/>
          <w:lang w:val="pl-PL"/>
        </w:rPr>
        <w:tab/>
        <w:t xml:space="preserve">Dz.U. C </w:t>
      </w:r>
      <w:r w:rsidRPr="00022DD2">
        <w:rPr>
          <w:sz w:val="24"/>
          <w:szCs w:val="24"/>
          <w:lang w:val="pl-PL"/>
        </w:rPr>
        <w:t>152</w:t>
      </w:r>
      <w:r w:rsidRPr="00BB04EA">
        <w:rPr>
          <w:sz w:val="24"/>
          <w:szCs w:val="24"/>
          <w:lang w:val="pl-PL"/>
        </w:rPr>
        <w:t xml:space="preserve"> z </w:t>
      </w:r>
      <w:r w:rsidRPr="00022DD2">
        <w:rPr>
          <w:sz w:val="24"/>
          <w:szCs w:val="24"/>
          <w:lang w:val="pl-PL"/>
        </w:rPr>
        <w:t>6</w:t>
      </w:r>
      <w:r w:rsidRPr="00BB04EA">
        <w:rPr>
          <w:sz w:val="24"/>
          <w:szCs w:val="24"/>
          <w:lang w:val="pl-PL"/>
        </w:rPr>
        <w:t>.</w:t>
      </w:r>
      <w:r w:rsidRPr="00022DD2">
        <w:rPr>
          <w:sz w:val="24"/>
          <w:szCs w:val="24"/>
          <w:lang w:val="pl-PL"/>
        </w:rPr>
        <w:t>4</w:t>
      </w:r>
      <w:r w:rsidRPr="00BB04EA">
        <w:rPr>
          <w:sz w:val="24"/>
          <w:szCs w:val="24"/>
          <w:lang w:val="pl-PL"/>
        </w:rPr>
        <w:t>.</w:t>
      </w:r>
      <w:r w:rsidRPr="00022DD2">
        <w:rPr>
          <w:sz w:val="24"/>
          <w:szCs w:val="24"/>
          <w:lang w:val="pl-PL"/>
        </w:rPr>
        <w:t>2022</w:t>
      </w:r>
      <w:r w:rsidRPr="00BB04EA">
        <w:rPr>
          <w:sz w:val="24"/>
          <w:szCs w:val="24"/>
          <w:lang w:val="pl-PL"/>
        </w:rPr>
        <w:t xml:space="preserve">, </w:t>
      </w:r>
      <w:proofErr w:type="gramStart"/>
      <w:r w:rsidRPr="00BB04EA">
        <w:rPr>
          <w:sz w:val="24"/>
          <w:szCs w:val="24"/>
          <w:lang w:val="pl-PL"/>
        </w:rPr>
        <w:t>s</w:t>
      </w:r>
      <w:proofErr w:type="gramEnd"/>
      <w:r w:rsidRPr="00BB04EA">
        <w:rPr>
          <w:sz w:val="24"/>
          <w:szCs w:val="24"/>
          <w:lang w:val="pl-PL"/>
        </w:rPr>
        <w:t xml:space="preserve">. </w:t>
      </w:r>
      <w:r w:rsidRPr="00022DD2">
        <w:rPr>
          <w:sz w:val="24"/>
          <w:szCs w:val="24"/>
          <w:lang w:val="pl-PL"/>
        </w:rPr>
        <w:t>89</w:t>
      </w:r>
      <w:r w:rsidRPr="00BB04EA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4EA" w:rsidRPr="0029501B" w:rsidRDefault="00BB04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7A581F02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PL"/>
    <w:docVar w:name="dvnumam" w:val="230"/>
    <w:docVar w:name="dvpe" w:val="731.820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ustanawiającego Urząd ds. Przeciwdziałania Praniu Pieniędzy i Finansowaniu Terroryzmu i zmieniającego rozporządzenia (UE) nr 1093/2010, (UE) nr 1094/2010 i (UE) nr 1095/2010(COM(2021)0421 – C9-0340/2021 – 2021/0240(COD))"/>
  </w:docVars>
  <w:rsids>
    <w:rsidRoot w:val="001C457F"/>
    <w:rsid w:val="00002272"/>
    <w:rsid w:val="00022DD2"/>
    <w:rsid w:val="00046B59"/>
    <w:rsid w:val="00064002"/>
    <w:rsid w:val="000677B9"/>
    <w:rsid w:val="000831BA"/>
    <w:rsid w:val="000A42CC"/>
    <w:rsid w:val="000E7DD9"/>
    <w:rsid w:val="0010095E"/>
    <w:rsid w:val="00125B37"/>
    <w:rsid w:val="00187494"/>
    <w:rsid w:val="001C457F"/>
    <w:rsid w:val="001F32AE"/>
    <w:rsid w:val="002767FF"/>
    <w:rsid w:val="0029501B"/>
    <w:rsid w:val="002B18FE"/>
    <w:rsid w:val="002B5493"/>
    <w:rsid w:val="00343214"/>
    <w:rsid w:val="00361C00"/>
    <w:rsid w:val="00395FA1"/>
    <w:rsid w:val="003A102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5816"/>
    <w:rsid w:val="00756632"/>
    <w:rsid w:val="00762C74"/>
    <w:rsid w:val="00786EC0"/>
    <w:rsid w:val="007D1690"/>
    <w:rsid w:val="007E22AD"/>
    <w:rsid w:val="007F2B57"/>
    <w:rsid w:val="00817416"/>
    <w:rsid w:val="00842779"/>
    <w:rsid w:val="0086135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FF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4E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E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226F4"/>
  <w15:chartTrackingRefBased/>
  <w15:docId w15:val="{3D5B1482-14D3-40B3-A19C-C14F3195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F2B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B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B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B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B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B57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B57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B57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B57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7F2B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F2B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F2B57"/>
    <w:pPr>
      <w:spacing w:before="480" w:after="240"/>
    </w:pPr>
  </w:style>
  <w:style w:type="paragraph" w:customStyle="1" w:styleId="TOCPage">
    <w:name w:val="TOC Page"/>
    <w:basedOn w:val="Normal"/>
    <w:next w:val="TOC1"/>
    <w:rsid w:val="007F2B5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F2B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F2B57"/>
    <w:rPr>
      <w:b/>
    </w:rPr>
  </w:style>
  <w:style w:type="paragraph" w:customStyle="1" w:styleId="NormalBold12a">
    <w:name w:val="NormalBold12a"/>
    <w:basedOn w:val="Normal"/>
    <w:rsid w:val="007F2B5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F2B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F2B57"/>
    <w:pPr>
      <w:spacing w:after="480"/>
      <w:ind w:left="1417"/>
    </w:pPr>
  </w:style>
  <w:style w:type="paragraph" w:customStyle="1" w:styleId="CoverNormal">
    <w:name w:val="CoverNormal"/>
    <w:basedOn w:val="Normal"/>
    <w:rsid w:val="007F2B57"/>
    <w:pPr>
      <w:ind w:left="1418"/>
    </w:pPr>
  </w:style>
  <w:style w:type="paragraph" w:customStyle="1" w:styleId="NormalCenter12a">
    <w:name w:val="NormalCenter12a"/>
    <w:basedOn w:val="Normal"/>
    <w:rsid w:val="007F2B57"/>
    <w:pPr>
      <w:spacing w:after="240"/>
      <w:jc w:val="center"/>
    </w:pPr>
  </w:style>
  <w:style w:type="paragraph" w:customStyle="1" w:styleId="CoverReference">
    <w:name w:val="CoverReference"/>
    <w:basedOn w:val="Normal"/>
    <w:rsid w:val="007F2B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F2B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F2B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F2B5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F2B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B57"/>
    <w:rPr>
      <w:sz w:val="24"/>
      <w:lang w:val="pl-PL"/>
    </w:rPr>
  </w:style>
  <w:style w:type="paragraph" w:customStyle="1" w:styleId="AmNumberTabs">
    <w:name w:val="AmNumberTabs"/>
    <w:basedOn w:val="Normal"/>
    <w:rsid w:val="007F2B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F2B57"/>
    <w:pPr>
      <w:spacing w:before="720" w:after="240"/>
      <w:jc w:val="center"/>
    </w:pPr>
  </w:style>
  <w:style w:type="paragraph" w:customStyle="1" w:styleId="EPBody">
    <w:name w:val="EPBody"/>
    <w:basedOn w:val="Normal"/>
    <w:rsid w:val="007F2B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F2B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F2B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F2B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F2B57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F2B57"/>
    <w:rPr>
      <w:b/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7F2B57"/>
  </w:style>
  <w:style w:type="paragraph" w:styleId="ListBullet4">
    <w:name w:val="List Bullet 4"/>
    <w:basedOn w:val="Normal"/>
    <w:rsid w:val="007F2B5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7F2B57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F2B57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F2B57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F2B57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F2B57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F2B57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F2B57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F2B57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7F2B57"/>
    <w:pPr>
      <w:spacing w:before="120" w:after="120"/>
      <w:jc w:val="both"/>
    </w:pPr>
    <w:rPr>
      <w:lang w:val="pl-PL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F2B57"/>
    <w:rPr>
      <w:color w:val="0000FF"/>
      <w:u w:val="single"/>
    </w:rPr>
  </w:style>
  <w:style w:type="paragraph" w:styleId="ListBullet">
    <w:name w:val="List Bullet"/>
    <w:basedOn w:val="Normal"/>
    <w:qFormat/>
    <w:rsid w:val="007F2B57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7F2B57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7F2B57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7F2B57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7F2B57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7F2B57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7F2B57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F2B57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F2B57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F2B57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F2B57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F2B57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F2B57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F2B57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F2B57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F2B57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F2B57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F2B57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F2B57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F2B57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F2B57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F2B5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F2B5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F2B5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F2B57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F2B57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7F2B57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F2B5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F2B5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F2B5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F2B5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F2B5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F2B57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7F2B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F2B57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B57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F2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F2B57"/>
    <w:rPr>
      <w:b/>
      <w:bCs/>
      <w:lang w:val="pl-PL"/>
    </w:rPr>
  </w:style>
  <w:style w:type="paragraph" w:styleId="BalloonText">
    <w:name w:val="Balloon Text"/>
    <w:basedOn w:val="Normal"/>
    <w:link w:val="BalloonTextChar"/>
    <w:uiPriority w:val="99"/>
    <w:rsid w:val="007F2B57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2B57"/>
    <w:rPr>
      <w:rFonts w:ascii="Tahoma" w:hAnsi="Tahoma" w:cs="Tahoma"/>
      <w:sz w:val="16"/>
      <w:szCs w:val="16"/>
      <w:lang w:val="pl-PL"/>
    </w:rPr>
  </w:style>
  <w:style w:type="paragraph" w:styleId="Caption">
    <w:name w:val="caption"/>
    <w:basedOn w:val="Normal"/>
    <w:next w:val="Normal"/>
    <w:qFormat/>
    <w:rsid w:val="007F2B5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7F2B57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7F2B57"/>
    <w:rPr>
      <w:vanish/>
      <w:color w:val="800080"/>
      <w:vertAlign w:val="subscript"/>
    </w:rPr>
  </w:style>
  <w:style w:type="character" w:styleId="FollowedHyperlink">
    <w:name w:val="FollowedHyperlink"/>
    <w:rsid w:val="007F2B57"/>
    <w:rPr>
      <w:color w:val="800080"/>
      <w:u w:val="single"/>
    </w:rPr>
  </w:style>
  <w:style w:type="paragraph" w:customStyle="1" w:styleId="Sous-titreobjet">
    <w:name w:val="Sous-titre objet"/>
    <w:basedOn w:val="Normal"/>
    <w:rsid w:val="007F2B5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F2B57"/>
  </w:style>
  <w:style w:type="paragraph" w:styleId="Revision">
    <w:name w:val="Revision"/>
    <w:hidden/>
    <w:uiPriority w:val="99"/>
    <w:semiHidden/>
    <w:rsid w:val="007F2B57"/>
    <w:pPr>
      <w:spacing w:after="200" w:line="276" w:lineRule="auto"/>
    </w:pPr>
    <w:rPr>
      <w:rFonts w:ascii="Calibri" w:eastAsia="Calibri" w:hAnsi="Calibri"/>
      <w:sz w:val="24"/>
      <w:szCs w:val="22"/>
      <w:lang w:val="pl-PL"/>
    </w:rPr>
  </w:style>
  <w:style w:type="paragraph" w:customStyle="1" w:styleId="FooterCoverPage">
    <w:name w:val="Footer Cover Page"/>
    <w:basedOn w:val="Normal"/>
    <w:link w:val="FooterCoverPageChar"/>
    <w:rsid w:val="007F2B5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7F2B57"/>
    <w:rPr>
      <w:rFonts w:ascii="Times New Roman" w:hAnsi="Times New Roman" w:cs="Times New Roman"/>
      <w:b/>
      <w:sz w:val="28"/>
      <w:lang w:val="pl-PL"/>
    </w:rPr>
  </w:style>
  <w:style w:type="character" w:customStyle="1" w:styleId="FooterCoverPageChar">
    <w:name w:val="Footer Cover Page Char"/>
    <w:link w:val="FooterCoverPage"/>
    <w:rsid w:val="007F2B57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7F2B5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F2B57"/>
    <w:rPr>
      <w:rFonts w:eastAsia="Calibri"/>
      <w:sz w:val="24"/>
      <w:szCs w:val="22"/>
      <w:lang w:val="pl-PL"/>
    </w:rPr>
  </w:style>
  <w:style w:type="paragraph" w:customStyle="1" w:styleId="Body">
    <w:name w:val="Body"/>
    <w:rsid w:val="007F2B5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7F2B5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7F2B57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l-PL" w:eastAsia="en-IE"/>
    </w:rPr>
  </w:style>
  <w:style w:type="numbering" w:customStyle="1" w:styleId="ImportedStyle1">
    <w:name w:val="Imported Style 1"/>
    <w:rsid w:val="007F2B57"/>
    <w:pPr>
      <w:numPr>
        <w:numId w:val="18"/>
      </w:numPr>
    </w:pPr>
  </w:style>
  <w:style w:type="paragraph" w:customStyle="1" w:styleId="Default">
    <w:name w:val="Default"/>
    <w:rsid w:val="007F2B57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pl-PL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7F2B57"/>
    <w:pPr>
      <w:numPr>
        <w:numId w:val="19"/>
      </w:numPr>
    </w:pPr>
  </w:style>
  <w:style w:type="numbering" w:customStyle="1" w:styleId="ImportedStyle3">
    <w:name w:val="Imported Style 3"/>
    <w:rsid w:val="007F2B57"/>
    <w:pPr>
      <w:numPr>
        <w:numId w:val="20"/>
      </w:numPr>
    </w:pPr>
  </w:style>
  <w:style w:type="numbering" w:customStyle="1" w:styleId="ImportedStyle4">
    <w:name w:val="Imported Style 4"/>
    <w:rsid w:val="007F2B57"/>
    <w:pPr>
      <w:numPr>
        <w:numId w:val="21"/>
      </w:numPr>
    </w:pPr>
  </w:style>
  <w:style w:type="numbering" w:customStyle="1" w:styleId="ImportedStyle5">
    <w:name w:val="Imported Style 5"/>
    <w:rsid w:val="007F2B57"/>
    <w:pPr>
      <w:numPr>
        <w:numId w:val="22"/>
      </w:numPr>
    </w:pPr>
  </w:style>
  <w:style w:type="numbering" w:customStyle="1" w:styleId="ImportedStyle6">
    <w:name w:val="Imported Style 6"/>
    <w:rsid w:val="007F2B57"/>
    <w:pPr>
      <w:numPr>
        <w:numId w:val="23"/>
      </w:numPr>
    </w:pPr>
  </w:style>
  <w:style w:type="numbering" w:customStyle="1" w:styleId="ImportedStyle7">
    <w:name w:val="Imported Style 7"/>
    <w:rsid w:val="007F2B57"/>
    <w:pPr>
      <w:numPr>
        <w:numId w:val="24"/>
      </w:numPr>
    </w:pPr>
  </w:style>
  <w:style w:type="numbering" w:customStyle="1" w:styleId="ImportedStyle8">
    <w:name w:val="Imported Style 8"/>
    <w:rsid w:val="007F2B57"/>
    <w:pPr>
      <w:numPr>
        <w:numId w:val="25"/>
      </w:numPr>
    </w:pPr>
  </w:style>
  <w:style w:type="numbering" w:customStyle="1" w:styleId="ImportedStyle9">
    <w:name w:val="Imported Style 9"/>
    <w:rsid w:val="007F2B57"/>
    <w:pPr>
      <w:numPr>
        <w:numId w:val="26"/>
      </w:numPr>
    </w:pPr>
  </w:style>
  <w:style w:type="numbering" w:customStyle="1" w:styleId="ImportedStyle10">
    <w:name w:val="Imported Style 10"/>
    <w:rsid w:val="007F2B57"/>
    <w:pPr>
      <w:numPr>
        <w:numId w:val="27"/>
      </w:numPr>
    </w:pPr>
  </w:style>
  <w:style w:type="numbering" w:customStyle="1" w:styleId="ImportedStyle11">
    <w:name w:val="Imported Style 11"/>
    <w:rsid w:val="007F2B57"/>
    <w:pPr>
      <w:numPr>
        <w:numId w:val="28"/>
      </w:numPr>
    </w:pPr>
  </w:style>
  <w:style w:type="numbering" w:customStyle="1" w:styleId="ImportedStyle12">
    <w:name w:val="Imported Style 12"/>
    <w:rsid w:val="007F2B57"/>
    <w:pPr>
      <w:numPr>
        <w:numId w:val="29"/>
      </w:numPr>
    </w:pPr>
  </w:style>
  <w:style w:type="numbering" w:customStyle="1" w:styleId="ImportedStyle13">
    <w:name w:val="Imported Style 13"/>
    <w:rsid w:val="007F2B57"/>
    <w:pPr>
      <w:numPr>
        <w:numId w:val="30"/>
      </w:numPr>
    </w:pPr>
  </w:style>
  <w:style w:type="numbering" w:customStyle="1" w:styleId="ImportedStyle14">
    <w:name w:val="Imported Style 14"/>
    <w:rsid w:val="007F2B57"/>
    <w:pPr>
      <w:numPr>
        <w:numId w:val="31"/>
      </w:numPr>
    </w:pPr>
  </w:style>
  <w:style w:type="numbering" w:customStyle="1" w:styleId="ImportedStyle15">
    <w:name w:val="Imported Style 15"/>
    <w:rsid w:val="007F2B57"/>
    <w:pPr>
      <w:numPr>
        <w:numId w:val="32"/>
      </w:numPr>
    </w:pPr>
  </w:style>
  <w:style w:type="numbering" w:customStyle="1" w:styleId="ImportedStyle16">
    <w:name w:val="Imported Style 16"/>
    <w:rsid w:val="007F2B57"/>
    <w:pPr>
      <w:numPr>
        <w:numId w:val="33"/>
      </w:numPr>
    </w:pPr>
  </w:style>
  <w:style w:type="numbering" w:customStyle="1" w:styleId="ImportedStyle17">
    <w:name w:val="Imported Style 17"/>
    <w:rsid w:val="007F2B57"/>
    <w:pPr>
      <w:numPr>
        <w:numId w:val="34"/>
      </w:numPr>
    </w:pPr>
  </w:style>
  <w:style w:type="numbering" w:customStyle="1" w:styleId="ImportedStyle18">
    <w:name w:val="Imported Style 18"/>
    <w:rsid w:val="007F2B57"/>
    <w:pPr>
      <w:numPr>
        <w:numId w:val="35"/>
      </w:numPr>
    </w:pPr>
  </w:style>
  <w:style w:type="numbering" w:customStyle="1" w:styleId="ImportedStyle19">
    <w:name w:val="Imported Style 19"/>
    <w:rsid w:val="007F2B57"/>
    <w:pPr>
      <w:numPr>
        <w:numId w:val="36"/>
      </w:numPr>
    </w:pPr>
  </w:style>
  <w:style w:type="numbering" w:customStyle="1" w:styleId="ImportedStyle20">
    <w:name w:val="Imported Style 20"/>
    <w:rsid w:val="007F2B57"/>
    <w:pPr>
      <w:numPr>
        <w:numId w:val="37"/>
      </w:numPr>
    </w:pPr>
  </w:style>
  <w:style w:type="numbering" w:customStyle="1" w:styleId="ImportedStyle21">
    <w:name w:val="Imported Style 21"/>
    <w:rsid w:val="007F2B57"/>
    <w:pPr>
      <w:numPr>
        <w:numId w:val="38"/>
      </w:numPr>
    </w:pPr>
  </w:style>
  <w:style w:type="numbering" w:customStyle="1" w:styleId="ImportedStyle22">
    <w:name w:val="Imported Style 22"/>
    <w:rsid w:val="007F2B57"/>
    <w:pPr>
      <w:numPr>
        <w:numId w:val="39"/>
      </w:numPr>
    </w:pPr>
  </w:style>
  <w:style w:type="paragraph" w:customStyle="1" w:styleId="CM4">
    <w:name w:val="CM4"/>
    <w:next w:val="Default"/>
    <w:rsid w:val="007F2B5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l-PL" w:eastAsia="en-IE"/>
    </w:rPr>
  </w:style>
  <w:style w:type="numbering" w:customStyle="1" w:styleId="ImportedStyle23">
    <w:name w:val="Imported Style 23"/>
    <w:rsid w:val="007F2B57"/>
    <w:pPr>
      <w:numPr>
        <w:numId w:val="40"/>
      </w:numPr>
    </w:pPr>
  </w:style>
  <w:style w:type="numbering" w:customStyle="1" w:styleId="ImportedStyle24">
    <w:name w:val="Imported Style 24"/>
    <w:rsid w:val="007F2B57"/>
    <w:pPr>
      <w:numPr>
        <w:numId w:val="41"/>
      </w:numPr>
    </w:pPr>
  </w:style>
  <w:style w:type="numbering" w:customStyle="1" w:styleId="ImportedStyle25">
    <w:name w:val="Imported Style 25"/>
    <w:rsid w:val="007F2B57"/>
    <w:pPr>
      <w:numPr>
        <w:numId w:val="42"/>
      </w:numPr>
    </w:pPr>
  </w:style>
  <w:style w:type="numbering" w:customStyle="1" w:styleId="ImportedStyle26">
    <w:name w:val="Imported Style 26"/>
    <w:rsid w:val="007F2B57"/>
    <w:pPr>
      <w:numPr>
        <w:numId w:val="43"/>
      </w:numPr>
    </w:pPr>
  </w:style>
  <w:style w:type="numbering" w:customStyle="1" w:styleId="ImportedStyle27">
    <w:name w:val="Imported Style 27"/>
    <w:rsid w:val="007F2B57"/>
    <w:pPr>
      <w:numPr>
        <w:numId w:val="44"/>
      </w:numPr>
    </w:pPr>
  </w:style>
  <w:style w:type="numbering" w:customStyle="1" w:styleId="ImportedStyle28">
    <w:name w:val="Imported Style 28"/>
    <w:rsid w:val="007F2B57"/>
    <w:pPr>
      <w:numPr>
        <w:numId w:val="45"/>
      </w:numPr>
    </w:pPr>
  </w:style>
  <w:style w:type="numbering" w:customStyle="1" w:styleId="ImportedStyle29">
    <w:name w:val="Imported Style 29"/>
    <w:rsid w:val="007F2B57"/>
    <w:pPr>
      <w:numPr>
        <w:numId w:val="82"/>
      </w:numPr>
    </w:pPr>
  </w:style>
  <w:style w:type="numbering" w:customStyle="1" w:styleId="ImportedStyle30">
    <w:name w:val="Imported Style 30"/>
    <w:rsid w:val="007F2B57"/>
    <w:pPr>
      <w:numPr>
        <w:numId w:val="79"/>
      </w:numPr>
    </w:pPr>
  </w:style>
  <w:style w:type="numbering" w:customStyle="1" w:styleId="ImportedStyle31">
    <w:name w:val="Imported Style 31"/>
    <w:rsid w:val="007F2B57"/>
    <w:pPr>
      <w:numPr>
        <w:numId w:val="80"/>
      </w:numPr>
    </w:pPr>
  </w:style>
  <w:style w:type="numbering" w:customStyle="1" w:styleId="ImportedStyle32">
    <w:name w:val="Imported Style 32"/>
    <w:rsid w:val="007F2B57"/>
    <w:pPr>
      <w:numPr>
        <w:numId w:val="76"/>
      </w:numPr>
    </w:pPr>
  </w:style>
  <w:style w:type="numbering" w:customStyle="1" w:styleId="ImportedStyle33">
    <w:name w:val="Imported Style 33"/>
    <w:rsid w:val="007F2B57"/>
    <w:pPr>
      <w:numPr>
        <w:numId w:val="46"/>
      </w:numPr>
    </w:pPr>
  </w:style>
  <w:style w:type="numbering" w:customStyle="1" w:styleId="ImportedStyle34">
    <w:name w:val="Imported Style 34"/>
    <w:rsid w:val="007F2B57"/>
    <w:pPr>
      <w:numPr>
        <w:numId w:val="47"/>
      </w:numPr>
    </w:pPr>
  </w:style>
  <w:style w:type="numbering" w:customStyle="1" w:styleId="ImportedStyle35">
    <w:name w:val="Imported Style 35"/>
    <w:rsid w:val="007F2B57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7F2B5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pl-PL" w:eastAsia="en-IE"/>
    </w:rPr>
  </w:style>
  <w:style w:type="numbering" w:customStyle="1" w:styleId="ImportedStyle37">
    <w:name w:val="Imported Style 37"/>
    <w:rsid w:val="007F2B57"/>
    <w:pPr>
      <w:numPr>
        <w:numId w:val="49"/>
      </w:numPr>
    </w:pPr>
  </w:style>
  <w:style w:type="numbering" w:customStyle="1" w:styleId="ImportedStyle38">
    <w:name w:val="Imported Style 38"/>
    <w:rsid w:val="007F2B57"/>
    <w:pPr>
      <w:numPr>
        <w:numId w:val="50"/>
      </w:numPr>
    </w:pPr>
  </w:style>
  <w:style w:type="numbering" w:customStyle="1" w:styleId="ImportedStyle39">
    <w:name w:val="Imported Style 39"/>
    <w:rsid w:val="007F2B57"/>
    <w:pPr>
      <w:numPr>
        <w:numId w:val="51"/>
      </w:numPr>
    </w:pPr>
  </w:style>
  <w:style w:type="numbering" w:customStyle="1" w:styleId="ImportedStyle40">
    <w:name w:val="Imported Style 40"/>
    <w:rsid w:val="007F2B57"/>
    <w:pPr>
      <w:numPr>
        <w:numId w:val="77"/>
      </w:numPr>
    </w:pPr>
  </w:style>
  <w:style w:type="numbering" w:customStyle="1" w:styleId="ImportedStyle41">
    <w:name w:val="Imported Style 41"/>
    <w:rsid w:val="007F2B57"/>
    <w:pPr>
      <w:numPr>
        <w:numId w:val="52"/>
      </w:numPr>
    </w:pPr>
  </w:style>
  <w:style w:type="numbering" w:customStyle="1" w:styleId="ImportedStyle42">
    <w:name w:val="Imported Style 42"/>
    <w:rsid w:val="007F2B57"/>
    <w:pPr>
      <w:numPr>
        <w:numId w:val="81"/>
      </w:numPr>
    </w:pPr>
  </w:style>
  <w:style w:type="numbering" w:customStyle="1" w:styleId="ImportedStyle43">
    <w:name w:val="Imported Style 43"/>
    <w:rsid w:val="007F2B57"/>
    <w:pPr>
      <w:numPr>
        <w:numId w:val="53"/>
      </w:numPr>
    </w:pPr>
  </w:style>
  <w:style w:type="numbering" w:customStyle="1" w:styleId="ImportedStyle44">
    <w:name w:val="Imported Style 44"/>
    <w:rsid w:val="007F2B57"/>
  </w:style>
  <w:style w:type="numbering" w:customStyle="1" w:styleId="ImportedStyle45">
    <w:name w:val="Imported Style 45"/>
    <w:rsid w:val="007F2B57"/>
    <w:pPr>
      <w:numPr>
        <w:numId w:val="66"/>
      </w:numPr>
    </w:pPr>
  </w:style>
  <w:style w:type="numbering" w:customStyle="1" w:styleId="ImportedStyle46">
    <w:name w:val="Imported Style 46"/>
    <w:rsid w:val="007F2B57"/>
    <w:pPr>
      <w:numPr>
        <w:numId w:val="55"/>
      </w:numPr>
    </w:pPr>
  </w:style>
  <w:style w:type="numbering" w:customStyle="1" w:styleId="ImportedStyle47">
    <w:name w:val="Imported Style 47"/>
    <w:rsid w:val="007F2B57"/>
    <w:pPr>
      <w:numPr>
        <w:numId w:val="67"/>
      </w:numPr>
    </w:pPr>
  </w:style>
  <w:style w:type="numbering" w:customStyle="1" w:styleId="ImportedStyle48">
    <w:name w:val="Imported Style 48"/>
    <w:rsid w:val="007F2B57"/>
    <w:pPr>
      <w:numPr>
        <w:numId w:val="56"/>
      </w:numPr>
    </w:pPr>
  </w:style>
  <w:style w:type="numbering" w:customStyle="1" w:styleId="ImportedStyle36">
    <w:name w:val="Imported Style 36"/>
    <w:rsid w:val="007F2B57"/>
    <w:pPr>
      <w:numPr>
        <w:numId w:val="68"/>
      </w:numPr>
    </w:pPr>
  </w:style>
  <w:style w:type="numbering" w:customStyle="1" w:styleId="ImportedStyle49">
    <w:name w:val="Imported Style 49"/>
    <w:rsid w:val="007F2B57"/>
  </w:style>
  <w:style w:type="numbering" w:customStyle="1" w:styleId="ImportedStyle50">
    <w:name w:val="Imported Style 50"/>
    <w:rsid w:val="007F2B57"/>
  </w:style>
  <w:style w:type="numbering" w:customStyle="1" w:styleId="ImportedStyle51">
    <w:name w:val="Imported Style 51"/>
    <w:rsid w:val="007F2B57"/>
    <w:pPr>
      <w:numPr>
        <w:numId w:val="57"/>
      </w:numPr>
    </w:pPr>
  </w:style>
  <w:style w:type="numbering" w:customStyle="1" w:styleId="ImportedStyle52">
    <w:name w:val="Imported Style 52"/>
    <w:rsid w:val="007F2B57"/>
    <w:pPr>
      <w:numPr>
        <w:numId w:val="58"/>
      </w:numPr>
    </w:pPr>
  </w:style>
  <w:style w:type="numbering" w:customStyle="1" w:styleId="ImportedStyle53">
    <w:name w:val="Imported Style 53"/>
    <w:rsid w:val="007F2B57"/>
    <w:pPr>
      <w:numPr>
        <w:numId w:val="59"/>
      </w:numPr>
    </w:pPr>
  </w:style>
  <w:style w:type="numbering" w:customStyle="1" w:styleId="ImportedStyle54">
    <w:name w:val="Imported Style 54"/>
    <w:rsid w:val="007F2B57"/>
    <w:pPr>
      <w:numPr>
        <w:numId w:val="78"/>
      </w:numPr>
    </w:pPr>
  </w:style>
  <w:style w:type="numbering" w:customStyle="1" w:styleId="ImportedStyle55">
    <w:name w:val="Imported Style 55"/>
    <w:rsid w:val="007F2B57"/>
    <w:pPr>
      <w:numPr>
        <w:numId w:val="60"/>
      </w:numPr>
    </w:pPr>
  </w:style>
  <w:style w:type="numbering" w:customStyle="1" w:styleId="ImportedStyle56">
    <w:name w:val="Imported Style 56"/>
    <w:rsid w:val="007F2B57"/>
    <w:pPr>
      <w:numPr>
        <w:numId w:val="61"/>
      </w:numPr>
    </w:pPr>
  </w:style>
  <w:style w:type="numbering" w:customStyle="1" w:styleId="ImportedStyle57">
    <w:name w:val="Imported Style 57"/>
    <w:rsid w:val="007F2B57"/>
    <w:pPr>
      <w:numPr>
        <w:numId w:val="62"/>
      </w:numPr>
    </w:pPr>
  </w:style>
  <w:style w:type="numbering" w:customStyle="1" w:styleId="ImportedStyle58">
    <w:name w:val="Imported Style 58"/>
    <w:rsid w:val="007F2B57"/>
    <w:pPr>
      <w:numPr>
        <w:numId w:val="63"/>
      </w:numPr>
    </w:pPr>
  </w:style>
  <w:style w:type="numbering" w:customStyle="1" w:styleId="ImportedStyle59">
    <w:name w:val="Imported Style 59"/>
    <w:rsid w:val="007F2B57"/>
    <w:pPr>
      <w:numPr>
        <w:numId w:val="64"/>
      </w:numPr>
    </w:pPr>
  </w:style>
  <w:style w:type="numbering" w:customStyle="1" w:styleId="ImportedStyle60">
    <w:name w:val="Imported Style 60"/>
    <w:rsid w:val="007F2B57"/>
    <w:pPr>
      <w:numPr>
        <w:numId w:val="54"/>
      </w:numPr>
    </w:pPr>
  </w:style>
  <w:style w:type="numbering" w:customStyle="1" w:styleId="ImportedStyle61">
    <w:name w:val="Imported Style 61"/>
    <w:rsid w:val="007F2B57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7F2B57"/>
    <w:rPr>
      <w:color w:val="000000"/>
      <w:sz w:val="24"/>
      <w:szCs w:val="24"/>
      <w:u w:color="000000"/>
      <w:bdr w:val="nil"/>
      <w:lang w:val="pl-PL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7F2B57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F2B57"/>
    <w:rPr>
      <w:rFonts w:eastAsia="Calibri"/>
      <w:lang w:val="pl-PL"/>
    </w:rPr>
  </w:style>
  <w:style w:type="character" w:styleId="EndnoteReference">
    <w:name w:val="endnote reference"/>
    <w:basedOn w:val="DefaultParagraphFont"/>
    <w:uiPriority w:val="99"/>
    <w:unhideWhenUsed/>
    <w:rsid w:val="007F2B57"/>
    <w:rPr>
      <w:vertAlign w:val="superscript"/>
    </w:rPr>
  </w:style>
  <w:style w:type="paragraph" w:customStyle="1" w:styleId="Style1">
    <w:name w:val="Style1"/>
    <w:basedOn w:val="Text1"/>
    <w:qFormat/>
    <w:rsid w:val="007F2B57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7F2B57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7F2B57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7F2B57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7F2B57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7F2B57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7F2B57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7F2B57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7F2B57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pl-PL" w:eastAsia="en-US"/>
    </w:rPr>
  </w:style>
  <w:style w:type="paragraph" w:customStyle="1" w:styleId="CM1">
    <w:name w:val="CM1"/>
    <w:basedOn w:val="Default"/>
    <w:next w:val="Default"/>
    <w:uiPriority w:val="99"/>
    <w:rsid w:val="007F2B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7F2B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qFormat/>
    <w:rsid w:val="007F2B57"/>
    <w:rPr>
      <w:i/>
      <w:iCs/>
    </w:rPr>
  </w:style>
  <w:style w:type="paragraph" w:customStyle="1" w:styleId="Tetxt1">
    <w:name w:val="Tetxt 1"/>
    <w:basedOn w:val="Normal"/>
    <w:rsid w:val="007F2B57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7F2B57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7F2B57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7F2B57"/>
  </w:style>
  <w:style w:type="paragraph" w:customStyle="1" w:styleId="Numbpar">
    <w:name w:val="Numb par"/>
    <w:basedOn w:val="ManualNumbpar"/>
    <w:rsid w:val="007F2B57"/>
  </w:style>
  <w:style w:type="paragraph" w:customStyle="1" w:styleId="Numbpar1">
    <w:name w:val="Numb par 1"/>
    <w:basedOn w:val="ManualNumbpar"/>
    <w:rsid w:val="007F2B57"/>
  </w:style>
  <w:style w:type="paragraph" w:customStyle="1" w:styleId="Point1letter0">
    <w:name w:val="Point 1 letter"/>
    <w:basedOn w:val="NormalWeb"/>
    <w:rsid w:val="007F2B57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7F2B57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7F2B57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F2B57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F2B5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F2B5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7F2B57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7F2B57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F2B57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F2B57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F2B5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F2B5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F2B5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F2B5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F2B5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F2B5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7F2B5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F2B57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F2B57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F2B57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F2B5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F2B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F2B5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F2B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F2B5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F2B5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F2B57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F2B57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F2B57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F2B5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F2B57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F2B5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F2B5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F2B5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F2B5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F2B5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F2B57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7F2B57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7F2B57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7F2B57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7F2B57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7F2B5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F2B5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F2B5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F2B5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F2B5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F2B5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F2B5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F2B5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F2B5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F2B5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F2B57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F2B57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F2B57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F2B57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F2B5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F2B5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F2B5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F2B5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F2B5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F2B5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F2B5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F2B5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F2B5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F2B5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F2B5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F2B5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7F2B5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F2B5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F2B5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F2B57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F2B57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F2B57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F2B57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F2B57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F2B57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F2B57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F2B57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F2B57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F2B57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F2B57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F2B57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F2B57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F2B57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F2B5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F2B5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F2B5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F2B5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F2B5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F2B5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F2B5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F2B5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F2B5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F2B5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F2B5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F2B5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F2B5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F2B5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F2B57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F2B5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F2B5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F2B5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F2B5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F2B5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F2B5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F2B5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F2B5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F2B5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F2B5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F2B5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F2B5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F2B5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F2B5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7F2B5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F2B5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F2B5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F2B5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F2B5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F2B5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7F2B5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F2B5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F2B5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F2B57"/>
  </w:style>
  <w:style w:type="paragraph" w:customStyle="1" w:styleId="StatutPagedecouverture">
    <w:name w:val="Statut (Page de couverture)"/>
    <w:basedOn w:val="Statut"/>
    <w:next w:val="TypedudocumentPagedecouverture"/>
    <w:rsid w:val="007F2B57"/>
  </w:style>
  <w:style w:type="paragraph" w:customStyle="1" w:styleId="TitreobjetPagedecouverture">
    <w:name w:val="Titre objet (Page de couverture)"/>
    <w:basedOn w:val="Titreobjet"/>
    <w:next w:val="IntrtEEEPagedecouverture"/>
    <w:rsid w:val="007F2B5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F2B57"/>
  </w:style>
  <w:style w:type="paragraph" w:customStyle="1" w:styleId="Volume">
    <w:name w:val="Volume"/>
    <w:basedOn w:val="Normal"/>
    <w:next w:val="Confidentialit"/>
    <w:rsid w:val="007F2B5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F2B57"/>
    <w:pPr>
      <w:spacing w:after="240"/>
    </w:pPr>
  </w:style>
  <w:style w:type="paragraph" w:customStyle="1" w:styleId="Accompagnant">
    <w:name w:val="Accompagnant"/>
    <w:basedOn w:val="Normal"/>
    <w:next w:val="Typeacteprincipal"/>
    <w:rsid w:val="007F2B5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F2B5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F2B5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F2B57"/>
  </w:style>
  <w:style w:type="paragraph" w:customStyle="1" w:styleId="AccompagnantPagedecouverture">
    <w:name w:val="Accompagnant (Page de couverture)"/>
    <w:basedOn w:val="Accompagnant"/>
    <w:next w:val="TypeacteprincipalPagedecouverture"/>
    <w:rsid w:val="007F2B5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F2B57"/>
  </w:style>
  <w:style w:type="paragraph" w:customStyle="1" w:styleId="ObjetacteprincipalPagedecouverture">
    <w:name w:val="Objet acte principal (Page de couverture)"/>
    <w:basedOn w:val="Objetacteprincipal"/>
    <w:next w:val="Rfrencecroise"/>
    <w:rsid w:val="007F2B57"/>
  </w:style>
  <w:style w:type="paragraph" w:customStyle="1" w:styleId="LanguesfaisantfoiPagedecouverture">
    <w:name w:val="Langues faisant foi (Page de couverture)"/>
    <w:basedOn w:val="Normal"/>
    <w:next w:val="Normal"/>
    <w:rsid w:val="007F2B5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7F2B57"/>
    <w:pPr>
      <w:spacing w:after="240"/>
    </w:pPr>
  </w:style>
  <w:style w:type="paragraph" w:customStyle="1" w:styleId="Normal6a">
    <w:name w:val="Normal6a"/>
    <w:basedOn w:val="Normal"/>
    <w:rsid w:val="007F2B57"/>
    <w:pPr>
      <w:spacing w:after="120"/>
    </w:pPr>
  </w:style>
  <w:style w:type="paragraph" w:customStyle="1" w:styleId="PageHeadingNotTOC">
    <w:name w:val="PageHeadingNotTOC"/>
    <w:basedOn w:val="Normal"/>
    <w:rsid w:val="007F2B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7F2B57"/>
    <w:pPr>
      <w:spacing w:after="240"/>
    </w:pPr>
    <w:rPr>
      <w:i/>
    </w:rPr>
  </w:style>
  <w:style w:type="paragraph" w:customStyle="1" w:styleId="AmCrossRef">
    <w:name w:val="AmCrossRef"/>
    <w:basedOn w:val="Normal"/>
    <w:rsid w:val="007F2B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F2B57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7F2B5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7F2B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F2B57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7F2B57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7F2B5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7F2B57"/>
    <w:pPr>
      <w:spacing w:after="120"/>
    </w:pPr>
  </w:style>
  <w:style w:type="paragraph" w:customStyle="1" w:styleId="Normal12Italic">
    <w:name w:val="Normal12Italic"/>
    <w:basedOn w:val="Normal"/>
    <w:rsid w:val="007F2B5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F2B5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F2B5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F2B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F2B57"/>
    <w:pPr>
      <w:jc w:val="right"/>
    </w:pPr>
    <w:rPr>
      <w:lang w:val="pl-PL"/>
    </w:rPr>
  </w:style>
  <w:style w:type="paragraph" w:customStyle="1" w:styleId="RollCallSymbols14pt">
    <w:name w:val="RollCallSymbols14pt"/>
    <w:basedOn w:val="Normal"/>
    <w:rsid w:val="007F2B5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F2B5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F2B5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F2B57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F2B5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F2B57"/>
    <w:rPr>
      <w:sz w:val="24"/>
      <w:lang w:val="pl-PL"/>
    </w:rPr>
  </w:style>
  <w:style w:type="paragraph" w:customStyle="1" w:styleId="CommitteeAM">
    <w:name w:val="CommitteeAM"/>
    <w:basedOn w:val="Normal"/>
    <w:rsid w:val="007F2B5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F2B5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F2B57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F2B57"/>
    <w:rPr>
      <w:noProof/>
      <w:sz w:val="24"/>
      <w:lang w:val="pl-PL"/>
    </w:rPr>
  </w:style>
  <w:style w:type="paragraph" w:customStyle="1" w:styleId="PELeft">
    <w:name w:val="PELeft"/>
    <w:basedOn w:val="Normal"/>
    <w:rsid w:val="007F2B5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F2B57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F2B57"/>
    <w:pPr>
      <w:spacing w:before="240"/>
      <w:jc w:val="center"/>
    </w:pPr>
    <w:rPr>
      <w:i/>
    </w:rPr>
  </w:style>
  <w:style w:type="character" w:customStyle="1" w:styleId="Footer2Middle">
    <w:name w:val="Footer2Middle"/>
    <w:rsid w:val="007F2B57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7F2B57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7F2B57"/>
    <w:pPr>
      <w:jc w:val="center"/>
    </w:pPr>
    <w:rPr>
      <w:b/>
      <w:i/>
    </w:rPr>
  </w:style>
  <w:style w:type="paragraph" w:styleId="NoSpacing">
    <w:name w:val="No Spacing"/>
    <w:uiPriority w:val="1"/>
    <w:qFormat/>
    <w:rsid w:val="007F2B57"/>
    <w:pPr>
      <w:widowControl w:val="0"/>
    </w:pPr>
    <w:rPr>
      <w:sz w:val="24"/>
      <w:szCs w:val="24"/>
      <w:lang w:val="pl-PL"/>
    </w:rPr>
  </w:style>
  <w:style w:type="character" w:customStyle="1" w:styleId="SupBoldItalic">
    <w:name w:val="SupBoldItalic"/>
    <w:uiPriority w:val="1"/>
    <w:qFormat/>
    <w:rsid w:val="007F2B57"/>
    <w:rPr>
      <w:b/>
      <w:i/>
      <w:vertAlign w:val="superscript"/>
    </w:rPr>
  </w:style>
  <w:style w:type="paragraph" w:customStyle="1" w:styleId="msonormal0">
    <w:name w:val="msonormal"/>
    <w:basedOn w:val="Normal"/>
    <w:rsid w:val="007F2B5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F2B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B57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A04FFD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A04FFD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BB04E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BB04EA"/>
    <w:pPr>
      <w:tabs>
        <w:tab w:val="right" w:pos="9072"/>
      </w:tabs>
    </w:pPr>
  </w:style>
  <w:style w:type="paragraph" w:customStyle="1" w:styleId="Title1">
    <w:name w:val="Title1"/>
    <w:basedOn w:val="Normal"/>
    <w:next w:val="Normal"/>
    <w:uiPriority w:val="10"/>
    <w:qFormat/>
    <w:rsid w:val="00BB04E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B04EA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BB04EA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B04EA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BB04E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BB04EA"/>
    <w:rPr>
      <w:rFonts w:ascii="Calibri" w:hAnsi="Calibri"/>
      <w:b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B04EA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B04EA"/>
    <w:rPr>
      <w:rFonts w:eastAsia="Calibr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4EA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4EA"/>
    <w:rPr>
      <w:rFonts w:eastAsia="Calibri"/>
      <w:b/>
      <w:i/>
      <w:sz w:val="24"/>
      <w:szCs w:val="22"/>
      <w:lang w:val="pl-PL" w:eastAsia="en-US"/>
    </w:rPr>
  </w:style>
  <w:style w:type="character" w:customStyle="1" w:styleId="SubtleEmphasis1">
    <w:name w:val="Subtle Emphasis1"/>
    <w:uiPriority w:val="19"/>
    <w:qFormat/>
    <w:rsid w:val="00BB04E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BB04E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B04E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B04E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BB04EA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BB04EA"/>
  </w:style>
  <w:style w:type="paragraph" w:customStyle="1" w:styleId="HeaderCouncil">
    <w:name w:val="Header Council"/>
    <w:basedOn w:val="Normal"/>
    <w:rsid w:val="00BB04E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B04E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B04E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B04E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B04E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B04E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B04E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B04E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B04E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B04E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B04E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B04E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B04E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B04EA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B04EA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B04EA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B04EA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B04EA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B04EA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B04EA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B04E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B04E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BB04E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B04E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B04E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B04E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B04E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B04E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B04E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B04E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B04E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B04EA"/>
    <w:pPr>
      <w:spacing w:before="240"/>
    </w:pPr>
  </w:style>
  <w:style w:type="paragraph" w:customStyle="1" w:styleId="Accordtitre">
    <w:name w:val="Accord titre"/>
    <w:basedOn w:val="Normal"/>
    <w:rsid w:val="00BB04E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B04E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B04E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B04E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B04E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B04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B04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B04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B04E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B04E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B04E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B04E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B04E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B04E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B04E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B04E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B04E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B04E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B04E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B04E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B04E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B04E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B04E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B04E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B04E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B04E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B04E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B04E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B04E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B04E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B04E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B04E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BB04E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B04E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B04EA"/>
    <w:rPr>
      <w:b/>
      <w:i/>
    </w:rPr>
  </w:style>
  <w:style w:type="character" w:customStyle="1" w:styleId="diff-tte-removed">
    <w:name w:val="diff-tte-removed"/>
    <w:basedOn w:val="DefaultParagraphFont"/>
    <w:rsid w:val="00BB04EA"/>
    <w:rPr>
      <w:strike/>
    </w:rPr>
  </w:style>
  <w:style w:type="paragraph" w:customStyle="1" w:styleId="Normal1">
    <w:name w:val="Normal1"/>
    <w:basedOn w:val="Normal"/>
    <w:rsid w:val="00BB04EA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BB04EA"/>
  </w:style>
  <w:style w:type="character" w:customStyle="1" w:styleId="lexicoexa">
    <w:name w:val="lexico_exa"/>
    <w:basedOn w:val="DefaultParagraphFont"/>
    <w:rsid w:val="00BB04EA"/>
  </w:style>
  <w:style w:type="character" w:customStyle="1" w:styleId="lexicolabelgrp">
    <w:name w:val="lexico_labelgrp"/>
    <w:basedOn w:val="DefaultParagraphFont"/>
    <w:rsid w:val="00BB04E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04E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B04EA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BB04EA"/>
    <w:rPr>
      <w:color w:val="2B579A"/>
      <w:shd w:val="clear" w:color="auto" w:fill="E1DFDD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BB04EA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B04EA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BB04EA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4EA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BB04E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character" w:styleId="SubtleEmphasis">
    <w:name w:val="Subtle Emphasis"/>
    <w:basedOn w:val="DefaultParagraphFont"/>
    <w:uiPriority w:val="19"/>
    <w:qFormat/>
    <w:rsid w:val="00BB04E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B04E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19389-42E8-438A-B017-3AEF0F7F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2024-09-23T08:50:00Z</dcterms:created>
  <dcterms:modified xsi:type="dcterms:W3CDTF">2024-09-23T08:50:00Z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