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P9_TA(2024)0366</w:t>
      </w:r>
      <w:bookmarkEnd w:id="0"/>
    </w:p>
    <w:p>
      <w:pPr>
        <w:pStyle w:val="ATHeading2"/>
      </w:pPr>
      <w:bookmarkStart w:id="1" w:name="title"/>
      <w:r>
        <w:t>Zriadenie Úradu pre boj proti praniu špinavých peňazí a financovaniu terorizmu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A9-0128/2023</w:instrText>
      </w:r>
      <w:bookmarkEnd w:id="2"/>
      <w:r>
        <w:rPr>
          <w:i/>
        </w:rPr>
        <w:instrText xml:space="preserve"> - Spravodajcovia: Eva Maria Poptcheva, Emil Radev)"\l3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hospodárske a menové veci a 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PE731.820</w:t>
      </w:r>
      <w:bookmarkEnd w:id="4"/>
    </w:p>
    <w:p>
      <w:pPr>
        <w:pStyle w:val="ATHeading3"/>
      </w:pPr>
      <w:bookmarkStart w:id="5" w:name="Sujet"/>
      <w:r>
        <w:t>Legislatívne uznesenie Európskeho parlamentu z 24. apríla 2024 o návrhu nariadenia Európskeho parlamentu a Rady, ktorým sa zriaďuje Úrad pre boj proti praniu špinavých peňazí a financovaniu terorizmu a ktorým sa menia nariadenia (EÚ) č. 1093/2010, (EÚ) č. 1094/2010 a (EÚ) č. 1095/2010</w:t>
      </w:r>
      <w:bookmarkEnd w:id="5"/>
      <w:r>
        <w:t xml:space="preserve"> </w:t>
      </w:r>
      <w:bookmarkStart w:id="6" w:name="References"/>
      <w:r>
        <w:t>(COM(2021)0421 – C9-0340/2021 – 2021/0240(COD))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parlament,</w:t>
      </w:r>
    </w:p>
    <w:p>
      <w:pPr>
        <w:pStyle w:val="NormalHanging12a"/>
      </w:pPr>
      <w:r>
        <w:t>–</w:t>
      </w:r>
      <w:r>
        <w:tab/>
        <w:t>so zreteľom na návrh Komisie pre Európsky parlament a Radu (COM(2021)0421),</w:t>
      </w:r>
    </w:p>
    <w:p>
      <w:pPr>
        <w:pStyle w:val="NormalHanging12a"/>
      </w:pPr>
      <w:r>
        <w:t>–</w:t>
      </w:r>
      <w:r>
        <w:tab/>
        <w:t>so zreteľom na článok 294 ods. 2 a článok 114 Zmluvy o fungovaní Európskej únie, v súlade s ktorými Komisia predložila návrh Európskemu parlamentu (C9</w:t>
      </w:r>
      <w:r>
        <w:noBreakHyphen/>
        <w:t>0340/2021),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spacing w:after="240"/>
        <w:ind w:left="567" w:hanging="567"/>
      </w:pPr>
      <w:r>
        <w:t>–</w:t>
      </w:r>
      <w:r>
        <w:tab/>
        <w:t>so zreteľom na stanovisko Európskeho hospodárskeho a sociálneho výboru z 8. decembra 2021</w:t>
      </w:r>
      <w:r>
        <w:rPr>
          <w:vertAlign w:val="superscript"/>
        </w:rPr>
        <w:footnoteReference w:id="1"/>
      </w:r>
      <w:r>
        <w:t>,</w:t>
      </w:r>
    </w:p>
    <w:p>
      <w:pPr>
        <w:spacing w:after="240"/>
        <w:ind w:left="567" w:hanging="567"/>
      </w:pPr>
      <w:r>
        <w:t>–</w:t>
      </w:r>
      <w:r>
        <w:tab/>
        <w:t>so zreteľom na predbežnú dohodu schválenú gestorskými výbormi podľa článku 74 ods. 4 rokovacieho poriadku, a na záväzok zástupcu Rady, vyjadrený v liste z 29. februára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spoločné rokovania Výboru pre hospodárske a menové veci a Výboru pre občianske slobody, spravodlivosť a vnútorné veci podľa článku 58 rokovacieho poriadku,</w:t>
      </w:r>
    </w:p>
    <w:p>
      <w:pPr>
        <w:pStyle w:val="NormalHanging12a"/>
      </w:pPr>
      <w:r>
        <w:lastRenderedPageBreak/>
        <w:t>–</w:t>
      </w:r>
      <w:r>
        <w:tab/>
        <w:t>so zreteľom na stanoviská Výboru pre rozpočet, Výboru pre kontrolu rozpočtu a Výboru pre ústavné veci,</w:t>
      </w:r>
    </w:p>
    <w:p>
      <w:pPr>
        <w:pStyle w:val="NormalHanging12a"/>
      </w:pPr>
      <w:r>
        <w:t>–</w:t>
      </w:r>
      <w:r>
        <w:tab/>
        <w:t>so zreteľom na správu Výboru pre hospodárske a menové veci a Výboru pre občianske slobody, spravodlivosť a vnútorné veci (A9-0128/2023),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 národným parlamentom.</w:t>
      </w:r>
    </w:p>
    <w:p>
      <w:pPr>
        <w:pStyle w:val="NormalHanging12a"/>
        <w:sectPr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P9_TC1-COD(2021)0240</w:t>
      </w:r>
    </w:p>
    <w:p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24. apríla 2024 na účely prijatia nariadenia Európskeho parlamentu a Rady (EÚ) 2024/..., </w:t>
      </w:r>
      <w:r>
        <w:rPr>
          <w:rFonts w:eastAsia="Calibri"/>
          <w:b/>
          <w:szCs w:val="22"/>
          <w:lang w:eastAsia="en-US"/>
        </w:rPr>
        <w:t>ktorým sa zriaďuje Úrad pre boj proti praniu špinavých peňazí a financovaniu terorizmu a ktorým sa menia nariadenia (EÚ) č. 1093/2010, (EÚ) č. 1094/2010 a (EÚ) č. 1095/2010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2024/1620</w:t>
      </w:r>
      <w:r>
        <w:rPr>
          <w:i/>
          <w:iCs/>
        </w:rPr>
        <w:t>.)</w:t>
      </w:r>
      <w:bookmarkStart w:id="8" w:name="_GoBack"/>
      <w:bookmarkEnd w:id="8"/>
    </w:p>
    <w:sectPr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152, 6.4.2022, s. 89.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B9300CF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E270C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9E6E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BE01F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FCEC0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7A98C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74897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369BE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A4BE3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3F6EBF5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E03DE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FA097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2CACE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6A661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ACE6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8C750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F8401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C22CC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A42CCF02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3A66C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0E3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0CCE5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2CB14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0C5B2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90E54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668F1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28428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6CAA1F30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B09A6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6EFCB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3C45D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4E98C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4439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76295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1EE19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425A1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81BA3EEA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D452E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48DC5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9AC8F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38291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2C00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3C487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EAC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BE647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5A1E9FCE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CA9296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00AA5E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28EE4A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58F046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6861AC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C4ADDA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166E4C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743DA0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85BE735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C8B342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64F7B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A877C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E49CD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8AB34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0C386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1E21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06E928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AC98DA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6A92CA96" w:tentative="1">
      <w:start w:val="1"/>
      <w:numFmt w:val="lowerLetter"/>
      <w:lvlText w:val="%2."/>
      <w:lvlJc w:val="left"/>
      <w:pPr>
        <w:ind w:left="1440" w:hanging="360"/>
      </w:pPr>
    </w:lvl>
    <w:lvl w:ilvl="2" w:tplc="8D2EA2E4" w:tentative="1">
      <w:start w:val="1"/>
      <w:numFmt w:val="lowerRoman"/>
      <w:lvlText w:val="%3."/>
      <w:lvlJc w:val="right"/>
      <w:pPr>
        <w:ind w:left="2160" w:hanging="180"/>
      </w:pPr>
    </w:lvl>
    <w:lvl w:ilvl="3" w:tplc="7D640278" w:tentative="1">
      <w:start w:val="1"/>
      <w:numFmt w:val="decimal"/>
      <w:lvlText w:val="%4."/>
      <w:lvlJc w:val="left"/>
      <w:pPr>
        <w:ind w:left="2880" w:hanging="360"/>
      </w:pPr>
    </w:lvl>
    <w:lvl w:ilvl="4" w:tplc="1BDAF398" w:tentative="1">
      <w:start w:val="1"/>
      <w:numFmt w:val="lowerLetter"/>
      <w:lvlText w:val="%5."/>
      <w:lvlJc w:val="left"/>
      <w:pPr>
        <w:ind w:left="3600" w:hanging="360"/>
      </w:pPr>
    </w:lvl>
    <w:lvl w:ilvl="5" w:tplc="9F8417F2" w:tentative="1">
      <w:start w:val="1"/>
      <w:numFmt w:val="lowerRoman"/>
      <w:lvlText w:val="%6."/>
      <w:lvlJc w:val="right"/>
      <w:pPr>
        <w:ind w:left="4320" w:hanging="180"/>
      </w:pPr>
    </w:lvl>
    <w:lvl w:ilvl="6" w:tplc="EC38A89A" w:tentative="1">
      <w:start w:val="1"/>
      <w:numFmt w:val="decimal"/>
      <w:lvlText w:val="%7."/>
      <w:lvlJc w:val="left"/>
      <w:pPr>
        <w:ind w:left="5040" w:hanging="360"/>
      </w:pPr>
    </w:lvl>
    <w:lvl w:ilvl="7" w:tplc="867CCED0" w:tentative="1">
      <w:start w:val="1"/>
      <w:numFmt w:val="lowerLetter"/>
      <w:lvlText w:val="%8."/>
      <w:lvlJc w:val="left"/>
      <w:pPr>
        <w:ind w:left="5760" w:hanging="360"/>
      </w:pPr>
    </w:lvl>
    <w:lvl w:ilvl="8" w:tplc="AEF8D0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9C0E6E7C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6CEA58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708090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E4011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12D37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9688FE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3EB88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D46B18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E4553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CBC4963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6C618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32BAD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6A960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B41E2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3E644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D45B1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48BB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04692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E112344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E8EB8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18FDD4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F4D74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86EF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CA0528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3890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647ED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CA2996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36DE43BE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9672B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AAC6F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1E789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987EF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9CF24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92B6D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83C52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90CE3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A6E89EDA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2CD90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44E41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EA33A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8AADF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EE0B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E00F1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50CF4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AAD89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6FA226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2CD48A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E86BCC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CEF2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EE0C9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769D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54C2F8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D2FE1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1EA26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D4A49C8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3AF54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22664A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D6DC6E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A0E306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30DCB4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783A08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BC146A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D02BE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B6D46D4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00FC16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0FE5E4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EAABFBC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5A6A45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B4AD8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F4F62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AE47FA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32A1FFC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6516925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48D4A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001F6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FEE5D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4CA95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6555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EEB05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B4F6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9EF2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6A32566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2C87D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8E8E6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5663E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4E5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AE292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502FB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1A59D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C2411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BEE29B8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A4091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4E396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A27C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F8ED1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4E1EC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ACAE2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AA115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4CEA6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0988F2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5E458C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20C29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74573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6CE1C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84237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9CB78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70C14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EC6D6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F29A7FD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2067A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CE5A7E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5CA60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7E7F7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10BEF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AD4F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249B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C068C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9300F8D6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EFD6834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483BD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280A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9EC97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AA279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2242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7AC1E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CE28F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27DA27E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729EB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4612C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64127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6CF2F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EC21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5AD85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30108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AAD88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9C3E827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2E5650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7EDECE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1E8F8E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B8619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766B08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A67832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70913C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58C7FC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5D26E5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96E2C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C6C41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FC0F5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5AA8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CC58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4014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F40F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00DE7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EF8EC7F6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40AD6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FA96FE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510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D0D6FC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2AC68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44AC4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E4BEE2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2C136A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EBD6192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FC8D36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774E45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26A321A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947E64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E3C420A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BDE51E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5A1336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34E9B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26C4717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3006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A4FE64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C4D7D0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DA8F56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8CF59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0A5394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98BB32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A01920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02C21F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C67CF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9CA5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B0DA5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1496D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66403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4A8A2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1A20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5448B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97F0549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0289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5C7CC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B89E3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908BE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F48E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8CB0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72589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C49FC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1514E2CC">
      <w:start w:val="1"/>
      <w:numFmt w:val="decimal"/>
      <w:pStyle w:val="NumPar11"/>
      <w:lvlText w:val="%1."/>
      <w:lvlJc w:val="left"/>
      <w:pPr>
        <w:ind w:left="360" w:hanging="360"/>
      </w:pPr>
    </w:lvl>
    <w:lvl w:ilvl="1" w:tplc="68B0A366" w:tentative="1">
      <w:start w:val="1"/>
      <w:numFmt w:val="lowerLetter"/>
      <w:lvlText w:val="%2."/>
      <w:lvlJc w:val="left"/>
      <w:pPr>
        <w:ind w:left="1080" w:hanging="360"/>
      </w:pPr>
    </w:lvl>
    <w:lvl w:ilvl="2" w:tplc="02862BCA" w:tentative="1">
      <w:start w:val="1"/>
      <w:numFmt w:val="lowerRoman"/>
      <w:lvlText w:val="%3."/>
      <w:lvlJc w:val="right"/>
      <w:pPr>
        <w:ind w:left="1800" w:hanging="180"/>
      </w:pPr>
    </w:lvl>
    <w:lvl w:ilvl="3" w:tplc="547CA866" w:tentative="1">
      <w:start w:val="1"/>
      <w:numFmt w:val="decimal"/>
      <w:lvlText w:val="%4."/>
      <w:lvlJc w:val="left"/>
      <w:pPr>
        <w:ind w:left="2520" w:hanging="360"/>
      </w:pPr>
    </w:lvl>
    <w:lvl w:ilvl="4" w:tplc="E5F46C86" w:tentative="1">
      <w:start w:val="1"/>
      <w:numFmt w:val="lowerLetter"/>
      <w:lvlText w:val="%5."/>
      <w:lvlJc w:val="left"/>
      <w:pPr>
        <w:ind w:left="3240" w:hanging="360"/>
      </w:pPr>
    </w:lvl>
    <w:lvl w:ilvl="5" w:tplc="CF5806A0" w:tentative="1">
      <w:start w:val="1"/>
      <w:numFmt w:val="lowerRoman"/>
      <w:lvlText w:val="%6."/>
      <w:lvlJc w:val="right"/>
      <w:pPr>
        <w:ind w:left="3960" w:hanging="180"/>
      </w:pPr>
    </w:lvl>
    <w:lvl w:ilvl="6" w:tplc="8C8C5E8C" w:tentative="1">
      <w:start w:val="1"/>
      <w:numFmt w:val="decimal"/>
      <w:lvlText w:val="%7."/>
      <w:lvlJc w:val="left"/>
      <w:pPr>
        <w:ind w:left="4680" w:hanging="360"/>
      </w:pPr>
    </w:lvl>
    <w:lvl w:ilvl="7" w:tplc="85161D96" w:tentative="1">
      <w:start w:val="1"/>
      <w:numFmt w:val="lowerLetter"/>
      <w:lvlText w:val="%8."/>
      <w:lvlJc w:val="left"/>
      <w:pPr>
        <w:ind w:left="5400" w:hanging="360"/>
      </w:pPr>
    </w:lvl>
    <w:lvl w:ilvl="8" w:tplc="4F84D7B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CD5283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90CF5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F4EEF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600A9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90E97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E0A75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CAEBD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D4943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1ED25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6CD0CE10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E82F8A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8644EA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2C93DC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D0ECEC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6C73B0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865A62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7A1F7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72E320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9D2F70A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2E6AB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F63C9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7C800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86411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76ED6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84924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7057F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AE957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E6BAF4A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DE9BF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3E6A8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A0A2B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0EA3A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88F24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EE398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08B2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949D6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9274EB1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D6EC6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0EA4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3668C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F0206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26A3B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06DC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46B65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A623B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538C95D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1AA9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60AB8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18E4E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D82B9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A8DF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161BA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7C268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06F05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7850FA1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5260F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6AC14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9469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0A97E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98552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F2D66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B0AF1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C573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4C9ECB2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02191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1082C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A2A4A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36C1E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181D5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C2C99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A40FF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223F5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16C861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9A8D702" w:tentative="1">
      <w:start w:val="1"/>
      <w:numFmt w:val="lowerLetter"/>
      <w:lvlText w:val="%2."/>
      <w:lvlJc w:val="left"/>
      <w:pPr>
        <w:ind w:left="1080" w:hanging="360"/>
      </w:pPr>
    </w:lvl>
    <w:lvl w:ilvl="2" w:tplc="E4FEA554" w:tentative="1">
      <w:start w:val="1"/>
      <w:numFmt w:val="lowerRoman"/>
      <w:lvlText w:val="%3."/>
      <w:lvlJc w:val="right"/>
      <w:pPr>
        <w:ind w:left="1800" w:hanging="180"/>
      </w:pPr>
    </w:lvl>
    <w:lvl w:ilvl="3" w:tplc="3BE2CD9C" w:tentative="1">
      <w:start w:val="1"/>
      <w:numFmt w:val="decimal"/>
      <w:lvlText w:val="%4."/>
      <w:lvlJc w:val="left"/>
      <w:pPr>
        <w:ind w:left="2520" w:hanging="360"/>
      </w:pPr>
    </w:lvl>
    <w:lvl w:ilvl="4" w:tplc="8E8E7412" w:tentative="1">
      <w:start w:val="1"/>
      <w:numFmt w:val="lowerLetter"/>
      <w:lvlText w:val="%5."/>
      <w:lvlJc w:val="left"/>
      <w:pPr>
        <w:ind w:left="3240" w:hanging="360"/>
      </w:pPr>
    </w:lvl>
    <w:lvl w:ilvl="5" w:tplc="58CABA1A" w:tentative="1">
      <w:start w:val="1"/>
      <w:numFmt w:val="lowerRoman"/>
      <w:lvlText w:val="%6."/>
      <w:lvlJc w:val="right"/>
      <w:pPr>
        <w:ind w:left="3960" w:hanging="180"/>
      </w:pPr>
    </w:lvl>
    <w:lvl w:ilvl="6" w:tplc="20768F06" w:tentative="1">
      <w:start w:val="1"/>
      <w:numFmt w:val="decimal"/>
      <w:lvlText w:val="%7."/>
      <w:lvlJc w:val="left"/>
      <w:pPr>
        <w:ind w:left="4680" w:hanging="360"/>
      </w:pPr>
    </w:lvl>
    <w:lvl w:ilvl="7" w:tplc="6CFC9760" w:tentative="1">
      <w:start w:val="1"/>
      <w:numFmt w:val="lowerLetter"/>
      <w:lvlText w:val="%8."/>
      <w:lvlJc w:val="left"/>
      <w:pPr>
        <w:ind w:left="5400" w:hanging="360"/>
      </w:pPr>
    </w:lvl>
    <w:lvl w:ilvl="8" w:tplc="C69010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FFE6CBB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6852F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5C1B7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18A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962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E4798C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9A45B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CC0DE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4AACF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2C88D39C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84692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D0F6DA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7284B2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20CC1C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4A0C0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3683E0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40124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14B57C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E74C0556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CCFC46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5C9C06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1AD7C6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E838FA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046BCC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A05040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02ABD2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A82E90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EA3A45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746FD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EDBA9C04" w:tentative="1">
      <w:start w:val="1"/>
      <w:numFmt w:val="lowerRoman"/>
      <w:lvlText w:val="%3."/>
      <w:lvlJc w:val="right"/>
      <w:pPr>
        <w:ind w:left="1800" w:hanging="180"/>
      </w:pPr>
    </w:lvl>
    <w:lvl w:ilvl="3" w:tplc="F3E6416E" w:tentative="1">
      <w:start w:val="1"/>
      <w:numFmt w:val="decimal"/>
      <w:lvlText w:val="%4."/>
      <w:lvlJc w:val="left"/>
      <w:pPr>
        <w:ind w:left="2520" w:hanging="360"/>
      </w:pPr>
    </w:lvl>
    <w:lvl w:ilvl="4" w:tplc="813AFE02" w:tentative="1">
      <w:start w:val="1"/>
      <w:numFmt w:val="lowerLetter"/>
      <w:lvlText w:val="%5."/>
      <w:lvlJc w:val="left"/>
      <w:pPr>
        <w:ind w:left="3240" w:hanging="360"/>
      </w:pPr>
    </w:lvl>
    <w:lvl w:ilvl="5" w:tplc="2490352C" w:tentative="1">
      <w:start w:val="1"/>
      <w:numFmt w:val="lowerRoman"/>
      <w:lvlText w:val="%6."/>
      <w:lvlJc w:val="right"/>
      <w:pPr>
        <w:ind w:left="3960" w:hanging="180"/>
      </w:pPr>
    </w:lvl>
    <w:lvl w:ilvl="6" w:tplc="2424E5BC" w:tentative="1">
      <w:start w:val="1"/>
      <w:numFmt w:val="decimal"/>
      <w:lvlText w:val="%7."/>
      <w:lvlJc w:val="left"/>
      <w:pPr>
        <w:ind w:left="4680" w:hanging="360"/>
      </w:pPr>
    </w:lvl>
    <w:lvl w:ilvl="7" w:tplc="EFB22208" w:tentative="1">
      <w:start w:val="1"/>
      <w:numFmt w:val="lowerLetter"/>
      <w:lvlText w:val="%8."/>
      <w:lvlJc w:val="left"/>
      <w:pPr>
        <w:ind w:left="5400" w:hanging="360"/>
      </w:pPr>
    </w:lvl>
    <w:lvl w:ilvl="8" w:tplc="E140DD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69346A8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32D7FC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CC0440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4479F8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807240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6CE9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6BDFC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ED56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08B262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66A768E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9C0C62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04A8E2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E0FA48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6E97E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7851C0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E0A938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609D52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00BEA4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978A1836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80654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36BF24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B2DAD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1EE71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7E8024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FA0D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A0D0E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20611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BE8C82E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D68E9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26916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5AC9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58E70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402C1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AC7C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146C1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389D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F46A10A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78E56A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54FDC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AEBE22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8861E2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222026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A60926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FAA546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98D23A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C718624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1AA16E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8E04D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AAAB2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261B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B46D2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063BF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4A60F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98A4D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36F235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B03C9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F4AC8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C0CE1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84E7A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FE2D4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A820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701A8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74E38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B0B482D8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EE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80C08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7E2CB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42042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40499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B283C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43A5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489CE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D4A8E3E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4230D6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F7CFAC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FBEEA7E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5622F3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F9491A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ADEAA2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3ED33A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C74124C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F26DE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E04B9C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128B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3475F4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CC2BC4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14AAB4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4AFCB4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7AA62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FEC28E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AA4A8D1E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F0A4A74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CDA645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CAAEB88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25CCB3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CCE281A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AF4FE08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7123220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B6CCE98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A9B87A6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28B19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DC72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FE9C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A6C7F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7281F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0C9E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D4B8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A6373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B0BCBCF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5A4FC2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F46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943F1C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4CB24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4A763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EECB2C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F20B5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D80F42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3440EA2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4C5B4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DEA6A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3681A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16D6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8EAFC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0C69B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B6466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851A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AC885AB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94B0D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8EBA2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5456E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F8F8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4BEC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AEB03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12D73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38B40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3E5C9F5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0A0CA0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1ECC5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22937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D2846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8624B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FACE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DCAD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30EEA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FA7E51C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SK"/>
    <w:docVar w:name="dvnumam" w:val="230"/>
    <w:docVar w:name="dvpe" w:val="731.820"/>
    <w:docVar w:name="dvrapporteur" w:val="Spravodajcovia: "/>
    <w:docVar w:name="dvstar" w:val="***I"/>
    <w:docVar w:name="dvtitre" w:val="Legislatívne uznesenie Európskeho parlamentu z xx. apríla 2024 o návrhu nariadenia Európskeho parlamentu a Rady, ktorým sa zriaďuje Úrad pre boj proti praniu špinavých peňazí a financovaniu terorizmu a ktorým sa menia nariadenia (EÚ) č. 1093/2010, (EÚ) č. 1094/2010 a (EÚ) č. 1095/2010(COM(2021)0421 – C9-0340/2021 – 2021/0240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A89B5-6566-472D-A343-2ECB18D8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ListBullet4">
    <w:name w:val="List Bullet 4"/>
    <w:basedOn w:val="Normal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qFormat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ous-titreobjet">
    <w:name w:val="Sous-titre objet"/>
    <w:basedOn w:val="Normal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link w:val="FooterCoverPage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Pr>
      <w:rFonts w:eastAsia="Calibri"/>
      <w:sz w:val="24"/>
      <w:szCs w:val="22"/>
      <w:lang w:val="sk-SK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sk-SK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sk-SK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sk-SK" w:eastAsia="en-IE"/>
    </w:rPr>
  </w:style>
  <w:style w:type="numbering" w:customStyle="1" w:styleId="ImportedStyle1">
    <w:name w:val="Imported Style 1"/>
    <w:pPr>
      <w:numPr>
        <w:numId w:val="18"/>
      </w:numPr>
    </w:pPr>
  </w:style>
  <w:style w:type="paragraph" w:customStyle="1" w:styleId="Default">
    <w:name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sk-SK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19"/>
      </w:numPr>
    </w:pPr>
  </w:style>
  <w:style w:type="numbering" w:customStyle="1" w:styleId="ImportedStyle3">
    <w:name w:val="Imported Style 3"/>
    <w:pPr>
      <w:numPr>
        <w:numId w:val="20"/>
      </w:numPr>
    </w:pPr>
  </w:style>
  <w:style w:type="numbering" w:customStyle="1" w:styleId="ImportedStyle4">
    <w:name w:val="Imported Style 4"/>
    <w:pPr>
      <w:numPr>
        <w:numId w:val="21"/>
      </w:numPr>
    </w:pPr>
  </w:style>
  <w:style w:type="numbering" w:customStyle="1" w:styleId="ImportedStyle5">
    <w:name w:val="Imported Style 5"/>
    <w:pPr>
      <w:numPr>
        <w:numId w:val="22"/>
      </w:numPr>
    </w:pPr>
  </w:style>
  <w:style w:type="numbering" w:customStyle="1" w:styleId="ImportedStyle6">
    <w:name w:val="Imported Style 6"/>
    <w:pPr>
      <w:numPr>
        <w:numId w:val="23"/>
      </w:numPr>
    </w:pPr>
  </w:style>
  <w:style w:type="numbering" w:customStyle="1" w:styleId="ImportedStyle7">
    <w:name w:val="Imported Style 7"/>
    <w:pPr>
      <w:numPr>
        <w:numId w:val="24"/>
      </w:numPr>
    </w:pPr>
  </w:style>
  <w:style w:type="numbering" w:customStyle="1" w:styleId="ImportedStyle8">
    <w:name w:val="Imported Style 8"/>
    <w:pPr>
      <w:numPr>
        <w:numId w:val="25"/>
      </w:numPr>
    </w:pPr>
  </w:style>
  <w:style w:type="numbering" w:customStyle="1" w:styleId="ImportedStyle9">
    <w:name w:val="Imported Style 9"/>
    <w:pPr>
      <w:numPr>
        <w:numId w:val="26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numbering" w:customStyle="1" w:styleId="ImportedStyle11">
    <w:name w:val="Imported Style 11"/>
    <w:pPr>
      <w:numPr>
        <w:numId w:val="28"/>
      </w:numPr>
    </w:pPr>
  </w:style>
  <w:style w:type="numbering" w:customStyle="1" w:styleId="ImportedStyle12">
    <w:name w:val="Imported Style 12"/>
    <w:pPr>
      <w:numPr>
        <w:numId w:val="29"/>
      </w:numPr>
    </w:pPr>
  </w:style>
  <w:style w:type="numbering" w:customStyle="1" w:styleId="ImportedStyle13">
    <w:name w:val="Imported Style 13"/>
    <w:pPr>
      <w:numPr>
        <w:numId w:val="30"/>
      </w:numPr>
    </w:pPr>
  </w:style>
  <w:style w:type="numbering" w:customStyle="1" w:styleId="ImportedStyle14">
    <w:name w:val="Imported Style 14"/>
    <w:pPr>
      <w:numPr>
        <w:numId w:val="31"/>
      </w:numPr>
    </w:pPr>
  </w:style>
  <w:style w:type="numbering" w:customStyle="1" w:styleId="ImportedStyle15">
    <w:name w:val="Imported Style 15"/>
    <w:pPr>
      <w:numPr>
        <w:numId w:val="32"/>
      </w:numPr>
    </w:pPr>
  </w:style>
  <w:style w:type="numbering" w:customStyle="1" w:styleId="ImportedStyle16">
    <w:name w:val="Imported Style 16"/>
    <w:pPr>
      <w:numPr>
        <w:numId w:val="33"/>
      </w:numPr>
    </w:pPr>
  </w:style>
  <w:style w:type="numbering" w:customStyle="1" w:styleId="ImportedStyle17">
    <w:name w:val="Imported Style 17"/>
    <w:pPr>
      <w:numPr>
        <w:numId w:val="34"/>
      </w:numPr>
    </w:pPr>
  </w:style>
  <w:style w:type="numbering" w:customStyle="1" w:styleId="ImportedStyle18">
    <w:name w:val="Imported Style 18"/>
    <w:pPr>
      <w:numPr>
        <w:numId w:val="35"/>
      </w:numPr>
    </w:pPr>
  </w:style>
  <w:style w:type="numbering" w:customStyle="1" w:styleId="ImportedStyle19">
    <w:name w:val="Imported Style 19"/>
    <w:pPr>
      <w:numPr>
        <w:numId w:val="36"/>
      </w:numPr>
    </w:pPr>
  </w:style>
  <w:style w:type="numbering" w:customStyle="1" w:styleId="ImportedStyle20">
    <w:name w:val="Imported Style 20"/>
    <w:pPr>
      <w:numPr>
        <w:numId w:val="37"/>
      </w:numPr>
    </w:pPr>
  </w:style>
  <w:style w:type="numbering" w:customStyle="1" w:styleId="ImportedStyle21">
    <w:name w:val="Imported Style 21"/>
    <w:pPr>
      <w:numPr>
        <w:numId w:val="38"/>
      </w:numPr>
    </w:pPr>
  </w:style>
  <w:style w:type="numbering" w:customStyle="1" w:styleId="ImportedStyle22">
    <w:name w:val="Imported Style 22"/>
    <w:pPr>
      <w:numPr>
        <w:numId w:val="39"/>
      </w:numPr>
    </w:pPr>
  </w:style>
  <w:style w:type="paragraph" w:customStyle="1" w:styleId="CM4">
    <w:name w:val="CM4"/>
    <w:next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sk-SK" w:eastAsia="en-IE"/>
    </w:rPr>
  </w:style>
  <w:style w:type="numbering" w:customStyle="1" w:styleId="ImportedStyle23">
    <w:name w:val="Imported Style 23"/>
    <w:pPr>
      <w:numPr>
        <w:numId w:val="40"/>
      </w:numPr>
    </w:pPr>
  </w:style>
  <w:style w:type="numbering" w:customStyle="1" w:styleId="ImportedStyle24">
    <w:name w:val="Imported Style 24"/>
    <w:pPr>
      <w:numPr>
        <w:numId w:val="41"/>
      </w:numPr>
    </w:pPr>
  </w:style>
  <w:style w:type="numbering" w:customStyle="1" w:styleId="ImportedStyle25">
    <w:name w:val="Imported Style 25"/>
    <w:pPr>
      <w:numPr>
        <w:numId w:val="42"/>
      </w:numPr>
    </w:pPr>
  </w:style>
  <w:style w:type="numbering" w:customStyle="1" w:styleId="ImportedStyle26">
    <w:name w:val="Imported Style 26"/>
    <w:pPr>
      <w:numPr>
        <w:numId w:val="43"/>
      </w:numPr>
    </w:pPr>
  </w:style>
  <w:style w:type="numbering" w:customStyle="1" w:styleId="ImportedStyle27">
    <w:name w:val="Imported Style 27"/>
    <w:pPr>
      <w:numPr>
        <w:numId w:val="44"/>
      </w:numPr>
    </w:pPr>
  </w:style>
  <w:style w:type="numbering" w:customStyle="1" w:styleId="ImportedStyle28">
    <w:name w:val="Imported Style 28"/>
    <w:pPr>
      <w:numPr>
        <w:numId w:val="45"/>
      </w:numPr>
    </w:pPr>
  </w:style>
  <w:style w:type="numbering" w:customStyle="1" w:styleId="ImportedStyle29">
    <w:name w:val="Imported Style 29"/>
    <w:pPr>
      <w:numPr>
        <w:numId w:val="82"/>
      </w:numPr>
    </w:pPr>
  </w:style>
  <w:style w:type="numbering" w:customStyle="1" w:styleId="ImportedStyle30">
    <w:name w:val="Imported Style 30"/>
    <w:pPr>
      <w:numPr>
        <w:numId w:val="79"/>
      </w:numPr>
    </w:pPr>
  </w:style>
  <w:style w:type="numbering" w:customStyle="1" w:styleId="ImportedStyle31">
    <w:name w:val="Imported Style 31"/>
    <w:pPr>
      <w:numPr>
        <w:numId w:val="80"/>
      </w:numPr>
    </w:pPr>
  </w:style>
  <w:style w:type="numbering" w:customStyle="1" w:styleId="ImportedStyle32">
    <w:name w:val="Imported Style 32"/>
    <w:pPr>
      <w:numPr>
        <w:numId w:val="76"/>
      </w:numPr>
    </w:pPr>
  </w:style>
  <w:style w:type="numbering" w:customStyle="1" w:styleId="ImportedStyle33">
    <w:name w:val="Imported Style 33"/>
    <w:pPr>
      <w:numPr>
        <w:numId w:val="46"/>
      </w:numPr>
    </w:pPr>
  </w:style>
  <w:style w:type="numbering" w:customStyle="1" w:styleId="ImportedStyle34">
    <w:name w:val="Imported Style 34"/>
    <w:pPr>
      <w:numPr>
        <w:numId w:val="47"/>
      </w:numPr>
    </w:pPr>
  </w:style>
  <w:style w:type="numbering" w:customStyle="1" w:styleId="ImportedStyle35">
    <w:name w:val="Imported Style 35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link w:val="ListParagraphChar"/>
    <w:uiPriority w:val="34"/>
    <w:qFormat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sk-SK" w:eastAsia="en-IE"/>
    </w:rPr>
  </w:style>
  <w:style w:type="numbering" w:customStyle="1" w:styleId="ImportedStyle37">
    <w:name w:val="Imported Style 37"/>
    <w:pPr>
      <w:numPr>
        <w:numId w:val="49"/>
      </w:numPr>
    </w:pPr>
  </w:style>
  <w:style w:type="numbering" w:customStyle="1" w:styleId="ImportedStyle38">
    <w:name w:val="Imported Style 38"/>
    <w:pPr>
      <w:numPr>
        <w:numId w:val="50"/>
      </w:numPr>
    </w:pPr>
  </w:style>
  <w:style w:type="numbering" w:customStyle="1" w:styleId="ImportedStyle39">
    <w:name w:val="Imported Style 39"/>
    <w:pPr>
      <w:numPr>
        <w:numId w:val="51"/>
      </w:numPr>
    </w:pPr>
  </w:style>
  <w:style w:type="numbering" w:customStyle="1" w:styleId="ImportedStyle40">
    <w:name w:val="Imported Style 40"/>
    <w:pPr>
      <w:numPr>
        <w:numId w:val="77"/>
      </w:numPr>
    </w:pPr>
  </w:style>
  <w:style w:type="numbering" w:customStyle="1" w:styleId="ImportedStyle41">
    <w:name w:val="Imported Style 41"/>
    <w:pPr>
      <w:numPr>
        <w:numId w:val="52"/>
      </w:numPr>
    </w:pPr>
  </w:style>
  <w:style w:type="numbering" w:customStyle="1" w:styleId="ImportedStyle42">
    <w:name w:val="Imported Style 42"/>
    <w:pPr>
      <w:numPr>
        <w:numId w:val="81"/>
      </w:numPr>
    </w:pPr>
  </w:style>
  <w:style w:type="numbering" w:customStyle="1" w:styleId="ImportedStyle43">
    <w:name w:val="Imported Style 43"/>
    <w:pPr>
      <w:numPr>
        <w:numId w:val="53"/>
      </w:numPr>
    </w:pPr>
  </w:style>
  <w:style w:type="numbering" w:customStyle="1" w:styleId="ImportedStyle44">
    <w:name w:val="Imported Style 44"/>
  </w:style>
  <w:style w:type="numbering" w:customStyle="1" w:styleId="ImportedStyle45">
    <w:name w:val="Imported Style 45"/>
    <w:pPr>
      <w:numPr>
        <w:numId w:val="66"/>
      </w:numPr>
    </w:pPr>
  </w:style>
  <w:style w:type="numbering" w:customStyle="1" w:styleId="ImportedStyle46">
    <w:name w:val="Imported Style 46"/>
    <w:pPr>
      <w:numPr>
        <w:numId w:val="55"/>
      </w:numPr>
    </w:pPr>
  </w:style>
  <w:style w:type="numbering" w:customStyle="1" w:styleId="ImportedStyle47">
    <w:name w:val="Imported Style 47"/>
    <w:pPr>
      <w:numPr>
        <w:numId w:val="67"/>
      </w:numPr>
    </w:pPr>
  </w:style>
  <w:style w:type="numbering" w:customStyle="1" w:styleId="ImportedStyle48">
    <w:name w:val="Imported Style 48"/>
    <w:pPr>
      <w:numPr>
        <w:numId w:val="56"/>
      </w:numPr>
    </w:pPr>
  </w:style>
  <w:style w:type="numbering" w:customStyle="1" w:styleId="ImportedStyle36">
    <w:name w:val="Imported Style 36"/>
    <w:pPr>
      <w:numPr>
        <w:numId w:val="68"/>
      </w:numPr>
    </w:pPr>
  </w:style>
  <w:style w:type="numbering" w:customStyle="1" w:styleId="ImportedStyle49">
    <w:name w:val="Imported Style 49"/>
  </w:style>
  <w:style w:type="numbering" w:customStyle="1" w:styleId="ImportedStyle50">
    <w:name w:val="Imported Style 50"/>
  </w:style>
  <w:style w:type="numbering" w:customStyle="1" w:styleId="ImportedStyle51">
    <w:name w:val="Imported Style 51"/>
    <w:pPr>
      <w:numPr>
        <w:numId w:val="57"/>
      </w:numPr>
    </w:pPr>
  </w:style>
  <w:style w:type="numbering" w:customStyle="1" w:styleId="ImportedStyle52">
    <w:name w:val="Imported Style 52"/>
    <w:pPr>
      <w:numPr>
        <w:numId w:val="58"/>
      </w:numPr>
    </w:pPr>
  </w:style>
  <w:style w:type="numbering" w:customStyle="1" w:styleId="ImportedStyle53">
    <w:name w:val="Imported Style 53"/>
    <w:pPr>
      <w:numPr>
        <w:numId w:val="59"/>
      </w:numPr>
    </w:pPr>
  </w:style>
  <w:style w:type="numbering" w:customStyle="1" w:styleId="ImportedStyle54">
    <w:name w:val="Imported Style 54"/>
    <w:pPr>
      <w:numPr>
        <w:numId w:val="78"/>
      </w:numPr>
    </w:pPr>
  </w:style>
  <w:style w:type="numbering" w:customStyle="1" w:styleId="ImportedStyle55">
    <w:name w:val="Imported Style 55"/>
    <w:pPr>
      <w:numPr>
        <w:numId w:val="60"/>
      </w:numPr>
    </w:pPr>
  </w:style>
  <w:style w:type="numbering" w:customStyle="1" w:styleId="ImportedStyle56">
    <w:name w:val="Imported Style 56"/>
    <w:pPr>
      <w:numPr>
        <w:numId w:val="61"/>
      </w:numPr>
    </w:pPr>
  </w:style>
  <w:style w:type="numbering" w:customStyle="1" w:styleId="ImportedStyle57">
    <w:name w:val="Imported Style 57"/>
    <w:pPr>
      <w:numPr>
        <w:numId w:val="62"/>
      </w:numPr>
    </w:pPr>
  </w:style>
  <w:style w:type="numbering" w:customStyle="1" w:styleId="ImportedStyle58">
    <w:name w:val="Imported Style 58"/>
    <w:pPr>
      <w:numPr>
        <w:numId w:val="63"/>
      </w:numPr>
    </w:pPr>
  </w:style>
  <w:style w:type="numbering" w:customStyle="1" w:styleId="ImportedStyle59">
    <w:name w:val="Imported Style 59"/>
    <w:pPr>
      <w:numPr>
        <w:numId w:val="64"/>
      </w:numPr>
    </w:pPr>
  </w:style>
  <w:style w:type="numbering" w:customStyle="1" w:styleId="ImportedStyle60">
    <w:name w:val="Imported Style 60"/>
    <w:pPr>
      <w:numPr>
        <w:numId w:val="54"/>
      </w:numPr>
    </w:pPr>
  </w:style>
  <w:style w:type="numbering" w:customStyle="1" w:styleId="ImportedStyle61">
    <w:name w:val="Imported Style 61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Pr>
      <w:color w:val="000000"/>
      <w:sz w:val="24"/>
      <w:szCs w:val="24"/>
      <w:u w:color="000000"/>
      <w:bdr w:val="nil"/>
      <w:lang w:val="sk-SK" w:eastAsia="en-IE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Style1">
    <w:name w:val="Style1"/>
    <w:basedOn w:val="Text1"/>
    <w:qFormat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sk-SK" w:eastAsia="en-US"/>
    </w:rPr>
  </w:style>
  <w:style w:type="paragraph" w:customStyle="1" w:styleId="CM1">
    <w:name w:val="CM1"/>
    <w:basedOn w:val="Default"/>
    <w:next w:val="Default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Tetxt1">
    <w:name w:val="Tetxt 1"/>
    <w:basedOn w:val="Normal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</w:style>
  <w:style w:type="paragraph" w:customStyle="1" w:styleId="Numbpar">
    <w:name w:val="Numb par"/>
    <w:basedOn w:val="ManualNumbpar"/>
  </w:style>
  <w:style w:type="paragraph" w:customStyle="1" w:styleId="Numbpar1">
    <w:name w:val="Numb par 1"/>
    <w:basedOn w:val="ManualNumbpar"/>
  </w:style>
  <w:style w:type="paragraph" w:customStyle="1" w:styleId="Point1letter0">
    <w:name w:val="Point 1 letter"/>
    <w:basedOn w:val="NormalWeb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Pr>
      <w:vertAlign w:val="superscript"/>
    </w:rPr>
  </w:style>
  <w:style w:type="paragraph" w:customStyle="1" w:styleId="NormalBoldItalicCenter6a">
    <w:name w:val="NormalBoldItalicCenter6a"/>
    <w:basedOn w:val="Normal6a"/>
    <w:qFormat/>
    <w:pPr>
      <w:jc w:val="center"/>
    </w:pPr>
    <w:rPr>
      <w:b/>
      <w:i/>
    </w:rPr>
  </w:style>
  <w:style w:type="paragraph" w:styleId="NoSpacing">
    <w:name w:val="No Spacing"/>
    <w:uiPriority w:val="1"/>
    <w:qFormat/>
    <w:pPr>
      <w:widowControl w:val="0"/>
    </w:pPr>
    <w:rPr>
      <w:sz w:val="24"/>
      <w:szCs w:val="24"/>
      <w:lang w:val="sk-SK"/>
    </w:rPr>
  </w:style>
  <w:style w:type="character" w:customStyle="1" w:styleId="SupBoldItalic">
    <w:name w:val="SupBoldItalic"/>
    <w:uiPriority w:val="1"/>
    <w:qFormat/>
    <w:rPr>
      <w:b/>
      <w:i/>
      <w:vertAlign w:val="superscript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</w:style>
  <w:style w:type="character" w:customStyle="1" w:styleId="lexicoexa">
    <w:name w:val="lexico_exa"/>
    <w:basedOn w:val="DefaultParagraphFont"/>
  </w:style>
  <w:style w:type="character" w:customStyle="1" w:styleId="lexicolabelgrp">
    <w:name w:val="lexico_labelgrp"/>
    <w:basedOn w:val="DefaultParagraphFont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1DFDD"/>
    </w:rPr>
  </w:style>
  <w:style w:type="paragraph" w:customStyle="1" w:styleId="pf0">
    <w:name w:val="pf0"/>
    <w:basedOn w:val="Normal"/>
    <w:pPr>
      <w:widowControl/>
      <w:spacing w:before="100" w:beforeAutospacing="1" w:after="100" w:afterAutospacing="1"/>
    </w:pPr>
    <w:rPr>
      <w:szCs w:val="24"/>
      <w:lang w:val="fr-BE" w:eastAsia="ko-KR"/>
    </w:rPr>
  </w:style>
  <w:style w:type="character" w:customStyle="1" w:styleId="cf01">
    <w:name w:val="cf01"/>
    <w:basedOn w:val="DefaultParagraphFont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68FED-1C8B-4914-9594-81D667E4A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3</cp:revision>
  <cp:lastPrinted>2004-11-19T15:42:00Z</cp:lastPrinted>
  <dcterms:created xsi:type="dcterms:W3CDTF">2024-04-29T12:21:00Z</dcterms:created>
  <dcterms:modified xsi:type="dcterms:W3CDTF">2024-09-09T13:00:00Z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A9-0128/2023</vt:lpwstr>
  </property>
  <property fmtid="{D5CDD505-2E9C-101B-9397-08002B2CF9AE}" pid="4" name="&lt;Type&gt;">
    <vt:lpwstr>RR</vt:lpwstr>
  </property>
</Properties>
</file>