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0126" w:rsidTr="0010095E">
        <w:trPr>
          <w:trHeight w:hRule="exact" w:val="1418"/>
        </w:trPr>
        <w:tc>
          <w:tcPr>
            <w:tcW w:w="6804" w:type="dxa"/>
            <w:shd w:val="clear" w:color="auto" w:fill="auto"/>
            <w:vAlign w:val="center"/>
          </w:tcPr>
          <w:p w:rsidR="00751A4A" w:rsidRPr="00A00126" w:rsidRDefault="00943C70" w:rsidP="0010095E">
            <w:pPr>
              <w:pStyle w:val="EPName"/>
            </w:pPr>
            <w:r w:rsidRPr="00A00126">
              <w:t>Европейски</w:t>
            </w:r>
            <w:r w:rsidR="00125010" w:rsidRPr="00A00126">
              <w:t xml:space="preserve"> парламент</w:t>
            </w:r>
          </w:p>
          <w:p w:rsidR="00751A4A" w:rsidRPr="00A00126" w:rsidRDefault="00943C70" w:rsidP="00756632">
            <w:pPr>
              <w:pStyle w:val="EPTerm"/>
              <w:rPr>
                <w:rStyle w:val="HideTWBExt"/>
                <w:noProof w:val="0"/>
                <w:vanish w:val="0"/>
                <w:color w:val="auto"/>
              </w:rPr>
            </w:pPr>
            <w:r>
              <w:t>2019 – </w:t>
            </w:r>
            <w:r w:rsidR="00817416" w:rsidRPr="00A00126">
              <w:t>2024</w:t>
            </w:r>
          </w:p>
        </w:tc>
        <w:tc>
          <w:tcPr>
            <w:tcW w:w="2268" w:type="dxa"/>
            <w:shd w:val="clear" w:color="auto" w:fill="auto"/>
          </w:tcPr>
          <w:p w:rsidR="00751A4A" w:rsidRPr="00A00126" w:rsidRDefault="00187494" w:rsidP="0010095E">
            <w:pPr>
              <w:pStyle w:val="EPLogo"/>
            </w:pPr>
            <w:r w:rsidRPr="00A00126">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0126" w:rsidRDefault="00D058B8" w:rsidP="004C5D52">
      <w:pPr>
        <w:pStyle w:val="LineTop"/>
      </w:pPr>
    </w:p>
    <w:p w:rsidR="00680577" w:rsidRPr="00A00126" w:rsidRDefault="00125010" w:rsidP="00680577">
      <w:pPr>
        <w:pStyle w:val="EPBodyTA1"/>
      </w:pPr>
      <w:r w:rsidRPr="00A00126">
        <w:t>ПРИЕТИ ТЕКСТОВЕ</w:t>
      </w:r>
    </w:p>
    <w:p w:rsidR="00D058B8" w:rsidRPr="00A00126" w:rsidRDefault="00D058B8" w:rsidP="00D058B8">
      <w:pPr>
        <w:pStyle w:val="LineBottom"/>
      </w:pPr>
    </w:p>
    <w:p w:rsidR="00125010" w:rsidRPr="00BE20C0" w:rsidRDefault="00125010" w:rsidP="000F04D2">
      <w:pPr>
        <w:pStyle w:val="ATHeading1"/>
        <w:rPr>
          <w:lang w:val="fr-FR"/>
        </w:rPr>
      </w:pPr>
      <w:bookmarkStart w:id="0" w:name="TANumber"/>
      <w:r w:rsidRPr="00A00126">
        <w:t>P9_TA(2024)</w:t>
      </w:r>
      <w:bookmarkEnd w:id="0"/>
      <w:r w:rsidR="000F04D2" w:rsidRPr="00A00126">
        <w:t>0</w:t>
      </w:r>
      <w:r w:rsidR="000F04D2">
        <w:rPr>
          <w:lang w:val="fr-FR"/>
        </w:rPr>
        <w:t>367</w:t>
      </w:r>
    </w:p>
    <w:p w:rsidR="00125010" w:rsidRPr="00A00126" w:rsidRDefault="00125010" w:rsidP="00125010">
      <w:pPr>
        <w:pStyle w:val="ATHeading2"/>
      </w:pPr>
      <w:bookmarkStart w:id="1" w:name="title"/>
      <w:r w:rsidRPr="00A00126">
        <w:t>Текущи изслушвания по член 7, параграф 1 от ДЕС по отношение на Унгария за укрепване на правовата държава и отражението им върху бюджета</w:t>
      </w:r>
      <w:bookmarkEnd w:id="1"/>
    </w:p>
    <w:p w:rsidR="00125010" w:rsidRPr="00A00126" w:rsidRDefault="00125010" w:rsidP="00125010">
      <w:pPr>
        <w:rPr>
          <w:i/>
          <w:vanish/>
        </w:rPr>
      </w:pPr>
      <w:r w:rsidRPr="00A00126">
        <w:rPr>
          <w:i/>
        </w:rPr>
        <w:fldChar w:fldCharType="begin"/>
      </w:r>
      <w:r w:rsidRPr="00A00126">
        <w:rPr>
          <w:i/>
        </w:rPr>
        <w:instrText xml:space="preserve"> TC"(</w:instrText>
      </w:r>
      <w:bookmarkStart w:id="2" w:name="DocNumber"/>
      <w:r w:rsidRPr="00A00126">
        <w:rPr>
          <w:i/>
        </w:rPr>
        <w:instrText>B9-0223/2024</w:instrText>
      </w:r>
      <w:bookmarkEnd w:id="2"/>
      <w:r w:rsidRPr="00A00126">
        <w:rPr>
          <w:i/>
        </w:rPr>
        <w:instrText xml:space="preserve">)"\l3 \n&gt; \* MERGEFORMAT </w:instrText>
      </w:r>
      <w:r w:rsidRPr="00A00126">
        <w:rPr>
          <w:i/>
        </w:rPr>
        <w:fldChar w:fldCharType="end"/>
      </w:r>
    </w:p>
    <w:p w:rsidR="00125010" w:rsidRPr="00A00126" w:rsidRDefault="00125010" w:rsidP="00125010">
      <w:pPr>
        <w:rPr>
          <w:vanish/>
        </w:rPr>
      </w:pPr>
      <w:bookmarkStart w:id="3" w:name="PE"/>
      <w:r w:rsidRPr="00A00126">
        <w:rPr>
          <w:vanish/>
        </w:rPr>
        <w:t>PE760.687</w:t>
      </w:r>
      <w:bookmarkEnd w:id="3"/>
    </w:p>
    <w:p w:rsidR="00125010" w:rsidRPr="00A00126" w:rsidRDefault="00125010" w:rsidP="00125010">
      <w:pPr>
        <w:pStyle w:val="ATHeading3"/>
      </w:pPr>
      <w:bookmarkStart w:id="4" w:name="Sujet"/>
      <w:r w:rsidRPr="00A00126">
        <w:t xml:space="preserve">Резолюция на Европейския парламент от </w:t>
      </w:r>
      <w:r w:rsidR="006F3379">
        <w:t>24 април</w:t>
      </w:r>
      <w:r w:rsidR="006F3379" w:rsidRPr="00A00126">
        <w:t xml:space="preserve"> </w:t>
      </w:r>
      <w:r w:rsidRPr="00A00126">
        <w:t xml:space="preserve">2024 г. относно текущите изслушвания по член 7, параграф 1 от ДЕС по отношение на Унгария за укрепване на правовата държава и отражението им върху бюджета </w:t>
      </w:r>
      <w:bookmarkStart w:id="5" w:name="References"/>
      <w:bookmarkEnd w:id="4"/>
      <w:r w:rsidRPr="00A00126">
        <w:t>(2024/2683(RSP))</w:t>
      </w:r>
      <w:bookmarkEnd w:id="5"/>
    </w:p>
    <w:p w:rsidR="00C65205" w:rsidRPr="00A00126" w:rsidRDefault="00C65205" w:rsidP="00C65205">
      <w:pPr>
        <w:pStyle w:val="NormalHanging12a"/>
      </w:pPr>
      <w:bookmarkStart w:id="6" w:name="TextBodyBegin"/>
      <w:bookmarkEnd w:id="6"/>
      <w:r w:rsidRPr="00A00126">
        <w:rPr>
          <w:i/>
        </w:rPr>
        <w:t>Европейският парламент</w:t>
      </w:r>
      <w:r w:rsidRPr="00A00126">
        <w:t>,</w:t>
      </w:r>
    </w:p>
    <w:p w:rsidR="00C65205" w:rsidRPr="00A00126" w:rsidRDefault="00C65205" w:rsidP="00C65205">
      <w:pPr>
        <w:pStyle w:val="NormalHanging12a"/>
        <w:rPr>
          <w:szCs w:val="24"/>
        </w:rPr>
      </w:pPr>
      <w:r w:rsidRPr="00A00126">
        <w:t>–</w:t>
      </w:r>
      <w:r w:rsidRPr="00A00126">
        <w:tab/>
        <w:t>като взе предвид Договора за Европейския съюз (ДЕС), и по-специално член 2, член 4, параграф 3 и член 7, параграф 1 от него,</w:t>
      </w:r>
    </w:p>
    <w:p w:rsidR="00C65205" w:rsidRPr="00A00126" w:rsidRDefault="00C65205" w:rsidP="00C65205">
      <w:pPr>
        <w:pStyle w:val="NormalHanging12a"/>
        <w:rPr>
          <w:szCs w:val="24"/>
        </w:rPr>
      </w:pPr>
      <w:r w:rsidRPr="00A00126">
        <w:t>–</w:t>
      </w:r>
      <w:r w:rsidRPr="00A00126">
        <w:tab/>
        <w:t>като взе предвид Хартата на основните права на Европейския съюз (наричана по-нататък „Хартата“),</w:t>
      </w:r>
    </w:p>
    <w:p w:rsidR="00C65205" w:rsidRPr="00A00126" w:rsidRDefault="00C65205" w:rsidP="00C65205">
      <w:pPr>
        <w:pStyle w:val="NormalHanging12a"/>
        <w:rPr>
          <w:szCs w:val="24"/>
        </w:rPr>
      </w:pPr>
      <w:r w:rsidRPr="00A00126">
        <w:t>–</w:t>
      </w:r>
      <w:r w:rsidRPr="00A00126">
        <w:tab/>
        <w:t>като взе предвид Европейската конвенция за защита на правата на човека и основните свободи и протоколите към нея,</w:t>
      </w:r>
    </w:p>
    <w:p w:rsidR="00C65205" w:rsidRPr="00A00126" w:rsidRDefault="00C65205" w:rsidP="00C65205">
      <w:pPr>
        <w:pStyle w:val="NormalHanging12a"/>
        <w:rPr>
          <w:szCs w:val="24"/>
        </w:rPr>
      </w:pPr>
      <w:r w:rsidRPr="00A00126">
        <w:t>–</w:t>
      </w:r>
      <w:r w:rsidRPr="00A00126">
        <w:tab/>
        <w:t>като взе предвид Всеобщата декларация за правата на човека,</w:t>
      </w:r>
    </w:p>
    <w:p w:rsidR="00C65205" w:rsidRPr="00A00126" w:rsidRDefault="00C65205" w:rsidP="00C65205">
      <w:pPr>
        <w:pStyle w:val="NormalHanging12a"/>
        <w:rPr>
          <w:szCs w:val="24"/>
        </w:rPr>
      </w:pPr>
      <w:r w:rsidRPr="00A00126">
        <w:t>–</w:t>
      </w:r>
      <w:r w:rsidRPr="00A00126">
        <w:tab/>
        <w:t>като взе предвид международните договори за правата на човека на ООН и на Съвета на Европа,</w:t>
      </w:r>
    </w:p>
    <w:p w:rsidR="00C65205" w:rsidRPr="00A00126" w:rsidRDefault="00C65205" w:rsidP="00C65205">
      <w:pPr>
        <w:pStyle w:val="NormalHanging12a"/>
        <w:rPr>
          <w:szCs w:val="24"/>
        </w:rPr>
      </w:pPr>
      <w:r w:rsidRPr="00A00126">
        <w:t>–</w:t>
      </w:r>
      <w:r w:rsidRPr="00A00126">
        <w:tab/>
        <w:t>като взе предвид контролния списък на принципите на правовата държава, приет от Венецианската комисия на 106-ото ѝ пленарно заседание във Венеция на 11 и 12 март 2016 г.,</w:t>
      </w:r>
    </w:p>
    <w:p w:rsidR="00C65205" w:rsidRPr="00A00126" w:rsidRDefault="00C65205" w:rsidP="00C65205">
      <w:pPr>
        <w:pStyle w:val="NormalHanging12a"/>
        <w:rPr>
          <w:szCs w:val="24"/>
        </w:rPr>
      </w:pPr>
      <w:r w:rsidRPr="00A00126">
        <w:t>–</w:t>
      </w:r>
      <w:r w:rsidRPr="00A00126">
        <w:tab/>
        <w:t>като взе предвид своята резолюция от 12 септември 2018 г. относно предложение, с което Съветът се призовава да констатира, в съответствие с член 7, параграф 1 от Договора за Европейския съюз, наличието на очевиден риск от тежко нарушение от страна на Унгария на ценностите, на които се основава Съюзът</w:t>
      </w:r>
      <w:r w:rsidRPr="00A00126">
        <w:rPr>
          <w:rStyle w:val="FootnoteReference"/>
          <w:szCs w:val="24"/>
        </w:rPr>
        <w:footnoteReference w:id="1"/>
      </w:r>
      <w:r w:rsidRPr="00A00126">
        <w:t>,</w:t>
      </w:r>
    </w:p>
    <w:p w:rsidR="00C65205" w:rsidRPr="00A00126" w:rsidRDefault="00C65205" w:rsidP="00C65205">
      <w:pPr>
        <w:pStyle w:val="NormalHanging12a"/>
        <w:rPr>
          <w:szCs w:val="24"/>
        </w:rPr>
      </w:pPr>
      <w:r w:rsidRPr="00A00126">
        <w:t>–</w:t>
      </w:r>
      <w:r w:rsidRPr="00A00126">
        <w:tab/>
        <w:t xml:space="preserve">като взе предвид Регламент (ЕС, </w:t>
      </w:r>
      <w:proofErr w:type="spellStart"/>
      <w:r w:rsidRPr="00A00126">
        <w:t>Евратом</w:t>
      </w:r>
      <w:proofErr w:type="spellEnd"/>
      <w:r w:rsidRPr="00A00126">
        <w:t xml:space="preserve">) 2020/2092 на Европейския парламент и на Съвета от 16 декември 2020 г. относно общ режим на обвързаност с условия за </w:t>
      </w:r>
      <w:r w:rsidRPr="00A00126">
        <w:lastRenderedPageBreak/>
        <w:t>защита на бюджета на Съюза</w:t>
      </w:r>
      <w:r w:rsidRPr="00A00126">
        <w:rPr>
          <w:rStyle w:val="FootnoteReference"/>
          <w:szCs w:val="24"/>
        </w:rPr>
        <w:footnoteReference w:id="2"/>
      </w:r>
      <w:r w:rsidRPr="00A00126">
        <w:t xml:space="preserve"> („Регламент относно обвързаността с условия“),</w:t>
      </w:r>
    </w:p>
    <w:p w:rsidR="00C65205" w:rsidRPr="00A00126" w:rsidRDefault="00C65205" w:rsidP="00C65205">
      <w:pPr>
        <w:pStyle w:val="NormalHanging12a"/>
        <w:rPr>
          <w:szCs w:val="24"/>
        </w:rPr>
      </w:pPr>
      <w:r w:rsidRPr="00A00126">
        <w:t>–</w:t>
      </w:r>
      <w:r w:rsidRPr="00A00126">
        <w:tab/>
        <w:t>като взе предвид Решение C(2023)</w:t>
      </w:r>
      <w:r w:rsidR="00A6261C">
        <w:t xml:space="preserve"> </w:t>
      </w:r>
      <w:r w:rsidRPr="00A00126">
        <w:t xml:space="preserve">8999 на Комисията от 13 декември 2023 г. относно преоценката, по инициатива на Комисията, на изпълнението на условията по член 4 от Регламент (ЕС, </w:t>
      </w:r>
      <w:proofErr w:type="spellStart"/>
      <w:r w:rsidRPr="00A00126">
        <w:t>Евратом</w:t>
      </w:r>
      <w:proofErr w:type="spellEnd"/>
      <w:r w:rsidRPr="00A00126">
        <w:t>) 2020/2092 след Решение за изпълнение (ЕС) 2022/2506 на Съвета от 15 декември 2022 г. относно Унгария,</w:t>
      </w:r>
    </w:p>
    <w:p w:rsidR="00C65205" w:rsidRPr="00A00126" w:rsidRDefault="00C65205" w:rsidP="00C65205">
      <w:pPr>
        <w:pStyle w:val="NormalHanging12a"/>
        <w:rPr>
          <w:szCs w:val="24"/>
        </w:rPr>
      </w:pPr>
      <w:r w:rsidRPr="00A00126">
        <w:t>–</w:t>
      </w:r>
      <w:r w:rsidRPr="00A00126">
        <w:tab/>
        <w:t>като взе предвид своята резолюция от 15 септември 2022 г. относно предложението за решение на Съвета за констатиране, в съответствие с член 7, параграф 1 от Договора за Европейския съюз, на наличието на очевиден риск от тежко нарушение от страна на Унгария на ценностите, на които се основава Съюзът</w:t>
      </w:r>
      <w:r w:rsidRPr="00A00126">
        <w:rPr>
          <w:rStyle w:val="FootnoteReference"/>
          <w:szCs w:val="24"/>
        </w:rPr>
        <w:footnoteReference w:id="3"/>
      </w:r>
      <w:r w:rsidRPr="00A00126">
        <w:t>,</w:t>
      </w:r>
    </w:p>
    <w:p w:rsidR="00C65205" w:rsidRPr="00A00126" w:rsidRDefault="00C65205" w:rsidP="00C65205">
      <w:pPr>
        <w:pStyle w:val="NormalHanging12a"/>
        <w:rPr>
          <w:szCs w:val="24"/>
        </w:rPr>
      </w:pPr>
      <w:r w:rsidRPr="00A00126">
        <w:t>–</w:t>
      </w:r>
      <w:r w:rsidRPr="00A00126">
        <w:tab/>
        <w:t>като взе предвид своята резолюция от 24 ноември 2022 г. относно оценката на спазването от страна на Унгария на условията, свързани с принципите на правовата държава в съответствие с Регламента относно обвързаността с условия и актуално състояние на унгарския план за възстановяване и устойчивост</w:t>
      </w:r>
      <w:r w:rsidRPr="00A00126">
        <w:rPr>
          <w:rStyle w:val="FootnoteReference"/>
          <w:szCs w:val="24"/>
        </w:rPr>
        <w:footnoteReference w:id="4"/>
      </w:r>
      <w:r w:rsidRPr="00A00126">
        <w:t>,</w:t>
      </w:r>
    </w:p>
    <w:p w:rsidR="00C65205" w:rsidRPr="00A00126" w:rsidRDefault="00C65205" w:rsidP="00C65205">
      <w:pPr>
        <w:pStyle w:val="NormalHanging12a"/>
        <w:rPr>
          <w:szCs w:val="24"/>
        </w:rPr>
      </w:pPr>
      <w:r w:rsidRPr="00A00126">
        <w:t>–</w:t>
      </w:r>
      <w:r w:rsidRPr="00A00126">
        <w:tab/>
        <w:t>като взе предвид своята резолюция от 1 юни 2023 г. относно нарушенията на принципите на правовата държава и основните права в Унгария и замразените средства на ЕС</w:t>
      </w:r>
      <w:r w:rsidRPr="00A00126">
        <w:rPr>
          <w:rStyle w:val="FootnoteReference"/>
          <w:szCs w:val="24"/>
        </w:rPr>
        <w:footnoteReference w:id="5"/>
      </w:r>
      <w:r w:rsidRPr="00A00126">
        <w:t>,</w:t>
      </w:r>
    </w:p>
    <w:p w:rsidR="00C65205" w:rsidRPr="00A00126" w:rsidRDefault="00C65205" w:rsidP="00C65205">
      <w:pPr>
        <w:pStyle w:val="NormalHanging12a"/>
        <w:rPr>
          <w:szCs w:val="24"/>
        </w:rPr>
      </w:pPr>
      <w:r w:rsidRPr="00A00126">
        <w:t>–</w:t>
      </w:r>
      <w:r w:rsidRPr="00A00126">
        <w:tab/>
        <w:t>като взе предвид своята резолюция от 18 януари 2024 г. относно положението в Унгария и замразените средства на ЕС</w:t>
      </w:r>
      <w:r w:rsidRPr="00A00126">
        <w:rPr>
          <w:rStyle w:val="FootnoteReference"/>
          <w:szCs w:val="24"/>
        </w:rPr>
        <w:footnoteReference w:id="6"/>
      </w:r>
      <w:r w:rsidRPr="00A00126">
        <w:t>,</w:t>
      </w:r>
    </w:p>
    <w:p w:rsidR="00C65205" w:rsidRPr="00A00126" w:rsidRDefault="00C65205" w:rsidP="00C65205">
      <w:pPr>
        <w:pStyle w:val="NormalHanging12a"/>
        <w:rPr>
          <w:szCs w:val="24"/>
        </w:rPr>
      </w:pPr>
      <w:r w:rsidRPr="00A00126">
        <w:t>–</w:t>
      </w:r>
      <w:r w:rsidRPr="00A00126">
        <w:tab/>
        <w:t>като взе предвид главите относно Унгария в годишните доклади на Комисията относно върховенството на закона,</w:t>
      </w:r>
    </w:p>
    <w:p w:rsidR="00C65205" w:rsidRPr="00A00126" w:rsidRDefault="00C65205" w:rsidP="00C65205">
      <w:pPr>
        <w:pStyle w:val="NormalHanging12a"/>
        <w:rPr>
          <w:szCs w:val="24"/>
        </w:rPr>
      </w:pPr>
      <w:r w:rsidRPr="00A00126">
        <w:t>–</w:t>
      </w:r>
      <w:r w:rsidRPr="00A00126">
        <w:tab/>
        <w:t>като взе предвид становището на Венецианската комисия относно Закон LXXXVIII на Унгария от 2023 г. относно защитата на националния суверенитет, прието на 138-ото ѝ пленарно заседание във Венеция на 15 и 16 март 2024 г.,</w:t>
      </w:r>
    </w:p>
    <w:p w:rsidR="00C65205" w:rsidRPr="00A00126" w:rsidRDefault="00C65205" w:rsidP="00C65205">
      <w:pPr>
        <w:pStyle w:val="NormalHanging12a"/>
        <w:rPr>
          <w:szCs w:val="24"/>
        </w:rPr>
      </w:pPr>
      <w:r w:rsidRPr="00A00126">
        <w:t>–</w:t>
      </w:r>
      <w:r w:rsidRPr="00A00126">
        <w:tab/>
        <w:t>като взе предвид член 132, параграф 2 от своя Правилник за дейността,</w:t>
      </w:r>
    </w:p>
    <w:p w:rsidR="00C65205" w:rsidRPr="00A00126" w:rsidRDefault="00C65205" w:rsidP="00C65205">
      <w:pPr>
        <w:pStyle w:val="NormalHanging12a"/>
        <w:rPr>
          <w:szCs w:val="24"/>
        </w:rPr>
      </w:pPr>
      <w:r w:rsidRPr="00A00126">
        <w:t>А.</w:t>
      </w:r>
      <w:r w:rsidRPr="00A00126">
        <w:tab/>
        <w:t>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установени в член 2 от ДЕС, отразени в Хартата и залегнали в международните договори за правата на човека; като има предвид, че тези ценности, които са общи за държавите членки, са в основата на правата на хората, живеещи в ЕС;</w:t>
      </w:r>
    </w:p>
    <w:p w:rsidR="00C65205" w:rsidRPr="00A00126" w:rsidRDefault="00C65205" w:rsidP="00C65205">
      <w:pPr>
        <w:pStyle w:val="NormalHanging12a"/>
        <w:rPr>
          <w:szCs w:val="24"/>
        </w:rPr>
      </w:pPr>
      <w:r w:rsidRPr="00A00126">
        <w:t>Б.</w:t>
      </w:r>
      <w:r w:rsidRPr="00A00126">
        <w:tab/>
        <w:t xml:space="preserve">като има предвид, че очевидният риск от тежко нарушение от държава членка на ценностите, посочени в член 2 от ДЕС, засяга не само държавата членка, в която е възникнал този риск, но има последствия и за другите държави членки, за взаимното доверие между тях, за самата същност на ЕС и за основните права на </w:t>
      </w:r>
      <w:r w:rsidRPr="00A00126">
        <w:lastRenderedPageBreak/>
        <w:t>неговите граждани, залегнали в правото на ЕС;</w:t>
      </w:r>
    </w:p>
    <w:p w:rsidR="00C65205" w:rsidRPr="00A00126" w:rsidRDefault="00C65205" w:rsidP="00C65205">
      <w:pPr>
        <w:pStyle w:val="NormalHanging12a"/>
        <w:rPr>
          <w:szCs w:val="24"/>
        </w:rPr>
      </w:pPr>
      <w:r w:rsidRPr="00A00126">
        <w:t>В.</w:t>
      </w:r>
      <w:r w:rsidRPr="00A00126">
        <w:tab/>
        <w:t>като има предвид, че за разлика от член 258 от Договора за функционирането на Европейския съюз (ДФЕС) обхватът на член 7 от ДЕС не се ограничава до задълженията по Договорите, и като има предвид, че ЕС може да проучва дали съществува очевиден риск от тежко нарушение на общите ценности в областите, които са от компетентността на държавите членки;</w:t>
      </w:r>
    </w:p>
    <w:p w:rsidR="00C65205" w:rsidRPr="00A00126" w:rsidRDefault="00C65205" w:rsidP="00C65205">
      <w:pPr>
        <w:pStyle w:val="NormalHanging12a"/>
        <w:rPr>
          <w:szCs w:val="24"/>
        </w:rPr>
      </w:pPr>
      <w:r w:rsidRPr="00A00126">
        <w:t>Г.</w:t>
      </w:r>
      <w:r w:rsidRPr="00A00126">
        <w:tab/>
        <w:t>като има предвид, че през 2018 г. по предложение на Европейския парламент Съветът започна процедурата, установена в член 7, параграф 1 от ДЕС, с цел да се справи с очевидния риск от тежко нарушение от страна на Унгария на ценностите, посочени в член 2 от ДЕС; като има предвид, че от началото на процедурата в Съвета са проведени шест изслушвания относно положението в Унгария съгласно процедурата по член 7, параграф 1 от ДЕС, но Съветът все още не се е опитал да определи дали съществува такъв риск и не е отправил препоръки към правителството на Унгария;</w:t>
      </w:r>
    </w:p>
    <w:p w:rsidR="00C65205" w:rsidRPr="00A00126" w:rsidRDefault="00C65205" w:rsidP="00C65205">
      <w:pPr>
        <w:pStyle w:val="NormalHanging12a"/>
        <w:rPr>
          <w:szCs w:val="24"/>
        </w:rPr>
      </w:pPr>
      <w:r w:rsidRPr="00A00126">
        <w:t>Д.</w:t>
      </w:r>
      <w:r w:rsidRPr="00A00126">
        <w:tab/>
        <w:t>като има предвид, че Регламентът относно обвързаността с условия е изключително важен инструмент, който дава възможност за ефективна защита на средствата на ЕС;</w:t>
      </w:r>
    </w:p>
    <w:p w:rsidR="00C65205" w:rsidRPr="00A00126" w:rsidRDefault="00C65205" w:rsidP="00C65205">
      <w:pPr>
        <w:pStyle w:val="NormalHanging12a"/>
        <w:rPr>
          <w:szCs w:val="24"/>
        </w:rPr>
      </w:pPr>
      <w:r w:rsidRPr="00A00126">
        <w:t>Е.</w:t>
      </w:r>
      <w:r w:rsidRPr="00A00126">
        <w:tab/>
        <w:t xml:space="preserve">като има предвид, че Комисията реши да предостави на Унгария 0,9 милиарда евро предварително финансиране по линия на </w:t>
      </w:r>
      <w:proofErr w:type="spellStart"/>
      <w:r w:rsidRPr="00A00126">
        <w:t>REPowerEU</w:t>
      </w:r>
      <w:proofErr w:type="spellEnd"/>
      <w:r w:rsidRPr="00A00126">
        <w:t>; като има предвид, че това предварително финансиране може да бъде предоставено без условия, но не и без проверки;</w:t>
      </w:r>
    </w:p>
    <w:p w:rsidR="00C65205" w:rsidRPr="00A00126" w:rsidRDefault="00C65205" w:rsidP="00C65205">
      <w:pPr>
        <w:pStyle w:val="NormalHanging12a"/>
        <w:rPr>
          <w:bCs/>
          <w:szCs w:val="24"/>
        </w:rPr>
      </w:pPr>
      <w:r w:rsidRPr="00A00126">
        <w:t>Ж.</w:t>
      </w:r>
      <w:r w:rsidRPr="00A00126">
        <w:tab/>
        <w:t>като има предвид, че в резолюцията си от 15 септември 2022 г. Парламентът отбеляза, че след започването на процедурата по член 7, параграф 1 от ДЕС многобройните опасения относно спазването от страна на Унгария на ценностите, залегнали в член 2 от ДЕС, продължават да съществуват или значително са се задълбочили, включително по отношение на независимостта на съдебната власт, корупцията, конфликтите на интереси, независимостта и плурализма на медиите, функционирането на конституционната и избирателната система, както и в гражданското пространство;</w:t>
      </w:r>
    </w:p>
    <w:p w:rsidR="00C65205" w:rsidRPr="00A00126" w:rsidRDefault="00C65205" w:rsidP="00C65205">
      <w:pPr>
        <w:pStyle w:val="NormalHanging12a"/>
        <w:rPr>
          <w:szCs w:val="24"/>
        </w:rPr>
      </w:pPr>
      <w:r w:rsidRPr="00A00126">
        <w:t>З.</w:t>
      </w:r>
      <w:r w:rsidRPr="00A00126">
        <w:tab/>
        <w:t>като има предвид, че след приемането на тази резолюция в някои от тези области е отбелязано слабо подобрение, в повечето области положението остава тревожно, а в някои други се е влошило още повече; като има предвид, че в резултат на действията на унгарското правителство са възникнали нови сериозни проблеми;</w:t>
      </w:r>
    </w:p>
    <w:p w:rsidR="00C65205" w:rsidRPr="00A00126" w:rsidRDefault="00C65205" w:rsidP="00C65205">
      <w:pPr>
        <w:pStyle w:val="NormalHanging12a"/>
        <w:rPr>
          <w:szCs w:val="24"/>
        </w:rPr>
      </w:pPr>
      <w:r w:rsidRPr="00A00126">
        <w:t>И.</w:t>
      </w:r>
      <w:r w:rsidRPr="00A00126">
        <w:tab/>
        <w:t>като има предвид, че през април 2024 г. десетки хиляди унгарци излязоха на улицата да протестират срещу корупцията и обсебването на държавата от групи с тесни интереси;</w:t>
      </w:r>
    </w:p>
    <w:p w:rsidR="00C65205" w:rsidRPr="00A00126" w:rsidRDefault="00C65205" w:rsidP="00C65205">
      <w:pPr>
        <w:pStyle w:val="NormalHanging12a"/>
        <w:rPr>
          <w:szCs w:val="24"/>
        </w:rPr>
      </w:pPr>
      <w:r w:rsidRPr="00A00126">
        <w:t>Й.</w:t>
      </w:r>
      <w:r w:rsidRPr="00A00126">
        <w:tab/>
        <w:t>като има предвид, че през 2023 г. унгарското правителство прие законодателен пакет от съдебни реформи с цел подобряване на някои аспекти на независимостта на съдебната власт, който включва укрепване на независимостта на Националния съдебен съвет (НСС); като има предвид, че неизчерпателният списък на сериозните недостатъци, свързани с принципите на правовата държава в съдебната система, които все още не са отстранени, включва:</w:t>
      </w:r>
    </w:p>
    <w:p w:rsidR="00C65205" w:rsidRPr="00A00126" w:rsidRDefault="00C65205" w:rsidP="00BE20C0">
      <w:pPr>
        <w:pStyle w:val="NormalHanging12a"/>
        <w:ind w:left="1134"/>
        <w:rPr>
          <w:szCs w:val="24"/>
        </w:rPr>
      </w:pPr>
      <w:r w:rsidRPr="00A00126">
        <w:lastRenderedPageBreak/>
        <w:t>–</w:t>
      </w:r>
      <w:r w:rsidRPr="00A00126">
        <w:tab/>
        <w:t xml:space="preserve">правилата относно несменяемостта на настоящия председател на </w:t>
      </w:r>
      <w:proofErr w:type="spellStart"/>
      <w:r w:rsidRPr="00A00126">
        <w:t>Курията</w:t>
      </w:r>
      <w:proofErr w:type="spellEnd"/>
      <w:r w:rsidRPr="00A00126">
        <w:t>, върховния съд на Унгария,</w:t>
      </w:r>
    </w:p>
    <w:p w:rsidR="00C65205" w:rsidRPr="00A00126" w:rsidRDefault="00C65205" w:rsidP="00BE20C0">
      <w:pPr>
        <w:pStyle w:val="NormalHanging12a"/>
        <w:ind w:left="1134"/>
        <w:rPr>
          <w:szCs w:val="24"/>
        </w:rPr>
      </w:pPr>
      <w:r w:rsidRPr="00A00126">
        <w:t>–</w:t>
      </w:r>
      <w:r w:rsidRPr="00A00126">
        <w:tab/>
        <w:t xml:space="preserve">липсата на значими предпазни механизми и гаранции за независимостта на </w:t>
      </w:r>
      <w:proofErr w:type="spellStart"/>
      <w:r w:rsidRPr="00A00126">
        <w:t>Курията</w:t>
      </w:r>
      <w:proofErr w:type="spellEnd"/>
      <w:r w:rsidRPr="00A00126">
        <w:t>,</w:t>
      </w:r>
    </w:p>
    <w:p w:rsidR="00C65205" w:rsidRPr="00A00126" w:rsidRDefault="00C65205" w:rsidP="00BE20C0">
      <w:pPr>
        <w:pStyle w:val="NormalHanging12a"/>
        <w:ind w:left="1134"/>
        <w:rPr>
          <w:szCs w:val="24"/>
        </w:rPr>
      </w:pPr>
      <w:r w:rsidRPr="00A00126">
        <w:t>–</w:t>
      </w:r>
      <w:r w:rsidRPr="00A00126">
        <w:tab/>
        <w:t xml:space="preserve">липсата на прозрачност и автоматизация на системата за разпределение на делата в </w:t>
      </w:r>
      <w:proofErr w:type="spellStart"/>
      <w:r w:rsidRPr="00A00126">
        <w:t>Курията</w:t>
      </w:r>
      <w:proofErr w:type="spellEnd"/>
      <w:r w:rsidRPr="00A00126">
        <w:t xml:space="preserve"> и липсата на прозрачност по отношение на правилата за съставяне на съдебните състави,</w:t>
      </w:r>
    </w:p>
    <w:p w:rsidR="00C65205" w:rsidRPr="00A00126" w:rsidRDefault="00C65205" w:rsidP="00BE20C0">
      <w:pPr>
        <w:pStyle w:val="NormalHanging12a"/>
        <w:ind w:left="1134"/>
        <w:rPr>
          <w:szCs w:val="24"/>
        </w:rPr>
      </w:pPr>
      <w:r w:rsidRPr="00A00126">
        <w:t>–</w:t>
      </w:r>
      <w:r w:rsidRPr="00A00126">
        <w:tab/>
        <w:t>политическия и административния натиск върху независимостта на Националния съдебен съвет и неговите членове, включително чрез кампании за оклеветяване,</w:t>
      </w:r>
    </w:p>
    <w:p w:rsidR="00C65205" w:rsidRPr="00A00126" w:rsidRDefault="00C65205" w:rsidP="00BE20C0">
      <w:pPr>
        <w:pStyle w:val="NormalHanging12a"/>
        <w:ind w:left="1134"/>
        <w:rPr>
          <w:szCs w:val="24"/>
        </w:rPr>
      </w:pPr>
      <w:r w:rsidRPr="00A00126">
        <w:t>–</w:t>
      </w:r>
      <w:r w:rsidRPr="00A00126">
        <w:tab/>
        <w:t>правилата относно назначаването, повишаването в ранг и несменяемостта на съдиите,</w:t>
      </w:r>
    </w:p>
    <w:p w:rsidR="00C65205" w:rsidRPr="00A00126" w:rsidRDefault="00C65205" w:rsidP="00BE20C0">
      <w:pPr>
        <w:pStyle w:val="NormalHanging12a"/>
        <w:ind w:left="1134"/>
        <w:rPr>
          <w:szCs w:val="24"/>
        </w:rPr>
      </w:pPr>
      <w:r w:rsidRPr="00A00126">
        <w:t>–</w:t>
      </w:r>
      <w:r w:rsidRPr="00A00126">
        <w:tab/>
        <w:t>липсата на значими предпазни механизми и гаранции за независимостта на съдиите, които осъществяват съдебен контрол върху административните решения,</w:t>
      </w:r>
    </w:p>
    <w:p w:rsidR="00C65205" w:rsidRPr="00A00126" w:rsidRDefault="00C65205" w:rsidP="00BE20C0">
      <w:pPr>
        <w:pStyle w:val="NormalHanging12a"/>
        <w:ind w:left="1134"/>
        <w:rPr>
          <w:szCs w:val="24"/>
        </w:rPr>
      </w:pPr>
      <w:r w:rsidRPr="00A00126">
        <w:t>–</w:t>
      </w:r>
      <w:r w:rsidRPr="00A00126">
        <w:tab/>
        <w:t xml:space="preserve">нарастващия брой пречки пред отправянето на </w:t>
      </w:r>
      <w:proofErr w:type="spellStart"/>
      <w:r w:rsidRPr="00A00126">
        <w:t>преюдициални</w:t>
      </w:r>
      <w:proofErr w:type="spellEnd"/>
      <w:r w:rsidRPr="00A00126">
        <w:t xml:space="preserve"> запитвания до Съда на Европейския съюз (СЕС),</w:t>
      </w:r>
    </w:p>
    <w:p w:rsidR="00C65205" w:rsidRPr="00A00126" w:rsidRDefault="00C65205" w:rsidP="00BE20C0">
      <w:pPr>
        <w:pStyle w:val="NormalHanging12a"/>
        <w:ind w:left="1134"/>
        <w:rPr>
          <w:szCs w:val="24"/>
        </w:rPr>
      </w:pPr>
      <w:r w:rsidRPr="00A00126">
        <w:t>–</w:t>
      </w:r>
      <w:r w:rsidRPr="00A00126">
        <w:tab/>
      </w:r>
      <w:proofErr w:type="spellStart"/>
      <w:r w:rsidRPr="00A00126">
        <w:t>неадекватността</w:t>
      </w:r>
      <w:proofErr w:type="spellEnd"/>
      <w:r w:rsidRPr="00A00126">
        <w:t xml:space="preserve"> на правилата относно имунитета и дисциплинарните производства срещу прокурори и съдии,</w:t>
      </w:r>
    </w:p>
    <w:p w:rsidR="00C65205" w:rsidRPr="00A00126" w:rsidRDefault="00C65205" w:rsidP="00BE20C0">
      <w:pPr>
        <w:pStyle w:val="NormalHanging12a"/>
        <w:ind w:left="1134"/>
        <w:rPr>
          <w:szCs w:val="24"/>
        </w:rPr>
      </w:pPr>
      <w:r w:rsidRPr="00A00126">
        <w:t>–</w:t>
      </w:r>
      <w:r w:rsidRPr="00A00126">
        <w:tab/>
        <w:t>политическата намеса в работата на прокурорските служби и отделните прокурори,</w:t>
      </w:r>
    </w:p>
    <w:p w:rsidR="00C65205" w:rsidRPr="00A00126" w:rsidRDefault="00C65205" w:rsidP="00BE20C0">
      <w:pPr>
        <w:pStyle w:val="NormalHanging12a"/>
        <w:ind w:left="1134"/>
        <w:rPr>
          <w:szCs w:val="24"/>
        </w:rPr>
      </w:pPr>
      <w:r w:rsidRPr="00A00126">
        <w:t>–</w:t>
      </w:r>
      <w:r w:rsidRPr="00A00126">
        <w:tab/>
        <w:t>липсата на ефективна подкрепа за жертвите на престъпления;</w:t>
      </w:r>
    </w:p>
    <w:p w:rsidR="00C65205" w:rsidRPr="00A00126" w:rsidRDefault="00C65205" w:rsidP="000F04D2">
      <w:pPr>
        <w:pStyle w:val="NormalHanging12a"/>
        <w:rPr>
          <w:szCs w:val="24"/>
        </w:rPr>
      </w:pPr>
      <w:r w:rsidRPr="00A00126">
        <w:t>К.</w:t>
      </w:r>
      <w:r w:rsidRPr="00A00126">
        <w:tab/>
        <w:t>като има предвид, че неизчерпателният списък на сериозните недостатъци, които продължават да се наблюдават във връзка с борбата срещу корупцията и конфликтите на интереси, включва:</w:t>
      </w:r>
    </w:p>
    <w:p w:rsidR="00C65205" w:rsidRPr="00A00126" w:rsidRDefault="00C65205" w:rsidP="00BE20C0">
      <w:pPr>
        <w:pStyle w:val="NormalHanging12a"/>
        <w:ind w:left="1134"/>
        <w:rPr>
          <w:szCs w:val="24"/>
        </w:rPr>
      </w:pPr>
      <w:r w:rsidRPr="00A00126">
        <w:t>–</w:t>
      </w:r>
      <w:r w:rsidRPr="00A00126">
        <w:tab/>
        <w:t>липсата на данни за разследвания, наказателни преследвания и окончателни съдебни решения по дела за корупция по високите етажи на властта,</w:t>
      </w:r>
    </w:p>
    <w:p w:rsidR="00C65205" w:rsidRPr="00A00126" w:rsidRDefault="00C65205" w:rsidP="00BE20C0">
      <w:pPr>
        <w:pStyle w:val="NormalHanging12a"/>
        <w:ind w:left="1134"/>
        <w:rPr>
          <w:szCs w:val="24"/>
        </w:rPr>
      </w:pPr>
      <w:r w:rsidRPr="00A00126">
        <w:t>–</w:t>
      </w:r>
      <w:r w:rsidRPr="00A00126">
        <w:tab/>
        <w:t>липсата на строги разпоредби относно лобирането, кадровата въртележка между държавния и частния сектор и ефективния надзор върху декларациите за имуществено състояние,</w:t>
      </w:r>
    </w:p>
    <w:p w:rsidR="00C65205" w:rsidRPr="00A00126" w:rsidRDefault="00C65205" w:rsidP="00BE20C0">
      <w:pPr>
        <w:pStyle w:val="NormalHanging12a"/>
        <w:ind w:left="1134"/>
        <w:rPr>
          <w:szCs w:val="24"/>
        </w:rPr>
      </w:pPr>
      <w:r w:rsidRPr="00A00126">
        <w:t>–</w:t>
      </w:r>
      <w:r w:rsidRPr="00A00126">
        <w:tab/>
        <w:t>липсата на достатъчно компетентност, правомощия, достъп до информация и подходящи ресурси за Органа за почтеност,</w:t>
      </w:r>
    </w:p>
    <w:p w:rsidR="00C65205" w:rsidRPr="00A00126" w:rsidRDefault="00C65205" w:rsidP="00BE20C0">
      <w:pPr>
        <w:pStyle w:val="NormalHanging12a"/>
        <w:ind w:left="1134"/>
        <w:rPr>
          <w:szCs w:val="24"/>
        </w:rPr>
      </w:pPr>
      <w:r w:rsidRPr="00A00126">
        <w:t>–</w:t>
      </w:r>
      <w:r w:rsidRPr="00A00126">
        <w:tab/>
        <w:t>липсата на обществени консултации и дебати относно мерките за борба срещу корупцията,</w:t>
      </w:r>
    </w:p>
    <w:p w:rsidR="00C65205" w:rsidRPr="00A00126" w:rsidRDefault="00C65205" w:rsidP="00BE20C0">
      <w:pPr>
        <w:pStyle w:val="NormalHanging12a"/>
        <w:ind w:left="1134"/>
        <w:rPr>
          <w:szCs w:val="24"/>
        </w:rPr>
      </w:pPr>
      <w:r w:rsidRPr="00A00126">
        <w:t>–</w:t>
      </w:r>
      <w:r w:rsidRPr="00A00126">
        <w:tab/>
        <w:t>липсата на отчетност на прокурорските служби, включително в случаи на небрежност, нарушения на служебните задължения и престъпно поведение,</w:t>
      </w:r>
    </w:p>
    <w:p w:rsidR="00C65205" w:rsidRPr="00A00126" w:rsidRDefault="00C65205" w:rsidP="00BE20C0">
      <w:pPr>
        <w:pStyle w:val="NormalHanging12a"/>
        <w:ind w:left="1134"/>
        <w:rPr>
          <w:szCs w:val="24"/>
        </w:rPr>
      </w:pPr>
      <w:r w:rsidRPr="00A00126">
        <w:lastRenderedPageBreak/>
        <w:t>–</w:t>
      </w:r>
      <w:r w:rsidRPr="00A00126">
        <w:tab/>
        <w:t>политическата намеса в работата на прокурорските служби по дела за корупция и престъпления по високите етажи на властта,</w:t>
      </w:r>
    </w:p>
    <w:p w:rsidR="00C65205" w:rsidRPr="00A00126" w:rsidRDefault="00C65205" w:rsidP="00C65205">
      <w:pPr>
        <w:pStyle w:val="NormalHanging12a"/>
        <w:rPr>
          <w:szCs w:val="24"/>
        </w:rPr>
      </w:pPr>
      <w:r w:rsidRPr="00A00126">
        <w:t>Л.</w:t>
      </w:r>
      <w:r w:rsidRPr="00A00126">
        <w:tab/>
        <w:t>като има предвид, че неизчерпателният списък на сериозните недостатъци, които продължават да се наблюдават във връзка със свободата на медиите и плурализма, включва:</w:t>
      </w:r>
    </w:p>
    <w:p w:rsidR="00C65205" w:rsidRPr="00A00126" w:rsidRDefault="00C65205" w:rsidP="00BE20C0">
      <w:pPr>
        <w:pStyle w:val="NormalHanging12a"/>
        <w:ind w:left="1134"/>
        <w:rPr>
          <w:szCs w:val="24"/>
        </w:rPr>
      </w:pPr>
      <w:r w:rsidRPr="00A00126">
        <w:t>–</w:t>
      </w:r>
      <w:r w:rsidRPr="00A00126">
        <w:tab/>
        <w:t>липсата на функционална независимост на медийния орган и на координатора на цифровите услуги,</w:t>
      </w:r>
    </w:p>
    <w:p w:rsidR="00C65205" w:rsidRPr="00A00126" w:rsidRDefault="00C65205" w:rsidP="00BE20C0">
      <w:pPr>
        <w:pStyle w:val="NormalHanging12a"/>
        <w:ind w:left="1134"/>
        <w:rPr>
          <w:szCs w:val="24"/>
        </w:rPr>
      </w:pPr>
      <w:r w:rsidRPr="00A00126">
        <w:t>–</w:t>
      </w:r>
      <w:r w:rsidRPr="00A00126">
        <w:tab/>
        <w:t>липсата на редакционна и финансова независимост на обществените медии и липсата на плурализъм на политическите мнения в обществените медии, които управляващото мнозинство използва за целите на политическата пропаганда,</w:t>
      </w:r>
    </w:p>
    <w:p w:rsidR="00C65205" w:rsidRPr="00A00126" w:rsidRDefault="00C65205" w:rsidP="00BE20C0">
      <w:pPr>
        <w:pStyle w:val="NormalHanging12a"/>
        <w:ind w:left="1134"/>
        <w:rPr>
          <w:szCs w:val="24"/>
        </w:rPr>
      </w:pPr>
      <w:r w:rsidRPr="00A00126">
        <w:t>–</w:t>
      </w:r>
      <w:r w:rsidRPr="00A00126">
        <w:tab/>
        <w:t>злоупотребата с държавна реклама в проправителствените медии и липсата на правила и прозрачност по този въпрос,</w:t>
      </w:r>
    </w:p>
    <w:p w:rsidR="00C65205" w:rsidRPr="00A00126" w:rsidRDefault="00C65205" w:rsidP="00BE20C0">
      <w:pPr>
        <w:pStyle w:val="NormalHanging12a"/>
        <w:ind w:left="1134"/>
        <w:rPr>
          <w:szCs w:val="24"/>
        </w:rPr>
      </w:pPr>
      <w:r w:rsidRPr="00A00126">
        <w:t>–</w:t>
      </w:r>
      <w:r w:rsidRPr="00A00126">
        <w:tab/>
        <w:t>кампаниите за оклеветяване срещу независими журналисти и медии,</w:t>
      </w:r>
    </w:p>
    <w:p w:rsidR="00C65205" w:rsidRPr="00A00126" w:rsidRDefault="00C65205" w:rsidP="00BE20C0">
      <w:pPr>
        <w:pStyle w:val="NormalHanging12a"/>
        <w:ind w:left="1134"/>
        <w:rPr>
          <w:szCs w:val="24"/>
        </w:rPr>
      </w:pPr>
      <w:r w:rsidRPr="00A00126">
        <w:t>–</w:t>
      </w:r>
      <w:r w:rsidRPr="00A00126">
        <w:tab/>
        <w:t>нарастващия брой ограничения на достъпа до публична информация,</w:t>
      </w:r>
    </w:p>
    <w:p w:rsidR="00C65205" w:rsidRPr="00A00126" w:rsidRDefault="00C65205" w:rsidP="00BE20C0">
      <w:pPr>
        <w:pStyle w:val="NormalHanging12a"/>
        <w:ind w:left="1134"/>
        <w:rPr>
          <w:szCs w:val="24"/>
        </w:rPr>
      </w:pPr>
      <w:r w:rsidRPr="00A00126">
        <w:t>–</w:t>
      </w:r>
      <w:r w:rsidRPr="00A00126">
        <w:tab/>
        <w:t>липсата на задълбочено разследване на внедряването на шпионски софтуер, насочен към разследващи журналисти и медийни специалисти,</w:t>
      </w:r>
    </w:p>
    <w:p w:rsidR="00C65205" w:rsidRPr="00A00126" w:rsidRDefault="00C65205" w:rsidP="00BE20C0">
      <w:pPr>
        <w:pStyle w:val="NormalHanging12a"/>
        <w:ind w:left="1134"/>
        <w:rPr>
          <w:szCs w:val="24"/>
        </w:rPr>
      </w:pPr>
      <w:r w:rsidRPr="00A00126">
        <w:t>–</w:t>
      </w:r>
      <w:r w:rsidRPr="00A00126">
        <w:tab/>
        <w:t xml:space="preserve">концентрацията на медийния пазар и прекомерното влияние на правителството върху медийната среда (включително чрез </w:t>
      </w:r>
      <w:r w:rsidRPr="00A00126">
        <w:rPr>
          <w:shd w:val="clear" w:color="auto" w:fill="FFFFFF"/>
        </w:rPr>
        <w:t>Централноевропейската фондация за печата и медиите, или</w:t>
      </w:r>
      <w:r w:rsidRPr="00A00126">
        <w:t xml:space="preserve"> KESMA в </w:t>
      </w:r>
      <w:r w:rsidRPr="00A00126">
        <w:rPr>
          <w:shd w:val="clear" w:color="auto" w:fill="FFFFFF"/>
        </w:rPr>
        <w:t>унгарското ѝ съкращение</w:t>
      </w:r>
      <w:r w:rsidRPr="00A00126">
        <w:t>),</w:t>
      </w:r>
    </w:p>
    <w:p w:rsidR="00C65205" w:rsidRPr="00A00126" w:rsidRDefault="00C65205" w:rsidP="00BE20C0">
      <w:pPr>
        <w:pStyle w:val="NormalHanging12a"/>
        <w:ind w:left="1134"/>
        <w:rPr>
          <w:szCs w:val="24"/>
        </w:rPr>
      </w:pPr>
      <w:r w:rsidRPr="00A00126">
        <w:t>–</w:t>
      </w:r>
      <w:r w:rsidRPr="00A00126">
        <w:tab/>
        <w:t>потенциалното подлагане на медии и журналисти на разследвания от страна на Службата за защита на суверенитета (SPO);</w:t>
      </w:r>
    </w:p>
    <w:p w:rsidR="00C65205" w:rsidRPr="00A00126" w:rsidRDefault="00C65205" w:rsidP="00C65205">
      <w:pPr>
        <w:pStyle w:val="NormalHanging12a"/>
        <w:rPr>
          <w:szCs w:val="24"/>
        </w:rPr>
      </w:pPr>
      <w:r w:rsidRPr="00A00126">
        <w:t>М.</w:t>
      </w:r>
      <w:r w:rsidRPr="00A00126">
        <w:tab/>
        <w:t>като има предвид, че неизчерпателният списък на сериозните недостатъци, които продължават да се наблюдават във връзка с конституционната и избирателната система, както и във връзка с контрола и баланса на силите, включва:</w:t>
      </w:r>
    </w:p>
    <w:p w:rsidR="00C65205" w:rsidRPr="00A00126" w:rsidRDefault="00C65205" w:rsidP="00BE20C0">
      <w:pPr>
        <w:pStyle w:val="NormalHanging12a"/>
        <w:ind w:left="1134"/>
        <w:rPr>
          <w:szCs w:val="24"/>
        </w:rPr>
      </w:pPr>
      <w:r w:rsidRPr="00A00126">
        <w:t>–</w:t>
      </w:r>
      <w:r w:rsidRPr="00A00126">
        <w:tab/>
        <w:t>липсата на справедливи условия за провеждане на предизборни кампании по време на изборите на местно и национално равнище и честите промени в избирателния кодекс,</w:t>
      </w:r>
    </w:p>
    <w:p w:rsidR="00C65205" w:rsidRPr="00A00126" w:rsidRDefault="00C65205" w:rsidP="00BE20C0">
      <w:pPr>
        <w:pStyle w:val="NormalHanging12a"/>
        <w:ind w:left="1134"/>
        <w:rPr>
          <w:szCs w:val="24"/>
        </w:rPr>
      </w:pPr>
      <w:r w:rsidRPr="00A00126">
        <w:t>–</w:t>
      </w:r>
      <w:r w:rsidRPr="00A00126">
        <w:tab/>
        <w:t>недостатъчната прозрачност и отчетност в процеса на изготвяне и приемане на закони,</w:t>
      </w:r>
    </w:p>
    <w:p w:rsidR="00C65205" w:rsidRPr="00A00126" w:rsidRDefault="00C65205" w:rsidP="00BE20C0">
      <w:pPr>
        <w:pStyle w:val="NormalHanging12a"/>
        <w:ind w:left="1134"/>
        <w:rPr>
          <w:bCs/>
          <w:szCs w:val="24"/>
        </w:rPr>
      </w:pPr>
      <w:r w:rsidRPr="00A00126">
        <w:t>–</w:t>
      </w:r>
      <w:r w:rsidRPr="00A00126">
        <w:tab/>
        <w:t>продължаването на официалната „ситуация на опасност“, което дава на правителството широки извънредни правомощия и му позволява да отменя закони от по-висок правен ранг чрез извънредни укази,</w:t>
      </w:r>
    </w:p>
    <w:p w:rsidR="00C65205" w:rsidRPr="00A00126" w:rsidRDefault="00C65205" w:rsidP="00BE20C0">
      <w:pPr>
        <w:pStyle w:val="NormalHanging12a"/>
        <w:ind w:left="1134"/>
        <w:rPr>
          <w:szCs w:val="24"/>
        </w:rPr>
      </w:pPr>
      <w:r w:rsidRPr="00A00126">
        <w:t>–</w:t>
      </w:r>
      <w:r w:rsidRPr="00A00126">
        <w:tab/>
        <w:t>липсата на смислен процес на обществени консултации по важни законопроекти,</w:t>
      </w:r>
    </w:p>
    <w:p w:rsidR="00C65205" w:rsidRPr="00A00126" w:rsidRDefault="00C65205" w:rsidP="00BE20C0">
      <w:pPr>
        <w:pStyle w:val="NormalHanging12a"/>
        <w:ind w:left="1134"/>
        <w:rPr>
          <w:szCs w:val="24"/>
        </w:rPr>
      </w:pPr>
      <w:r w:rsidRPr="00A00126">
        <w:t>–</w:t>
      </w:r>
      <w:r w:rsidRPr="00A00126">
        <w:tab/>
        <w:t xml:space="preserve">лишаването на независими органи от средства за действие и оказването на </w:t>
      </w:r>
      <w:r w:rsidRPr="00A00126">
        <w:lastRenderedPageBreak/>
        <w:t>натиск върху тяхната независимост,</w:t>
      </w:r>
    </w:p>
    <w:p w:rsidR="00C65205" w:rsidRPr="00A00126" w:rsidRDefault="00C65205" w:rsidP="00BE20C0">
      <w:pPr>
        <w:pStyle w:val="NormalHanging12a"/>
        <w:ind w:left="1134"/>
        <w:rPr>
          <w:bCs/>
          <w:szCs w:val="24"/>
        </w:rPr>
      </w:pPr>
      <w:r w:rsidRPr="00A00126">
        <w:t>–</w:t>
      </w:r>
      <w:r w:rsidRPr="00A00126">
        <w:tab/>
        <w:t>използването на „универсални“ законопроекти за изменение на различни закони;</w:t>
      </w:r>
    </w:p>
    <w:p w:rsidR="00C65205" w:rsidRPr="00A00126" w:rsidRDefault="00C65205" w:rsidP="00C65205">
      <w:pPr>
        <w:pStyle w:val="NormalHanging12a"/>
        <w:rPr>
          <w:szCs w:val="24"/>
        </w:rPr>
      </w:pPr>
      <w:r w:rsidRPr="00A00126">
        <w:t>Н.</w:t>
      </w:r>
      <w:r w:rsidRPr="00A00126">
        <w:tab/>
        <w:t>като има предвид, че неизчерпателният списък на сериозните недостатъци, които продължават да се наблюдават във връзка с функционирането на гражданското общество, включва:</w:t>
      </w:r>
    </w:p>
    <w:p w:rsidR="00C65205" w:rsidRPr="00A00126" w:rsidRDefault="00C65205" w:rsidP="00BE20C0">
      <w:pPr>
        <w:pStyle w:val="NormalHanging12a"/>
        <w:ind w:left="1134"/>
        <w:rPr>
          <w:szCs w:val="24"/>
        </w:rPr>
      </w:pPr>
      <w:r w:rsidRPr="00A00126">
        <w:t>–</w:t>
      </w:r>
      <w:r w:rsidRPr="00A00126">
        <w:tab/>
        <w:t>смразяващия ефект на различни закони, целящи ограничаване на съществуването и функционирането на независими организации на гражданското общество, като например закона за прозрачността на организациите, получаващи чуждестранни средства, и закона за защита на националния суверенитет,</w:t>
      </w:r>
    </w:p>
    <w:p w:rsidR="00C65205" w:rsidRPr="00A00126" w:rsidRDefault="00C65205" w:rsidP="00BE20C0">
      <w:pPr>
        <w:pStyle w:val="NormalHanging12a"/>
        <w:ind w:left="1134"/>
        <w:rPr>
          <w:szCs w:val="24"/>
        </w:rPr>
      </w:pPr>
      <w:r w:rsidRPr="00A00126">
        <w:t>–</w:t>
      </w:r>
      <w:r w:rsidRPr="00A00126">
        <w:tab/>
        <w:t>кампаниите за оклеветяване и тормоз срещу представители на организации на гражданското общество,</w:t>
      </w:r>
    </w:p>
    <w:p w:rsidR="00C65205" w:rsidRPr="00A00126" w:rsidRDefault="00C65205" w:rsidP="00BE20C0">
      <w:pPr>
        <w:pStyle w:val="NormalHanging12a"/>
        <w:ind w:left="1134"/>
        <w:rPr>
          <w:szCs w:val="24"/>
        </w:rPr>
      </w:pPr>
      <w:r w:rsidRPr="00A00126">
        <w:t>–</w:t>
      </w:r>
      <w:r w:rsidRPr="00A00126">
        <w:tab/>
        <w:t>липсата на публично финансиране за независими организации на гражданското общество и финансовата подкрепа за проправителствени организации или за организации, свързани с правителството,</w:t>
      </w:r>
    </w:p>
    <w:p w:rsidR="00C65205" w:rsidRPr="00A00126" w:rsidRDefault="00C65205" w:rsidP="00BE20C0">
      <w:pPr>
        <w:pStyle w:val="NormalHanging12a"/>
        <w:ind w:left="1134"/>
        <w:rPr>
          <w:szCs w:val="24"/>
        </w:rPr>
      </w:pPr>
      <w:r w:rsidRPr="00A00126">
        <w:t>–</w:t>
      </w:r>
      <w:r w:rsidRPr="00A00126">
        <w:tab/>
        <w:t>потенциалното подлагане на организациите на гражданското общество и техните представители на наблюдение и разследвания от страна на Службата за защита на суверенитета;</w:t>
      </w:r>
    </w:p>
    <w:p w:rsidR="00C65205" w:rsidRPr="00A00126" w:rsidRDefault="00C65205" w:rsidP="00C65205">
      <w:pPr>
        <w:pStyle w:val="NormalHanging12a"/>
        <w:rPr>
          <w:szCs w:val="24"/>
        </w:rPr>
      </w:pPr>
      <w:r w:rsidRPr="00A00126">
        <w:t>О.</w:t>
      </w:r>
      <w:r w:rsidRPr="00A00126">
        <w:tab/>
        <w:t>като има предвид, че неизчерпателният списък на сериозните недостатъци, които продължават да се наблюдават във връзка със защитата на финансовите интереси на ЕС, включва:</w:t>
      </w:r>
    </w:p>
    <w:p w:rsidR="00C65205" w:rsidRPr="00A00126" w:rsidRDefault="00C65205" w:rsidP="00BE20C0">
      <w:pPr>
        <w:pStyle w:val="NormalHanging12a"/>
        <w:ind w:left="1134"/>
        <w:rPr>
          <w:szCs w:val="24"/>
        </w:rPr>
      </w:pPr>
      <w:r w:rsidRPr="00A00126">
        <w:t>–</w:t>
      </w:r>
      <w:r w:rsidRPr="00A00126">
        <w:tab/>
        <w:t>функционирането на органите, които изпълняват бюджета на ЕС,</w:t>
      </w:r>
    </w:p>
    <w:p w:rsidR="00C65205" w:rsidRPr="00A00126" w:rsidRDefault="00C65205" w:rsidP="00BE20C0">
      <w:pPr>
        <w:pStyle w:val="NormalHanging12a"/>
        <w:ind w:left="1134"/>
        <w:rPr>
          <w:szCs w:val="24"/>
        </w:rPr>
      </w:pPr>
      <w:r w:rsidRPr="00A00126">
        <w:t>–</w:t>
      </w:r>
      <w:r w:rsidRPr="00A00126">
        <w:tab/>
        <w:t>системните нередности, недостатъци и слабости при възлагането на обществени поръчки, включително големия дял на тръжните процедури с единични оферти и липсата на конкуренция в системата за възлагане на обществени поръчки,</w:t>
      </w:r>
    </w:p>
    <w:p w:rsidR="00C65205" w:rsidRPr="00A00126" w:rsidRDefault="00C65205" w:rsidP="00BE20C0">
      <w:pPr>
        <w:pStyle w:val="NormalHanging12a"/>
        <w:ind w:left="1134"/>
        <w:rPr>
          <w:szCs w:val="24"/>
        </w:rPr>
      </w:pPr>
      <w:r w:rsidRPr="00A00126">
        <w:t>–</w:t>
      </w:r>
      <w:r w:rsidRPr="00A00126">
        <w:tab/>
        <w:t>слабости в механизмите за одит и контрол, които да гарантират правилно използване на средствата на ЕС,</w:t>
      </w:r>
    </w:p>
    <w:p w:rsidR="00C65205" w:rsidRPr="00A00126" w:rsidRDefault="00C65205" w:rsidP="00BE20C0">
      <w:pPr>
        <w:pStyle w:val="NormalHanging12a"/>
        <w:ind w:left="1134"/>
        <w:rPr>
          <w:szCs w:val="24"/>
        </w:rPr>
      </w:pPr>
      <w:r w:rsidRPr="00A00126">
        <w:t>–</w:t>
      </w:r>
      <w:r w:rsidRPr="00A00126">
        <w:tab/>
        <w:t>недостатъчния капацитет за предотвратяване и наказване на измами, корупция или други нарушения на правото на ЕС във връзка с изпълнението на бюджета на ЕС или със защитата на финансовите интереси на ЕС,</w:t>
      </w:r>
    </w:p>
    <w:p w:rsidR="00C65205" w:rsidRPr="00A00126" w:rsidRDefault="00C65205" w:rsidP="00BE20C0">
      <w:pPr>
        <w:pStyle w:val="NormalHanging12a"/>
        <w:ind w:left="1134"/>
        <w:rPr>
          <w:szCs w:val="24"/>
        </w:rPr>
      </w:pPr>
      <w:r w:rsidRPr="00A00126">
        <w:t>–</w:t>
      </w:r>
      <w:r w:rsidRPr="00A00126">
        <w:tab/>
        <w:t>неправилното прилагане на инструмента ARACHNE,</w:t>
      </w:r>
    </w:p>
    <w:p w:rsidR="00C65205" w:rsidRPr="00A00126" w:rsidRDefault="00C65205" w:rsidP="00BE20C0">
      <w:pPr>
        <w:pStyle w:val="NormalHanging12a"/>
        <w:ind w:left="1134"/>
        <w:rPr>
          <w:szCs w:val="24"/>
        </w:rPr>
      </w:pPr>
      <w:r w:rsidRPr="00A00126">
        <w:t>–</w:t>
      </w:r>
      <w:r w:rsidRPr="00A00126">
        <w:tab/>
        <w:t>липсата на прозрачност при използването на средствата на ЕС от фондации за управление на активи в обществен интерес,</w:t>
      </w:r>
    </w:p>
    <w:p w:rsidR="00C65205" w:rsidRPr="00A00126" w:rsidRDefault="00C65205" w:rsidP="00BE20C0">
      <w:pPr>
        <w:pStyle w:val="NormalHanging12a"/>
        <w:ind w:left="1134"/>
        <w:rPr>
          <w:szCs w:val="24"/>
        </w:rPr>
      </w:pPr>
      <w:r w:rsidRPr="00A00126">
        <w:t>–</w:t>
      </w:r>
      <w:r w:rsidRPr="00A00126">
        <w:tab/>
      </w:r>
      <w:proofErr w:type="spellStart"/>
      <w:r w:rsidRPr="00A00126">
        <w:t>неприсъединяването</w:t>
      </w:r>
      <w:proofErr w:type="spellEnd"/>
      <w:r w:rsidRPr="00A00126">
        <w:t xml:space="preserve"> на Унгария към Европейската прокуратура;</w:t>
      </w:r>
    </w:p>
    <w:p w:rsidR="00C65205" w:rsidRPr="00A00126" w:rsidRDefault="00C65205" w:rsidP="00C65205">
      <w:pPr>
        <w:pStyle w:val="NormalHanging12a"/>
        <w:rPr>
          <w:szCs w:val="24"/>
        </w:rPr>
      </w:pPr>
      <w:r w:rsidRPr="00A00126">
        <w:t>П.</w:t>
      </w:r>
      <w:r w:rsidRPr="00A00126">
        <w:tab/>
        <w:t xml:space="preserve">като има предвид, че неизчерпателният списък на сериозните недостатъци, които </w:t>
      </w:r>
      <w:r w:rsidRPr="00A00126">
        <w:lastRenderedPageBreak/>
        <w:t>продължават да се наблюдават във връзка със спазването на принципите и правилата на единния пазар, включва:</w:t>
      </w:r>
    </w:p>
    <w:p w:rsidR="00C65205" w:rsidRPr="00A00126" w:rsidRDefault="00C65205" w:rsidP="00BE20C0">
      <w:pPr>
        <w:pStyle w:val="NormalHanging12a"/>
        <w:ind w:left="1134"/>
        <w:rPr>
          <w:bCs/>
          <w:szCs w:val="24"/>
        </w:rPr>
      </w:pPr>
      <w:r w:rsidRPr="00A00126">
        <w:t>–</w:t>
      </w:r>
      <w:r w:rsidRPr="00A00126">
        <w:tab/>
        <w:t>дискриминационните практики срещу дружества, които извършват дейност в области, определяни като такива от стратегически интерес за унгарското правителство,</w:t>
      </w:r>
    </w:p>
    <w:p w:rsidR="00C65205" w:rsidRPr="00A00126" w:rsidRDefault="00C65205" w:rsidP="00BE20C0">
      <w:pPr>
        <w:pStyle w:val="NormalHanging12a"/>
        <w:ind w:left="1134"/>
        <w:rPr>
          <w:bCs/>
          <w:szCs w:val="24"/>
        </w:rPr>
      </w:pPr>
      <w:r w:rsidRPr="00A00126">
        <w:t>–</w:t>
      </w:r>
      <w:r w:rsidRPr="00A00126">
        <w:tab/>
        <w:t>злоупотребата с публична и законодателна власт и използването на техники за сплашване срещу икономически субекти, които извършват дейност в области, определяни като такива от стратегически интерес за унгарското правителство;</w:t>
      </w:r>
    </w:p>
    <w:p w:rsidR="00C65205" w:rsidRPr="00A00126" w:rsidRDefault="00C65205" w:rsidP="00C65205">
      <w:pPr>
        <w:pStyle w:val="NormalHanging12a"/>
        <w:rPr>
          <w:szCs w:val="24"/>
        </w:rPr>
      </w:pPr>
      <w:r w:rsidRPr="00A00126">
        <w:t>Р.</w:t>
      </w:r>
      <w:r w:rsidRPr="00A00126">
        <w:tab/>
        <w:t>като има предвид, че унгарското правителство не е отговорило и на други опасения, посочени в резолюцията на Парламента от 15 септември 2022 г., които са свързани с основните права, като например:</w:t>
      </w:r>
    </w:p>
    <w:p w:rsidR="00C65205" w:rsidRPr="00A00126" w:rsidRDefault="00C65205" w:rsidP="00BE20C0">
      <w:pPr>
        <w:pStyle w:val="NormalHanging12a"/>
        <w:ind w:left="1134"/>
        <w:rPr>
          <w:szCs w:val="24"/>
        </w:rPr>
      </w:pPr>
      <w:r w:rsidRPr="00A00126">
        <w:t>–</w:t>
      </w:r>
      <w:r w:rsidRPr="00A00126">
        <w:tab/>
        <w:t>академичната свобода,</w:t>
      </w:r>
    </w:p>
    <w:p w:rsidR="00C65205" w:rsidRPr="00A00126" w:rsidRDefault="00C65205" w:rsidP="00BE20C0">
      <w:pPr>
        <w:pStyle w:val="NormalHanging12a"/>
        <w:ind w:left="1134"/>
        <w:rPr>
          <w:szCs w:val="24"/>
        </w:rPr>
      </w:pPr>
      <w:r w:rsidRPr="00A00126">
        <w:t>–</w:t>
      </w:r>
      <w:r w:rsidRPr="00A00126">
        <w:tab/>
        <w:t>свободата на религията, </w:t>
      </w:r>
    </w:p>
    <w:p w:rsidR="00C65205" w:rsidRPr="00A00126" w:rsidRDefault="00C65205" w:rsidP="00BE20C0">
      <w:pPr>
        <w:pStyle w:val="NormalHanging12a"/>
        <w:ind w:left="1134"/>
        <w:rPr>
          <w:szCs w:val="24"/>
        </w:rPr>
      </w:pPr>
      <w:r w:rsidRPr="00A00126">
        <w:t>–</w:t>
      </w:r>
      <w:r w:rsidRPr="00A00126">
        <w:tab/>
        <w:t>правото на равно третиране, включително правата на ЛГБТИК,</w:t>
      </w:r>
    </w:p>
    <w:p w:rsidR="00C65205" w:rsidRPr="00A00126" w:rsidRDefault="00C65205" w:rsidP="00BE20C0">
      <w:pPr>
        <w:pStyle w:val="NormalHanging12a"/>
        <w:ind w:left="1134"/>
        <w:rPr>
          <w:szCs w:val="24"/>
        </w:rPr>
      </w:pPr>
      <w:r w:rsidRPr="00A00126">
        <w:t>–</w:t>
      </w:r>
      <w:r w:rsidRPr="00A00126">
        <w:tab/>
        <w:t>правата на лицата, принадлежащи към малцинства, включително ромите и евреите, и защитата от изказвания, изразяващи омраза към малцинствата,</w:t>
      </w:r>
    </w:p>
    <w:p w:rsidR="00C65205" w:rsidRPr="00A00126" w:rsidRDefault="00C65205" w:rsidP="00BE20C0">
      <w:pPr>
        <w:pStyle w:val="NormalHanging12a"/>
        <w:ind w:left="1134"/>
        <w:rPr>
          <w:szCs w:val="24"/>
        </w:rPr>
      </w:pPr>
      <w:r w:rsidRPr="00A00126">
        <w:t>–</w:t>
      </w:r>
      <w:r w:rsidRPr="00A00126">
        <w:tab/>
        <w:t xml:space="preserve">основните права на </w:t>
      </w:r>
      <w:proofErr w:type="spellStart"/>
      <w:r w:rsidRPr="00A00126">
        <w:t>мигрантите</w:t>
      </w:r>
      <w:proofErr w:type="spellEnd"/>
      <w:r w:rsidRPr="00A00126">
        <w:t>, търсещите убежище лица и бежанците;</w:t>
      </w:r>
    </w:p>
    <w:p w:rsidR="00C65205" w:rsidRPr="00A00126" w:rsidRDefault="00C65205" w:rsidP="00BE20C0">
      <w:pPr>
        <w:pStyle w:val="NormalHanging12a"/>
        <w:ind w:left="1134"/>
        <w:rPr>
          <w:szCs w:val="24"/>
        </w:rPr>
      </w:pPr>
      <w:r w:rsidRPr="00A00126">
        <w:t>–</w:t>
      </w:r>
      <w:r w:rsidRPr="00A00126">
        <w:tab/>
        <w:t>икономическите и социалните права;</w:t>
      </w:r>
    </w:p>
    <w:p w:rsidR="00C65205" w:rsidRPr="00A00126" w:rsidRDefault="00C65205" w:rsidP="00C65205">
      <w:pPr>
        <w:pStyle w:val="NormalHanging12a"/>
        <w:rPr>
          <w:szCs w:val="24"/>
        </w:rPr>
      </w:pPr>
      <w:r w:rsidRPr="00A00126">
        <w:t>С.</w:t>
      </w:r>
      <w:r w:rsidRPr="00A00126">
        <w:tab/>
        <w:t xml:space="preserve">като има предвид, че законът за защита на националния суверенитет влезе в сила на 23 декември 2023 г.; като има предвид, че в резултат на това беше създадена новата Служба за защита на суверенитета и беше изменен Наказателният кодекс, за да се предвиди, наред с другото, наказание лишаване от свобода за използване на финансиране от чужбина за политически кампании; като има предвид, че в своето изявление от 27 ноември 2023 г. комисарят на Съвета на Европа по правата на човека изтъкна, че проектът на този закон представлява значителен риск за правата на човека и трябва да бъде оттеглен; като има предвид, че в становището си от 18 март 2024 г. Венецианската комисия отбеляза, че ограниченията на чуждестранното финансиране за политическите партии и предизборните кампании са обичайна практика и по принцип в съответствие с най-добрите международни практики и стандарти, но в законовите изменения не е ясно определено какъв вид предизборни дейности са забранени и как да се установи, че те са били финансирани с чуждестранни средства; като има предвид, че в становището си Венецианската комисия отбеляза също, че измененията не отчитат сътрудничеството между политическите партии на международно равнище, не изключват финансиране от международни организации и не предвиждат спазване на международните задължения, сред които и задълженията, произтичащи от членството в ЕС; като има предвид, че на 7 февруари 2024 г. Комисията реши да започне производство за установяване на нарушение срещу Унгария, тъй като счете, че законодателството нарушава няколко разпоредби на първичното и вторичното право на ЕС, включително демократичните ценности на ЕС, принципа на демокрацията и избирателните права на гражданите на ЕС, както </w:t>
      </w:r>
      <w:r w:rsidRPr="00A00126">
        <w:lastRenderedPageBreak/>
        <w:t xml:space="preserve">и няколко основни права, залегнали в Хартата, като например правото на зачитане на личния и семейния живот, правото на защита на личните данни, свободата на изразяване на мнение и свободата на информация, свободата на сдружаване, избирателните права на гражданите на ЕС, правото на ефективни правни средства за защита и на справедлив съдебен процес, привилегията срещу </w:t>
      </w:r>
      <w:proofErr w:type="spellStart"/>
      <w:r w:rsidRPr="00A00126">
        <w:t>самоуличаване</w:t>
      </w:r>
      <w:proofErr w:type="spellEnd"/>
      <w:r w:rsidRPr="00A00126">
        <w:t xml:space="preserve"> и адвокатската тайна, изискванията на правото на ЕС, свързани със защитата на данните, и няколко правила, приложими за единния пазар;</w:t>
      </w:r>
    </w:p>
    <w:p w:rsidR="00C65205" w:rsidRPr="00A00126" w:rsidRDefault="00C65205" w:rsidP="00C65205">
      <w:pPr>
        <w:pStyle w:val="NormalHanging12a"/>
        <w:rPr>
          <w:szCs w:val="24"/>
        </w:rPr>
      </w:pPr>
      <w:r w:rsidRPr="00A00126">
        <w:t>Т.</w:t>
      </w:r>
      <w:r w:rsidRPr="00A00126">
        <w:tab/>
        <w:t>като има предвид, че след приемането на междинния доклад Съдът на ЕС обяви в решението си по дело C-823/21</w:t>
      </w:r>
      <w:r w:rsidRPr="00A00126">
        <w:rPr>
          <w:rStyle w:val="FootnoteReference"/>
          <w:szCs w:val="24"/>
        </w:rPr>
        <w:footnoteReference w:id="7"/>
      </w:r>
      <w:r w:rsidRPr="00A00126">
        <w:t xml:space="preserve">, </w:t>
      </w:r>
      <w:r w:rsidRPr="00A00126">
        <w:rPr>
          <w:i/>
          <w:iCs/>
        </w:rPr>
        <w:t>Комисия</w:t>
      </w:r>
      <w:r w:rsidRPr="00A00126">
        <w:t>/</w:t>
      </w:r>
      <w:r w:rsidRPr="00A00126">
        <w:rPr>
          <w:i/>
          <w:iCs/>
        </w:rPr>
        <w:t>Унгария</w:t>
      </w:r>
      <w:r w:rsidRPr="00A00126">
        <w:t>, че като обвързва възможността за подаване на молба за международна закрила с условието преди това да е депозирана декларация за намерение в унгарско посолство, намиращо се в трета държава, Унгария не изпълнява задълженията си съгласно правото на ЕС в областта на убежището;</w:t>
      </w:r>
    </w:p>
    <w:p w:rsidR="00C65205" w:rsidRPr="00A00126" w:rsidRDefault="00C65205" w:rsidP="00C65205">
      <w:pPr>
        <w:pStyle w:val="NormalHanging12a"/>
        <w:rPr>
          <w:szCs w:val="24"/>
        </w:rPr>
      </w:pPr>
      <w:r w:rsidRPr="00A00126">
        <w:t>У.</w:t>
      </w:r>
      <w:r w:rsidRPr="00A00126">
        <w:tab/>
        <w:t xml:space="preserve">като има предвид, че в решенията на Европейския съд по правата на човека (ЕСПЧ) от 10 ноември 2022 г. по делото </w:t>
      </w:r>
      <w:proofErr w:type="spellStart"/>
      <w:r w:rsidRPr="00A00126">
        <w:rPr>
          <w:i/>
          <w:iCs/>
        </w:rPr>
        <w:t>Bakirdzi</w:t>
      </w:r>
      <w:proofErr w:type="spellEnd"/>
      <w:r w:rsidRPr="00A00126">
        <w:rPr>
          <w:i/>
          <w:iCs/>
        </w:rPr>
        <w:t xml:space="preserve"> и E.C.</w:t>
      </w:r>
      <w:r w:rsidRPr="00A00126">
        <w:t>/</w:t>
      </w:r>
      <w:r w:rsidRPr="00A00126">
        <w:rPr>
          <w:i/>
          <w:iCs/>
        </w:rPr>
        <w:t>Унгария</w:t>
      </w:r>
      <w:r w:rsidRPr="00A00126">
        <w:t xml:space="preserve"> (</w:t>
      </w:r>
      <w:r w:rsidR="006F3379" w:rsidRPr="00BE20C0">
        <w:t>49636/14</w:t>
      </w:r>
      <w:r w:rsidRPr="00A00126">
        <w:rPr>
          <w:shd w:val="clear" w:color="auto" w:fill="FFFFFF"/>
        </w:rPr>
        <w:t xml:space="preserve"> и </w:t>
      </w:r>
      <w:r w:rsidR="006F3379" w:rsidRPr="00BE20C0">
        <w:t>65678/14</w:t>
      </w:r>
      <w:r w:rsidRPr="00A00126">
        <w:t xml:space="preserve">), което придоби окончателен характер на 3 април 2023 г., и от 30 март 2023 г. по делото </w:t>
      </w:r>
      <w:proofErr w:type="spellStart"/>
      <w:r w:rsidRPr="00A00126">
        <w:rPr>
          <w:i/>
          <w:iCs/>
        </w:rPr>
        <w:t>Szolcsán</w:t>
      </w:r>
      <w:proofErr w:type="spellEnd"/>
      <w:r w:rsidRPr="00A00126">
        <w:rPr>
          <w:i/>
          <w:iCs/>
        </w:rPr>
        <w:t>/Унгария</w:t>
      </w:r>
      <w:r w:rsidRPr="00A00126">
        <w:t xml:space="preserve"> (</w:t>
      </w:r>
      <w:r w:rsidRPr="00A00126">
        <w:rPr>
          <w:rStyle w:val="textcolumn"/>
          <w:shd w:val="clear" w:color="auto" w:fill="FFFFFF"/>
        </w:rPr>
        <w:t>24408/16</w:t>
      </w:r>
      <w:r w:rsidRPr="00A00126">
        <w:t xml:space="preserve">), което стана окончателно на 30 юни 2023 г., ЕСПЧ констатира нарушения на избирателните права на гласоподавателите от националните малцинства и по отношение на образованието на ромските деца в </w:t>
      </w:r>
      <w:proofErr w:type="spellStart"/>
      <w:r w:rsidRPr="00A00126">
        <w:t>сегрегирани</w:t>
      </w:r>
      <w:proofErr w:type="spellEnd"/>
      <w:r w:rsidRPr="00A00126">
        <w:t xml:space="preserve"> класове или училища, без да се предприемат подходящи мерки за коригиране на неравенствата;</w:t>
      </w:r>
    </w:p>
    <w:p w:rsidR="00C65205" w:rsidRPr="00A00126" w:rsidRDefault="00C65205" w:rsidP="00C65205">
      <w:pPr>
        <w:pStyle w:val="NormalHanging12a"/>
        <w:rPr>
          <w:szCs w:val="24"/>
        </w:rPr>
      </w:pPr>
      <w:r w:rsidRPr="00A00126">
        <w:t>Ф.</w:t>
      </w:r>
      <w:r w:rsidRPr="00A00126">
        <w:tab/>
        <w:t xml:space="preserve">като има предвид, че в решенията си относно предстоящия засилен надзор на изпълнението на решенията на ЕСПЧ по делата и групите дела </w:t>
      </w:r>
      <w:proofErr w:type="spellStart"/>
      <w:r w:rsidRPr="00A00126">
        <w:rPr>
          <w:i/>
          <w:iCs/>
        </w:rPr>
        <w:t>Szabó</w:t>
      </w:r>
      <w:proofErr w:type="spellEnd"/>
      <w:r w:rsidRPr="00A00126">
        <w:rPr>
          <w:i/>
          <w:iCs/>
        </w:rPr>
        <w:t xml:space="preserve"> и </w:t>
      </w:r>
      <w:proofErr w:type="spellStart"/>
      <w:r w:rsidRPr="00A00126">
        <w:rPr>
          <w:i/>
          <w:iCs/>
        </w:rPr>
        <w:t>Vissy</w:t>
      </w:r>
      <w:proofErr w:type="spellEnd"/>
      <w:r w:rsidRPr="00A00126">
        <w:rPr>
          <w:i/>
          <w:iCs/>
        </w:rPr>
        <w:t>/Унгария</w:t>
      </w:r>
      <w:r w:rsidRPr="00A00126">
        <w:rPr>
          <w:rStyle w:val="FootnoteReference"/>
          <w:i/>
          <w:szCs w:val="24"/>
        </w:rPr>
        <w:footnoteReference w:id="8"/>
      </w:r>
      <w:r w:rsidRPr="00A00126">
        <w:t xml:space="preserve">, </w:t>
      </w:r>
      <w:proofErr w:type="spellStart"/>
      <w:r w:rsidRPr="00A00126">
        <w:rPr>
          <w:i/>
          <w:iCs/>
        </w:rPr>
        <w:t>Gazsó</w:t>
      </w:r>
      <w:proofErr w:type="spellEnd"/>
      <w:r w:rsidRPr="00A00126">
        <w:rPr>
          <w:i/>
          <w:iCs/>
        </w:rPr>
        <w:t>/Унгария</w:t>
      </w:r>
      <w:r w:rsidRPr="00A00126">
        <w:rPr>
          <w:rStyle w:val="FootnoteReference"/>
          <w:i/>
          <w:szCs w:val="24"/>
        </w:rPr>
        <w:footnoteReference w:id="9"/>
      </w:r>
      <w:r w:rsidRPr="00A00126">
        <w:t xml:space="preserve">, </w:t>
      </w:r>
      <w:proofErr w:type="spellStart"/>
      <w:r w:rsidRPr="00A00126">
        <w:rPr>
          <w:i/>
          <w:iCs/>
        </w:rPr>
        <w:t>Ilias</w:t>
      </w:r>
      <w:proofErr w:type="spellEnd"/>
      <w:r w:rsidRPr="00A00126">
        <w:rPr>
          <w:i/>
          <w:iCs/>
        </w:rPr>
        <w:t xml:space="preserve"> и </w:t>
      </w:r>
      <w:proofErr w:type="spellStart"/>
      <w:r w:rsidRPr="00A00126">
        <w:rPr>
          <w:i/>
          <w:iCs/>
        </w:rPr>
        <w:t>Ahmed</w:t>
      </w:r>
      <w:proofErr w:type="spellEnd"/>
      <w:r w:rsidRPr="00A00126">
        <w:rPr>
          <w:i/>
          <w:iCs/>
        </w:rPr>
        <w:t>/Унгария</w:t>
      </w:r>
      <w:r w:rsidRPr="00A00126">
        <w:rPr>
          <w:rStyle w:val="FootnoteReference"/>
          <w:i/>
          <w:szCs w:val="24"/>
        </w:rPr>
        <w:footnoteReference w:id="10"/>
      </w:r>
      <w:r w:rsidRPr="00A00126">
        <w:t xml:space="preserve"> и </w:t>
      </w:r>
      <w:proofErr w:type="spellStart"/>
      <w:r w:rsidRPr="00A00126">
        <w:rPr>
          <w:i/>
          <w:iCs/>
        </w:rPr>
        <w:t>Baka</w:t>
      </w:r>
      <w:proofErr w:type="spellEnd"/>
      <w:r w:rsidRPr="00A00126">
        <w:rPr>
          <w:i/>
          <w:iCs/>
        </w:rPr>
        <w:t>/Унгария</w:t>
      </w:r>
      <w:r w:rsidRPr="00A00126">
        <w:rPr>
          <w:rStyle w:val="FootnoteReference"/>
          <w:i/>
          <w:szCs w:val="24"/>
        </w:rPr>
        <w:footnoteReference w:id="11"/>
      </w:r>
      <w:r w:rsidRPr="00A00126">
        <w:t xml:space="preserve"> Комитетът на министрите на Съвета на Европа отново изрази своята загриженост относно неизпълнението на тези решения;</w:t>
      </w:r>
    </w:p>
    <w:p w:rsidR="00C65205" w:rsidRPr="00A00126" w:rsidRDefault="00C65205" w:rsidP="00C65205">
      <w:pPr>
        <w:pStyle w:val="NormalHanging12a"/>
        <w:rPr>
          <w:szCs w:val="24"/>
        </w:rPr>
      </w:pPr>
      <w:r w:rsidRPr="00A00126">
        <w:t>Х.</w:t>
      </w:r>
      <w:r w:rsidRPr="00A00126">
        <w:tab/>
        <w:t xml:space="preserve">като има предвид, че в своя доклад за оценка в рамките на петия кръг за оценка на Унгария </w:t>
      </w:r>
      <w:r w:rsidRPr="00A00126">
        <w:rPr>
          <w:shd w:val="clear" w:color="auto" w:fill="FFFFFF"/>
        </w:rPr>
        <w:t>Групата държави срещу корупцията (</w:t>
      </w:r>
      <w:r w:rsidRPr="00A00126">
        <w:t xml:space="preserve">GRECO) изрази редица опасения относно ефективността на съществуващата в Унгария рамка за предотвратяване на корупцията сред лицата с висши изпълнителни функции и членовете на унгарската национална полиция и на Националната служба за защита; като има предвид, че GRECO посочи, че обща и генерална характеристика на публичната администрация и правоприлагащите агенции в Унгария е, че повечето мерки за гарантиране на почтеност и за предотвратяване на корупцията са насочени към длъжностните лица на ниско и средно равнище, но рамката за почтеност, приложима за лицата с висши изпълнителни функции, е много слаба, а условията за назначаване на служители на висши ръководни длъжности в полицията и </w:t>
      </w:r>
      <w:r w:rsidRPr="00A00126">
        <w:lastRenderedPageBreak/>
        <w:t>Националната служба за защита носят риск от политизиране;</w:t>
      </w:r>
    </w:p>
    <w:p w:rsidR="00C65205" w:rsidRPr="00A00126" w:rsidRDefault="00C65205" w:rsidP="00C65205">
      <w:pPr>
        <w:pStyle w:val="NormalHanging12a"/>
        <w:rPr>
          <w:szCs w:val="24"/>
        </w:rPr>
      </w:pPr>
      <w:r w:rsidRPr="00A00126">
        <w:t>Ц.</w:t>
      </w:r>
      <w:r w:rsidRPr="00A00126">
        <w:tab/>
        <w:t xml:space="preserve">като има предвид, че в своя доклад Европейската комисия срещу расизма и нетърпимостта приветства някои положителни развития в Унгария, но изрази загриженост относно премахването на Органа за равно третиране, заклеймяването на студенти от семейства в неравностойно положение и семейства с ниски доходи, като например студенти от ромски произход, значителното влошаване на положението във връзка с правата на човека на ЛГБТИ лицата, все по-ксенофобския обществен дискурс и политически изказвания, насочени по-специално към бежанците, търсещите убежище и </w:t>
      </w:r>
      <w:proofErr w:type="spellStart"/>
      <w:r w:rsidRPr="00A00126">
        <w:t>мигрантите</w:t>
      </w:r>
      <w:proofErr w:type="spellEnd"/>
      <w:r w:rsidRPr="00A00126">
        <w:t>, мюсюлманите и ЛГБТИ лицата, изключително ограничената ефективност на правната рамка относно изказванията, подбуждащи към омраза, неизпълнението на националните стратегии за социално приобщаване, прекратяването на държавната подкрепа за интеграция за бежанците и лицата, на които е предоставена субсидиарна закрила, и ограничения достъп до убежище в страната;</w:t>
      </w:r>
    </w:p>
    <w:p w:rsidR="00C65205" w:rsidRPr="00A00126" w:rsidRDefault="00C65205" w:rsidP="00C65205">
      <w:pPr>
        <w:pStyle w:val="NormalHanging12a"/>
        <w:rPr>
          <w:szCs w:val="24"/>
        </w:rPr>
      </w:pPr>
      <w:r w:rsidRPr="00A00126">
        <w:t>Ч.</w:t>
      </w:r>
      <w:r w:rsidRPr="00A00126">
        <w:tab/>
        <w:t>като има предвид, че в заключителните си наблюдения Комитетът на ООН за премахване на дискриминацията по отношение на жените изрази загриженост относно сексуалното и репродуктивното здраве и права, както и относно факта, че политиката на равенство на Унгария се основава изключително на концепцията за семейството и счита, че основната роля на жената е да бъде съпруга и майка, и препоръча на Унгария да предприеме мерки за справяне с обществения дискурс срещу социалния пол;</w:t>
      </w:r>
    </w:p>
    <w:p w:rsidR="00C65205" w:rsidRPr="00A00126" w:rsidRDefault="00C65205" w:rsidP="00C65205">
      <w:pPr>
        <w:pStyle w:val="NormalHanging12a"/>
        <w:rPr>
          <w:szCs w:val="24"/>
        </w:rPr>
      </w:pPr>
      <w:r w:rsidRPr="00A00126">
        <w:t>Ш.</w:t>
      </w:r>
      <w:r w:rsidRPr="00A00126">
        <w:tab/>
        <w:t xml:space="preserve">като има предвид, че в своето изявление след официално посещение в Унгария представителят на </w:t>
      </w:r>
      <w:r w:rsidRPr="00A00126">
        <w:rPr>
          <w:shd w:val="clear" w:color="auto" w:fill="FFFFFF"/>
        </w:rPr>
        <w:t>Организацията за сигурност и сътрудничество в Европа</w:t>
      </w:r>
      <w:r w:rsidRPr="00A00126">
        <w:t xml:space="preserve"> по въпросите на свободата на медиите заяви, че при разглеждането на положението във връзка със свободата на медиите в Унгария възниква картина на системен подход, при който някои гласове не се ползват от едни и същи основни условия, за да бъдат изслушани;</w:t>
      </w:r>
    </w:p>
    <w:p w:rsidR="00C65205" w:rsidRPr="00A00126" w:rsidRDefault="00C65205" w:rsidP="00C65205">
      <w:pPr>
        <w:pStyle w:val="NormalHanging12a"/>
        <w:rPr>
          <w:szCs w:val="24"/>
        </w:rPr>
      </w:pPr>
      <w:r w:rsidRPr="00A00126">
        <w:t>Щ.</w:t>
      </w:r>
      <w:r w:rsidRPr="00A00126">
        <w:tab/>
        <w:t xml:space="preserve">като има предвид, че в своята препоръка относно националната програма за реформи на Унгария за 2023 г. и съдържаща становище на Съвета относно програмата за конвергенция на Унгария за 2023 г. (COM(2023)0617), Съветът препоръча на Унгария да предприеме действия за подобряване на адекватността на системата за социално подпомагане, подобряване на достъпа до ефективни активни мерки на пазара на труда, гарантиране на ефективен социален диалог и подобряване на регулаторната рамка и </w:t>
      </w:r>
      <w:bookmarkStart w:id="7" w:name="_GoBack"/>
      <w:bookmarkEnd w:id="7"/>
      <w:r w:rsidRPr="00A00126">
        <w:t>конкуренцията в областта на услугите в съответствие с принципите на единния пазар и принципите на правовата държава;</w:t>
      </w:r>
    </w:p>
    <w:p w:rsidR="00C65205" w:rsidRPr="00A00126" w:rsidRDefault="00C65205" w:rsidP="00C65205">
      <w:pPr>
        <w:pStyle w:val="NormalHanging12a"/>
        <w:rPr>
          <w:szCs w:val="24"/>
        </w:rPr>
      </w:pPr>
      <w:r w:rsidRPr="00A00126">
        <w:t>AA.</w:t>
      </w:r>
      <w:r w:rsidRPr="00A00126">
        <w:tab/>
        <w:t>като има предвид, че унгарското правителство не е изпълнило множество решения на унгарския Конституционен съд, Съда на ЕС и ЕСПЧ, свързани с нарушения от страна на Унгария на ценностите, залегнали в член 2 от ДЕС, и не е предприело последващи действия във връзка с по-голямата част от препоръките, съдържащи се в Доклада на Комисията относно върховенството на закона за 2023 г. или препоръките на други международни органи, като например GRECO, Венецианската комисия и други;</w:t>
      </w:r>
    </w:p>
    <w:p w:rsidR="00C65205" w:rsidRPr="00A00126" w:rsidRDefault="00C65205" w:rsidP="00C65205">
      <w:pPr>
        <w:pStyle w:val="NormalHanging12a"/>
        <w:rPr>
          <w:szCs w:val="24"/>
        </w:rPr>
      </w:pPr>
      <w:r w:rsidRPr="00A00126">
        <w:t>1.</w:t>
      </w:r>
      <w:r w:rsidRPr="00A00126">
        <w:tab/>
        <w:t>изразява възмущение от продължаващото системно и умишлено нарушаване на демокрацията, принципите на правовата държава и основните права в Унгария, за което унгарското правителство носи отговорност;</w:t>
      </w:r>
    </w:p>
    <w:p w:rsidR="00C65205" w:rsidRPr="00A00126" w:rsidRDefault="00C65205" w:rsidP="00C65205">
      <w:pPr>
        <w:pStyle w:val="NormalHanging12a"/>
        <w:rPr>
          <w:szCs w:val="24"/>
        </w:rPr>
      </w:pPr>
      <w:r w:rsidRPr="00A00126">
        <w:lastRenderedPageBreak/>
        <w:t>2.</w:t>
      </w:r>
      <w:r w:rsidRPr="00A00126">
        <w:tab/>
        <w:t>подчертава, че зачитането на ценностите, залегнали в член 2 от ДЕС, се влоши значително в Унгария след задействането на член 7, параграф 1 от ДЕС, и изразява дълбоко съжаление, че липсата на решителни действия от страна на Комисията и Съвета допринесе за разпадане на демокрацията, принципите на правовата държава и основните права в тази държава, като я превърна в хибриден режим на изборна автокрация съгласно съответните показатели;</w:t>
      </w:r>
    </w:p>
    <w:p w:rsidR="00C65205" w:rsidRPr="00477701" w:rsidRDefault="00C65205" w:rsidP="00C65205">
      <w:pPr>
        <w:pStyle w:val="NormalHanging12a"/>
        <w:rPr>
          <w:szCs w:val="24"/>
        </w:rPr>
      </w:pPr>
      <w:r w:rsidRPr="00A00126">
        <w:t>3.</w:t>
      </w:r>
      <w:r w:rsidRPr="00A00126">
        <w:tab/>
        <w:t>осъжда приемането на Закона за защита на националния суверенитет и създаването на Службата за защита на суверенитета с широки правомощия и строга система за наблюдение и санкции, което съществено нарушава демократичните стандарти, като например принципа на свободни и честни избори, принципите на правовата държава и основните права, и нарушава множество закони на ЕС; приветства воденото от Комисията производство за установяване на нарушение срещу Унгария по този въпрос; призовава унгарското правителство незабавно да отмени акта;</w:t>
      </w:r>
      <w:r w:rsidR="000F04D2">
        <w:rPr>
          <w:lang w:val="fr-FR"/>
        </w:rPr>
        <w:t xml:space="preserve"> </w:t>
      </w:r>
      <w:r w:rsidR="000F04D2" w:rsidRPr="00BE20C0">
        <w:t>призовава Комисията да поиска от Съда на ЕС незабавното спиране на прилагането на горепосочения закон като временна мярка, тъй като този закон засяга принципа на свободни и честни избори;</w:t>
      </w:r>
    </w:p>
    <w:p w:rsidR="00C65205" w:rsidRPr="00A00126" w:rsidRDefault="00C65205" w:rsidP="00C65205">
      <w:pPr>
        <w:pStyle w:val="NormalHanging12a"/>
        <w:rPr>
          <w:szCs w:val="24"/>
        </w:rPr>
      </w:pPr>
      <w:r w:rsidRPr="00A00126">
        <w:t>4.</w:t>
      </w:r>
      <w:r w:rsidRPr="00A00126">
        <w:tab/>
        <w:t>изразява съжаление относно неспособността на Съвета да постигне значим напредък в текущата процедура по член 7, параграф 1 от ДЕС и отново призовава за подобряване на положението чрез провеждане на редовни изслушвания, бързо разрешаване на дългогодишни и нови проблеми, засягащи принципите на правовата държава, демокрацията и основните права, и за издаване на конкретни препоръки със срокове за изпълнение; призовава Съвета да публикува изчерпателни протоколи и заключения след всяко изслушване; настоява във всички производства, свързани с член 7 от ДЕС, Парламентът да може да представя мотивираното си предложение на Съвета, да присъства на изслушванията по член 7 от ДЕС и да бъде своевременно и изчерпателно информиран на всеки етап от процедурата; призовава Комисията и държавите членки да започнат процедурата по член 7, параграф 2 от ДЕС, а Европейският съвет — да определи дали Унгария е извършила тежки и трайни нарушения на ценностите на ЕС, залегнали в член 7, параграф 2 от ДЕС, в случай че не бъде постигнат напредък преди края на белгийското председателство; подчертава, че Съветът споделя отговорността за защитата на ценностите, залегнали в член 2 от ДЕС, и че ако те не бъдат защитени, това би имало дълготрайни и потенциално вредни последици;</w:t>
      </w:r>
    </w:p>
    <w:p w:rsidR="00C65205" w:rsidRPr="00A00126" w:rsidRDefault="00C65205" w:rsidP="00C65205">
      <w:pPr>
        <w:pStyle w:val="NormalHanging12a"/>
        <w:rPr>
          <w:szCs w:val="24"/>
        </w:rPr>
      </w:pPr>
      <w:r w:rsidRPr="00A00126">
        <w:t>5.</w:t>
      </w:r>
      <w:r w:rsidRPr="00A00126">
        <w:tab/>
        <w:t xml:space="preserve">подчертава важната роля на председателството на Съвета за постигане на напредък в работата на Съвета по законодателството на ЕС, за осигуряване на приемственост в дневния ред на ЕС и за представителството на Съвета в отношенията с другите институции на ЕС; отново изразява своята загриженост от това, че унгарското правителство няма да може да изпълни надеждно тази задача през 2024 г. с оглед на неспазването от негова страна на правото на ЕС и на ценностите, залегнали в член 2 от ДЕС, както и на принципа на лоялно сътрудничество; изразява съжаление, че Съветът все още не е намерил решение на този проблем и че представители на унгарското правителство ще председателстват заседанията на Съвета относно демокрацията, принципите на правовата държава и основните права, включително заседанията, свързани със защитата на финансовите интереси и бюджета на ЕС; подчертава, че това предизвикателство идва в решаващия момент на европейските избори и сформирането на Комисията; изразява съжаление, че не е намерено решение, и </w:t>
      </w:r>
      <w:r w:rsidRPr="00A00126">
        <w:lastRenderedPageBreak/>
        <w:t>отново заявява готовността си да предприеме мерки за защита на доверието в Съюза по отношение на ценностите, залегнали в член 2 от ДЕС, що се отнася до сътрудничеството със Съвета;</w:t>
      </w:r>
    </w:p>
    <w:p w:rsidR="00C65205" w:rsidRPr="00A00126" w:rsidRDefault="00C65205" w:rsidP="00C65205">
      <w:pPr>
        <w:pStyle w:val="NormalHanging12a"/>
        <w:rPr>
          <w:szCs w:val="24"/>
        </w:rPr>
      </w:pPr>
      <w:r w:rsidRPr="00A00126">
        <w:t>6.</w:t>
      </w:r>
      <w:r w:rsidRPr="00A00126">
        <w:tab/>
        <w:t>призовава Съвета и Комисията да отделят повече внимание на борбата срещу системното незачитане на принципите на правовата държава, както и на взаимодействието между различните нарушения на ценностите, установени в неговите резолюции; подчертава, че ЕС следва да защитава с еднаква решителност всички ценности, залегнали в член 2 от ДЕС, и че ако това не бъде направено, ще бъдат подкопани демократичните институции и в крайна сметка ще бъдат засегнати правата на човека и животът на всички в държавите, в които тези ценности са нарушени;</w:t>
      </w:r>
    </w:p>
    <w:p w:rsidR="00C65205" w:rsidRPr="00A00126" w:rsidRDefault="00C65205" w:rsidP="00C65205">
      <w:pPr>
        <w:pStyle w:val="NormalHanging12a"/>
        <w:rPr>
          <w:szCs w:val="24"/>
        </w:rPr>
      </w:pPr>
      <w:r w:rsidRPr="00A00126">
        <w:t>7.</w:t>
      </w:r>
      <w:r w:rsidRPr="00A00126">
        <w:tab/>
        <w:t>отново призовава Комисията да използва в пълна степен наличните инструменти за справяне с очевидния риск от тежко нарушение от страна на Унгария на ценностите, на които се основава Съюзът, по-специално да използва ускорени производства за установяване на нарушения, искания за временни мерки до Съда на ЕС и действия относно неизпълнението на решенията на Съда на ЕС; припомня значението на Регламента относно обвързаността с условия и приветства решението на Комисията от 13 декември 2023 г., с което се потвърждава, че рискът за бюджета на Съюза остава непроменен от декември 2022 г. насам, което води до удължаване на срока на действие на мерките, приети съгласно регламента; призовава Комисията да предприеме незабавни действия съгласно регламента по отношение на други нарушения на принципите на правовата държава;</w:t>
      </w:r>
    </w:p>
    <w:p w:rsidR="00C65205" w:rsidRPr="00477701" w:rsidRDefault="00C65205" w:rsidP="000F04D2">
      <w:pPr>
        <w:pStyle w:val="NormalHanging12a"/>
        <w:rPr>
          <w:szCs w:val="24"/>
        </w:rPr>
      </w:pPr>
      <w:r w:rsidRPr="00A00126">
        <w:t>8.</w:t>
      </w:r>
      <w:r w:rsidRPr="00A00126">
        <w:tab/>
        <w:t xml:space="preserve">в този контекст отново изразява сериозната си загриженост относно решението, като счита, че хоризонталното благоприятстващо условие във връзка с Хартата е изпълнено по отношение на независимостта на съдебната власт, като по този начин беше дадена възможност на унгарските органи да подават искания за възстановяване в размер до 10,2 милиарда евро, без да са въведени подходящи механизми за контрол или процедури за възлагане на обществени поръчки, които да гарантират добро финансово управление или защита на бюджета на ЕС; припомня искането на Парламента за проверка на законосъобразността на Решение C (2023) 9014 пред Съда на ЕС в съответствие с член 263 от ДФЕС, което беше подадено на 25 март 2024 г.; очаква бързо разрешаване на въпроса; отново призовава Комисията да </w:t>
      </w:r>
      <w:r w:rsidR="000F04D2" w:rsidRPr="000F04D2">
        <w:t>оттегли</w:t>
      </w:r>
      <w:r w:rsidRPr="00A00126">
        <w:t xml:space="preserve"> решението си, особено с оглед на националните мерки, предприети след приемането му, и изтеклите разкрития на бившия министър на правосъдието на Унгария, които предполагат липса на независимост на прокуратурата и наличие на политическа намеса в наказателното производство; призовава Комисията </w:t>
      </w:r>
      <w:r w:rsidR="000F04D2" w:rsidRPr="000F04D2">
        <w:t>замрази средствата</w:t>
      </w:r>
      <w:r w:rsidRPr="00A00126">
        <w:t>, докато цялото съответно законодателство не бъде приложено изцяло, докато приетите мерки не докажат своята ефективност на практика и докато Унгария не изпълни всички съответни решения на Съда на ЕС и на ЕСПЧ; изисква от Комисията да контролира задълбочено предварителното финансиране, предоставяно в рамките на финансиране от ЕС, за да гарантира, че средствата се усвояват в съответствие с целите на съответното законодателство; отново призовава Унгария спешно да се присъедини към Европейската прокуратура;</w:t>
      </w:r>
      <w:r w:rsidR="000F04D2">
        <w:rPr>
          <w:lang w:val="fr-FR"/>
        </w:rPr>
        <w:t xml:space="preserve"> </w:t>
      </w:r>
      <w:r w:rsidR="000F04D2" w:rsidRPr="00BE20C0">
        <w:t>призовава Комисията да призове настоятелно Унгария да участва в Европейската прокуратура;</w:t>
      </w:r>
    </w:p>
    <w:p w:rsidR="00C65205" w:rsidRPr="00A00126" w:rsidRDefault="00C65205" w:rsidP="00C65205">
      <w:pPr>
        <w:pStyle w:val="NormalHanging12a"/>
        <w:rPr>
          <w:szCs w:val="24"/>
        </w:rPr>
      </w:pPr>
      <w:r w:rsidRPr="00A00126">
        <w:t>9.</w:t>
      </w:r>
      <w:r w:rsidRPr="00A00126">
        <w:tab/>
        <w:t xml:space="preserve">настоява, че мерките, необходими за отпускането на финансиране от ЕС, както е </w:t>
      </w:r>
      <w:r w:rsidRPr="00A00126">
        <w:lastRenderedPageBreak/>
        <w:t xml:space="preserve">определено в съответните решения, взети съгласно Регламента за </w:t>
      </w:r>
      <w:proofErr w:type="spellStart"/>
      <w:r w:rsidRPr="00A00126">
        <w:t>общоприложимите</w:t>
      </w:r>
      <w:proofErr w:type="spellEnd"/>
      <w:r w:rsidRPr="00A00126">
        <w:t xml:space="preserve"> разпоредби</w:t>
      </w:r>
      <w:r w:rsidRPr="00A00126">
        <w:rPr>
          <w:rStyle w:val="FootnoteReference"/>
          <w:szCs w:val="24"/>
        </w:rPr>
        <w:footnoteReference w:id="12"/>
      </w:r>
      <w:r w:rsidRPr="00A00126">
        <w:t xml:space="preserve"> (РОР), Регламента за Механизма за възстановяване и устойчивост (МВУ)</w:t>
      </w:r>
      <w:r w:rsidRPr="00A00126">
        <w:rPr>
          <w:rStyle w:val="FootnoteReference"/>
          <w:szCs w:val="24"/>
        </w:rPr>
        <w:footnoteReference w:id="13"/>
      </w:r>
      <w:r w:rsidRPr="00A00126">
        <w:t xml:space="preserve"> и Регламента относно обвързаността с условия, трябва да бъдат оценявани по съгласуван начин като цялостен пакет и че не следва да се извършват плащания, дори ако е постигнат напредък в една или повече области, но все още има недостатъци в други области; подчертава, че е неразбираемо да се отпускат средства съгласно РОР с позоваване на подобряване на независимостта на съдебната власт, докато в същото време средствата по линия на МВУ и механизма за обвързаност с условия остават блокирани поради продължаващи недостатъци, свързани с независимостта на съдебната власт;</w:t>
      </w:r>
    </w:p>
    <w:p w:rsidR="00C65205" w:rsidRPr="00A00126" w:rsidRDefault="00C65205" w:rsidP="00C65205">
      <w:pPr>
        <w:pStyle w:val="NormalHanging12a"/>
        <w:rPr>
          <w:szCs w:val="24"/>
        </w:rPr>
      </w:pPr>
      <w:r w:rsidRPr="00A00126">
        <w:t>10.</w:t>
      </w:r>
      <w:r w:rsidRPr="00A00126">
        <w:tab/>
        <w:t>отбелязва създаването на Органа за почтеност като една от коригиращите мерки, които трябва да бъдат приложени в рамките на Регламента относно обвързаността с условия; счита, че самото създаване на институцията не може да се счита за достатъчно, за да се отговори на настоящите опасения, и счита, че изпълнението на съответните коригиращи мерки следва да се оценява въз основа на практическото функциониране на тази институция; счита, че ако разполага с подходящи правомощия и изпълнителни правомощия, Органът за почтеност има потенциала да се справи с някои от опасенията, свързани с положението във връзка с принципите на правовата държава в Унгария, по-специално борбата срещу корупцията; въпреки това изразява загриженост, че на практика той не разполага с компетентност и правомощия за адекватно изпълнение на своите задачи, както стана ясно през първата година от дейността му; настоява да му бъдат предоставени допълнителни правомощия и тези правомощия да бъдат приложими, по-специално като му се предостави подходящ достъп до съответните бази данни, като се засилят правомощията му за разследване и се направи задължително приемането на неговите препоръки;</w:t>
      </w:r>
    </w:p>
    <w:p w:rsidR="00C65205" w:rsidRPr="00A00126" w:rsidRDefault="00C65205" w:rsidP="00C65205">
      <w:pPr>
        <w:pStyle w:val="NormalHanging12a"/>
        <w:rPr>
          <w:szCs w:val="24"/>
        </w:rPr>
      </w:pPr>
      <w:r w:rsidRPr="00A00126">
        <w:t>11.</w:t>
      </w:r>
      <w:r w:rsidRPr="00A00126">
        <w:tab/>
        <w:t xml:space="preserve">подчертава, че спазването на правото на ЕС, включително на правилата на единния пазар, представлява основен стълб на принципа на правовата държава; призовава Комисията да включи оценка на положението на единния пазар в съответната държава членка в оценката на положението във връзка с принципите на правовата държава във всяка държава членка; изразява загриженост относно злоупотребата с власт и системните дискриминационни практики, прилагани от унгарските органи срещу дружества, извършващи дейност в области, определени като такива от стратегически интерес за унгарското правителство и </w:t>
      </w:r>
      <w:proofErr w:type="spellStart"/>
      <w:r w:rsidRPr="00A00126">
        <w:t>олигарси</w:t>
      </w:r>
      <w:proofErr w:type="spellEnd"/>
      <w:r w:rsidRPr="00A00126">
        <w:t xml:space="preserve">; подчертава, че това доведе до среда на дискриминация и страх, която противоречи на стълбовете на единния пазар и излага някои дружества и техните законни стопански интереси на сериозен риск и фактически ги принуждава да </w:t>
      </w:r>
      <w:r w:rsidRPr="00A00126">
        <w:lastRenderedPageBreak/>
        <w:t>напуснат унгарския пазар; призовава Комисията да постави специален акцент върху спазването на правилата на единния пазар, когато прави оценка на положението във връзка с принципите на правовата държава в Унгария; призовава Комисията да проучи дали законите относно областите, определени като такива от стратегически интерес за унгарското правителство, са в съответствие с действащото европейско право; подчертава, че Комисията има задължението да предприеме бързо последващи действия във връзка с жалби, подадени от дружества, които систематично са обект на наблюдение от страна на унгарските органи, и да сезира Съда на ЕС по съответните дела;</w:t>
      </w:r>
    </w:p>
    <w:p w:rsidR="00C65205" w:rsidRPr="00A00126" w:rsidRDefault="00C65205" w:rsidP="00C65205">
      <w:pPr>
        <w:pStyle w:val="NormalHanging12a"/>
        <w:rPr>
          <w:szCs w:val="24"/>
        </w:rPr>
      </w:pPr>
      <w:r w:rsidRPr="00A00126">
        <w:t>12.</w:t>
      </w:r>
      <w:r w:rsidRPr="00A00126">
        <w:tab/>
        <w:t>изразява съжаление относно факта, че Унгария е злоупотребила с правото си на вето в Съвета, като е предотвратила предоставянето на съществена помощ на Украйна, като по този начин е подкопала стратегическите интереси на ЕС; осъжда общата политика на унгарското правителство спрямо Русия;</w:t>
      </w:r>
    </w:p>
    <w:p w:rsidR="00C65205" w:rsidRPr="00A00126" w:rsidRDefault="00C65205" w:rsidP="00C65205">
      <w:pPr>
        <w:pStyle w:val="NormalHanging12a"/>
        <w:rPr>
          <w:szCs w:val="24"/>
        </w:rPr>
      </w:pPr>
      <w:r w:rsidRPr="00A00126">
        <w:t>13.</w:t>
      </w:r>
      <w:r w:rsidRPr="00A00126">
        <w:tab/>
        <w:t xml:space="preserve">призовава отново Комисията да гарантира, че крайните получатели или </w:t>
      </w:r>
      <w:proofErr w:type="spellStart"/>
      <w:r w:rsidRPr="00A00126">
        <w:t>бенефициери</w:t>
      </w:r>
      <w:proofErr w:type="spellEnd"/>
      <w:r w:rsidRPr="00A00126">
        <w:t xml:space="preserve"> на средства от ЕС не биват лишавани от тези средства, както е посочено в Регламента относно обвързаността с условия; призовава Комисията да намери начини за разпределяне на средствата на ЕС чрез местните и регионалните органи на власт и гражданското общество, ако съответното правителство не сътрудничи по отношение на недостатъците при прилагането на принципите на правовата държава;</w:t>
      </w:r>
    </w:p>
    <w:p w:rsidR="00C65205" w:rsidRPr="00A00126" w:rsidRDefault="00C65205" w:rsidP="00C65205">
      <w:pPr>
        <w:pStyle w:val="NormalHanging12a"/>
        <w:rPr>
          <w:szCs w:val="24"/>
        </w:rPr>
      </w:pPr>
      <w:r w:rsidRPr="00A00126">
        <w:t>14.</w:t>
      </w:r>
      <w:r w:rsidRPr="00A00126">
        <w:tab/>
        <w:t>подчертава, че унгарските органи трябва да гарантират прозрачност и равни възможности за физическите лица, дружествата, гражданското общество, неправителствените организации и местните и регионалните органи на власт, които желаят да получат достъп до финансиране от ЕС, и трябва да гарантират независим съдебен контрол, както и безпристрастни и ефективни механизми за подаване на жалби; осъжда докладваните системни дискриминационни практики срещу академичните среди, журналистите, политическите партии и гражданското общество, както и дружествата в определени сектори;</w:t>
      </w:r>
    </w:p>
    <w:p w:rsidR="00C65205" w:rsidRPr="00A00126" w:rsidRDefault="00C65205" w:rsidP="00C65205">
      <w:pPr>
        <w:pStyle w:val="NormalHanging12a"/>
        <w:rPr>
          <w:szCs w:val="24"/>
        </w:rPr>
      </w:pPr>
      <w:r w:rsidRPr="00A00126">
        <w:t>15.</w:t>
      </w:r>
      <w:r w:rsidRPr="00A00126">
        <w:tab/>
        <w:t>призовава Комисията да подкрепя независимото гражданско общество в Унгария, което защитава ценностите, залегнали в член 2 от ДЕС, по-специално като използва програмата „Граждани, равенство, права и ценности“; отново призовава Комисията да приеме всеобхватна стратегия за гражданското общество за защита и развитие на гражданското пространство в рамките на ЕС, която да включва всички съществуващи инструменти и да очертава набор от конкретни мерки за защита и укрепване на гражданското пространство;</w:t>
      </w:r>
    </w:p>
    <w:p w:rsidR="00C65205" w:rsidRPr="00A00126" w:rsidRDefault="00C65205" w:rsidP="00C65205">
      <w:pPr>
        <w:pStyle w:val="NormalHanging12a"/>
        <w:rPr>
          <w:szCs w:val="24"/>
        </w:rPr>
      </w:pPr>
      <w:r w:rsidRPr="00A00126">
        <w:t>16.</w:t>
      </w:r>
      <w:r w:rsidRPr="00A00126">
        <w:tab/>
        <w:t>отново призовава Комисията и Съвета незабавно да започнат преговори с Парламента относно механизъм на ЕС за демокрацията, принципите на правовата държава и основните права под формата на междуинституционално споразумение, включително относно постоянен цикъл на политиката между институциите на ЕС;</w:t>
      </w:r>
    </w:p>
    <w:p w:rsidR="00E365E1" w:rsidRPr="00A00126" w:rsidRDefault="00C65205" w:rsidP="007F475D">
      <w:pPr>
        <w:ind w:left="567" w:hanging="567"/>
      </w:pPr>
      <w:r w:rsidRPr="00A00126">
        <w:t>17.</w:t>
      </w:r>
      <w:r w:rsidRPr="00A00126">
        <w:tab/>
        <w:t>възлага на своя председател да предаде настоящата резолюция съответно на Съвета, Комисията, правителствата и парламентите на държавите членки, Съвета на Европа, Организацията за сигурност и сътрудничество в Европа и на Организацията на обединените нации.</w:t>
      </w:r>
      <w:bookmarkStart w:id="8" w:name="TextBodyEnd"/>
      <w:bookmarkEnd w:id="8"/>
    </w:p>
    <w:sectPr w:rsidR="00E365E1" w:rsidRPr="00A00126" w:rsidSect="00A001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010" w:rsidRPr="00A00126" w:rsidRDefault="00125010">
      <w:r w:rsidRPr="00A00126">
        <w:separator/>
      </w:r>
    </w:p>
  </w:endnote>
  <w:endnote w:type="continuationSeparator" w:id="0">
    <w:p w:rsidR="00125010" w:rsidRPr="00A00126" w:rsidRDefault="00125010">
      <w:r w:rsidRPr="00A001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12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12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1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010" w:rsidRPr="00A00126" w:rsidRDefault="00125010">
      <w:r w:rsidRPr="00A00126">
        <w:separator/>
      </w:r>
    </w:p>
  </w:footnote>
  <w:footnote w:type="continuationSeparator" w:id="0">
    <w:p w:rsidR="00125010" w:rsidRPr="00A00126" w:rsidRDefault="00125010">
      <w:r w:rsidRPr="00A00126">
        <w:continuationSeparator/>
      </w:r>
    </w:p>
  </w:footnote>
  <w:footnote w:id="1">
    <w:p w:rsidR="00C65205" w:rsidRPr="00943C70" w:rsidRDefault="00C65205" w:rsidP="00A00126">
      <w:pPr>
        <w:pStyle w:val="FootnoteText"/>
        <w:ind w:left="567" w:hanging="567"/>
        <w:rPr>
          <w:i/>
          <w:sz w:val="24"/>
          <w:lang w:val="bg-BG"/>
        </w:rPr>
      </w:pPr>
      <w:r w:rsidRPr="00A00126">
        <w:rPr>
          <w:rStyle w:val="FootnoteReference"/>
          <w:sz w:val="24"/>
          <w:lang w:val="bg-BG"/>
        </w:rPr>
        <w:footnoteRef/>
      </w:r>
      <w:r w:rsidR="00A00126" w:rsidRPr="00A00126">
        <w:rPr>
          <w:rStyle w:val="Emphasis"/>
          <w:sz w:val="24"/>
          <w:shd w:val="clear" w:color="auto" w:fill="FFFFFF"/>
          <w:lang w:val="bg-BG"/>
        </w:rPr>
        <w:t xml:space="preserve"> </w:t>
      </w:r>
      <w:r w:rsidR="00A00126" w:rsidRPr="00A00126">
        <w:rPr>
          <w:rStyle w:val="Emphasis"/>
          <w:sz w:val="24"/>
          <w:shd w:val="clear" w:color="auto" w:fill="FFFFFF"/>
          <w:lang w:val="bg-BG"/>
        </w:rPr>
        <w:tab/>
      </w:r>
      <w:r w:rsidRPr="00943C70">
        <w:rPr>
          <w:rStyle w:val="Emphasis"/>
          <w:i w:val="0"/>
          <w:sz w:val="24"/>
          <w:shd w:val="clear" w:color="auto" w:fill="FFFFFF"/>
          <w:lang w:val="bg-BG"/>
        </w:rPr>
        <w:t>ОВ C 433, 23.12.2019 г., стр. 66.</w:t>
      </w:r>
    </w:p>
  </w:footnote>
  <w:footnote w:id="2">
    <w:p w:rsidR="00C65205" w:rsidRPr="00943C70" w:rsidRDefault="00C65205" w:rsidP="00A00126">
      <w:pPr>
        <w:pStyle w:val="FootnoteText"/>
        <w:ind w:left="567" w:hanging="567"/>
        <w:rPr>
          <w:sz w:val="24"/>
          <w:lang w:val="bg-BG"/>
        </w:rPr>
      </w:pPr>
      <w:r w:rsidRPr="00A00126">
        <w:rPr>
          <w:rStyle w:val="FootnoteReference"/>
          <w:sz w:val="24"/>
          <w:lang w:val="bg-BG"/>
        </w:rPr>
        <w:footnoteRef/>
      </w:r>
      <w:r w:rsidR="00A00126" w:rsidRPr="00A00126">
        <w:rPr>
          <w:rStyle w:val="Emphasis"/>
          <w:sz w:val="24"/>
          <w:shd w:val="clear" w:color="auto" w:fill="FFFFFF"/>
          <w:lang w:val="bg-BG"/>
        </w:rPr>
        <w:t xml:space="preserve"> </w:t>
      </w:r>
      <w:r w:rsidR="00A00126" w:rsidRPr="00A00126">
        <w:rPr>
          <w:rStyle w:val="Emphasis"/>
          <w:sz w:val="24"/>
          <w:shd w:val="clear" w:color="auto" w:fill="FFFFFF"/>
          <w:lang w:val="bg-BG"/>
        </w:rPr>
        <w:tab/>
      </w:r>
      <w:r w:rsidRPr="00943C70">
        <w:rPr>
          <w:rStyle w:val="Emphasis"/>
          <w:i w:val="0"/>
          <w:sz w:val="24"/>
          <w:shd w:val="clear" w:color="auto" w:fill="FFFFFF"/>
          <w:lang w:val="bg-BG"/>
        </w:rPr>
        <w:t>OВ L 433</w:t>
      </w:r>
      <w:r w:rsidR="006F3379">
        <w:rPr>
          <w:rStyle w:val="Emphasis"/>
          <w:i w:val="0"/>
          <w:sz w:val="24"/>
          <w:shd w:val="clear" w:color="auto" w:fill="FFFFFF"/>
          <w:lang w:val="bg-BG"/>
        </w:rPr>
        <w:t> </w:t>
      </w:r>
      <w:r w:rsidRPr="00943C70">
        <w:rPr>
          <w:rStyle w:val="Emphasis"/>
          <w:i w:val="0"/>
          <w:sz w:val="24"/>
          <w:shd w:val="clear" w:color="auto" w:fill="FFFFFF"/>
          <w:lang w:val="bg-BG"/>
        </w:rPr>
        <w:t>I, 22.12.2020 г., стр. 1.</w:t>
      </w:r>
    </w:p>
  </w:footnote>
  <w:footnote w:id="3">
    <w:p w:rsidR="00C65205" w:rsidRPr="00943C70" w:rsidRDefault="00C65205" w:rsidP="00A00126">
      <w:pPr>
        <w:pStyle w:val="FootnoteText"/>
        <w:ind w:left="567" w:hanging="567"/>
        <w:rPr>
          <w:sz w:val="24"/>
          <w:lang w:val="bg-BG"/>
        </w:rPr>
      </w:pPr>
      <w:r w:rsidRPr="00943C70">
        <w:rPr>
          <w:rStyle w:val="FootnoteReference"/>
          <w:sz w:val="24"/>
          <w:lang w:val="bg-BG"/>
        </w:rPr>
        <w:footnoteRef/>
      </w:r>
      <w:r w:rsidR="00A00126" w:rsidRPr="00943C70">
        <w:rPr>
          <w:rStyle w:val="Emphasis"/>
          <w:i w:val="0"/>
          <w:sz w:val="24"/>
          <w:shd w:val="clear" w:color="auto" w:fill="FFFFFF"/>
          <w:lang w:val="bg-BG"/>
        </w:rPr>
        <w:t xml:space="preserve"> </w:t>
      </w:r>
      <w:r w:rsidR="00A00126" w:rsidRPr="00943C70">
        <w:rPr>
          <w:rStyle w:val="Emphasis"/>
          <w:i w:val="0"/>
          <w:sz w:val="24"/>
          <w:shd w:val="clear" w:color="auto" w:fill="FFFFFF"/>
          <w:lang w:val="bg-BG"/>
        </w:rPr>
        <w:tab/>
      </w:r>
      <w:r w:rsidRPr="00943C70">
        <w:rPr>
          <w:rStyle w:val="Emphasis"/>
          <w:i w:val="0"/>
          <w:sz w:val="24"/>
          <w:shd w:val="clear" w:color="auto" w:fill="FFFFFF"/>
          <w:lang w:val="bg-BG"/>
        </w:rPr>
        <w:t>ОВ С 125, 5.4.2023 г., стр. 463.</w:t>
      </w:r>
    </w:p>
  </w:footnote>
  <w:footnote w:id="4">
    <w:p w:rsidR="00C65205" w:rsidRPr="00943C70" w:rsidRDefault="00C65205" w:rsidP="00A00126">
      <w:pPr>
        <w:pStyle w:val="FootnoteText"/>
        <w:ind w:left="567" w:hanging="567"/>
        <w:rPr>
          <w:sz w:val="24"/>
          <w:lang w:val="bg-BG"/>
        </w:rPr>
      </w:pPr>
      <w:r w:rsidRPr="00943C70">
        <w:rPr>
          <w:rStyle w:val="FootnoteReference"/>
          <w:sz w:val="24"/>
          <w:lang w:val="bg-BG"/>
        </w:rPr>
        <w:footnoteRef/>
      </w:r>
      <w:r w:rsidR="00A00126" w:rsidRPr="00943C70">
        <w:rPr>
          <w:rStyle w:val="Emphasis"/>
          <w:i w:val="0"/>
          <w:sz w:val="24"/>
          <w:shd w:val="clear" w:color="auto" w:fill="FFFFFF"/>
          <w:lang w:val="bg-BG"/>
        </w:rPr>
        <w:t xml:space="preserve"> </w:t>
      </w:r>
      <w:r w:rsidR="00A00126" w:rsidRPr="00943C70">
        <w:rPr>
          <w:rStyle w:val="Emphasis"/>
          <w:i w:val="0"/>
          <w:sz w:val="24"/>
          <w:shd w:val="clear" w:color="auto" w:fill="FFFFFF"/>
          <w:lang w:val="bg-BG"/>
        </w:rPr>
        <w:tab/>
      </w:r>
      <w:r w:rsidRPr="00943C70">
        <w:rPr>
          <w:rStyle w:val="Emphasis"/>
          <w:i w:val="0"/>
          <w:sz w:val="24"/>
          <w:shd w:val="clear" w:color="auto" w:fill="FFFFFF"/>
          <w:lang w:val="bg-BG"/>
        </w:rPr>
        <w:t>ОВ С 167, 11.5.2023 г., стр. 74.</w:t>
      </w:r>
    </w:p>
  </w:footnote>
  <w:footnote w:id="5">
    <w:p w:rsidR="00C65205" w:rsidRPr="00943C70" w:rsidRDefault="00C65205" w:rsidP="00A00126">
      <w:pPr>
        <w:pStyle w:val="FootnoteText"/>
        <w:ind w:left="567" w:hanging="567"/>
        <w:rPr>
          <w:sz w:val="24"/>
          <w:lang w:val="bg-BG"/>
        </w:rPr>
      </w:pPr>
      <w:r w:rsidRPr="00943C70">
        <w:rPr>
          <w:rStyle w:val="FootnoteReference"/>
          <w:sz w:val="24"/>
          <w:lang w:val="bg-BG"/>
        </w:rPr>
        <w:footnoteRef/>
      </w:r>
      <w:r w:rsidR="00A00126" w:rsidRPr="00943C70">
        <w:rPr>
          <w:rStyle w:val="Emphasis"/>
          <w:i w:val="0"/>
          <w:sz w:val="24"/>
          <w:shd w:val="clear" w:color="auto" w:fill="FFFFFF"/>
          <w:lang w:val="bg-BG"/>
        </w:rPr>
        <w:t xml:space="preserve"> </w:t>
      </w:r>
      <w:r w:rsidR="00A00126" w:rsidRPr="00943C70">
        <w:rPr>
          <w:rStyle w:val="Emphasis"/>
          <w:i w:val="0"/>
          <w:sz w:val="24"/>
          <w:shd w:val="clear" w:color="auto" w:fill="FFFFFF"/>
          <w:lang w:val="bg-BG"/>
        </w:rPr>
        <w:tab/>
      </w:r>
      <w:r w:rsidRPr="00943C70">
        <w:rPr>
          <w:rStyle w:val="Emphasis"/>
          <w:i w:val="0"/>
          <w:sz w:val="24"/>
          <w:shd w:val="clear" w:color="auto" w:fill="FFFFFF"/>
          <w:lang w:val="bg-BG"/>
        </w:rPr>
        <w:t>OВ C, C/2023/1223, 21.12.2023 г., ELI: http://data.europa.eu/eli/C/2023/1223/oj.</w:t>
      </w:r>
    </w:p>
  </w:footnote>
  <w:footnote w:id="6">
    <w:p w:rsidR="00C65205" w:rsidRPr="00A00126" w:rsidRDefault="00C65205" w:rsidP="00A00126">
      <w:pPr>
        <w:pStyle w:val="FootnoteText"/>
        <w:ind w:left="567" w:hanging="567"/>
        <w:rPr>
          <w:sz w:val="24"/>
          <w:lang w:val="bg-BG"/>
        </w:rPr>
      </w:pPr>
      <w:r w:rsidRPr="00A00126">
        <w:rPr>
          <w:rStyle w:val="FootnoteReference"/>
          <w:sz w:val="24"/>
          <w:lang w:val="bg-BG"/>
        </w:rPr>
        <w:footnoteRef/>
      </w:r>
      <w:r w:rsidR="00A00126" w:rsidRPr="00A00126">
        <w:rPr>
          <w:sz w:val="24"/>
          <w:lang w:val="bg-BG"/>
        </w:rPr>
        <w:t xml:space="preserve"> </w:t>
      </w:r>
      <w:r w:rsidR="00A00126" w:rsidRPr="00A00126">
        <w:rPr>
          <w:sz w:val="24"/>
          <w:lang w:val="bg-BG"/>
        </w:rPr>
        <w:tab/>
      </w:r>
      <w:r w:rsidRPr="00A00126">
        <w:rPr>
          <w:sz w:val="24"/>
          <w:lang w:val="bg-BG"/>
        </w:rPr>
        <w:t>Приети текстове, P9_TA(2024)0053.</w:t>
      </w:r>
    </w:p>
  </w:footnote>
  <w:footnote w:id="7">
    <w:p w:rsidR="00C65205" w:rsidRPr="00A00126" w:rsidRDefault="00C65205" w:rsidP="00A00126">
      <w:pPr>
        <w:pStyle w:val="FootnoteText"/>
        <w:ind w:left="567" w:hanging="567"/>
        <w:rPr>
          <w:sz w:val="24"/>
          <w:lang w:val="bg-BG"/>
        </w:rPr>
      </w:pPr>
      <w:r w:rsidRPr="00A00126">
        <w:rPr>
          <w:rStyle w:val="FootnoteReference"/>
          <w:sz w:val="24"/>
          <w:lang w:val="bg-BG"/>
        </w:rPr>
        <w:footnoteRef/>
      </w:r>
      <w:r w:rsidR="00A00126" w:rsidRPr="00A00126">
        <w:rPr>
          <w:sz w:val="24"/>
          <w:lang w:val="bg-BG"/>
        </w:rPr>
        <w:t xml:space="preserve"> </w:t>
      </w:r>
      <w:r w:rsidR="00A00126" w:rsidRPr="00A00126">
        <w:rPr>
          <w:sz w:val="24"/>
          <w:lang w:val="bg-BG"/>
        </w:rPr>
        <w:tab/>
      </w:r>
      <w:r w:rsidRPr="00A00126">
        <w:rPr>
          <w:sz w:val="24"/>
          <w:lang w:val="bg-BG"/>
        </w:rPr>
        <w:t xml:space="preserve">Решение на Съда на Европейския съюз от 22 юни 2023 г., </w:t>
      </w:r>
      <w:r w:rsidRPr="00A00126">
        <w:rPr>
          <w:i/>
          <w:iCs/>
          <w:sz w:val="24"/>
          <w:lang w:val="bg-BG"/>
        </w:rPr>
        <w:t>Комисия</w:t>
      </w:r>
      <w:r w:rsidRPr="00A00126">
        <w:rPr>
          <w:sz w:val="24"/>
          <w:lang w:val="bg-BG"/>
        </w:rPr>
        <w:t>/</w:t>
      </w:r>
      <w:r w:rsidRPr="00A00126">
        <w:rPr>
          <w:i/>
          <w:iCs/>
          <w:sz w:val="24"/>
          <w:lang w:val="bg-BG"/>
        </w:rPr>
        <w:t>Унгария</w:t>
      </w:r>
      <w:r w:rsidRPr="00A00126">
        <w:rPr>
          <w:sz w:val="24"/>
          <w:lang w:val="bg-BG"/>
        </w:rPr>
        <w:t>, C-823/21, ECLI:EU:C:2023:504.</w:t>
      </w:r>
    </w:p>
  </w:footnote>
  <w:footnote w:id="8">
    <w:p w:rsidR="00C65205" w:rsidRPr="00A00126" w:rsidRDefault="00C65205" w:rsidP="00A00126">
      <w:pPr>
        <w:pStyle w:val="FootnoteText"/>
        <w:ind w:left="567" w:hanging="567"/>
        <w:rPr>
          <w:sz w:val="24"/>
          <w:lang w:val="bg-BG"/>
        </w:rPr>
      </w:pPr>
      <w:r w:rsidRPr="00A00126">
        <w:rPr>
          <w:rStyle w:val="FootnoteReference"/>
          <w:sz w:val="24"/>
          <w:lang w:val="bg-BG"/>
        </w:rPr>
        <w:footnoteRef/>
      </w:r>
      <w:r w:rsidR="00A00126" w:rsidRPr="00A00126">
        <w:rPr>
          <w:sz w:val="24"/>
          <w:lang w:val="bg-BG"/>
        </w:rPr>
        <w:t xml:space="preserve"> </w:t>
      </w:r>
      <w:r w:rsidR="00A00126" w:rsidRPr="00A00126">
        <w:rPr>
          <w:sz w:val="24"/>
          <w:lang w:val="bg-BG"/>
        </w:rPr>
        <w:tab/>
      </w:r>
      <w:r w:rsidRPr="00A00126">
        <w:rPr>
          <w:sz w:val="24"/>
          <w:lang w:val="bg-BG"/>
        </w:rPr>
        <w:t xml:space="preserve">Решение на ЕСПЧ от 12 януари 2016 г., </w:t>
      </w:r>
      <w:proofErr w:type="spellStart"/>
      <w:r w:rsidRPr="00A00126">
        <w:rPr>
          <w:i/>
          <w:iCs/>
          <w:sz w:val="24"/>
          <w:lang w:val="bg-BG"/>
        </w:rPr>
        <w:t>Szabó</w:t>
      </w:r>
      <w:proofErr w:type="spellEnd"/>
      <w:r w:rsidRPr="00A00126">
        <w:rPr>
          <w:i/>
          <w:iCs/>
          <w:sz w:val="24"/>
          <w:lang w:val="bg-BG"/>
        </w:rPr>
        <w:t xml:space="preserve"> и </w:t>
      </w:r>
      <w:proofErr w:type="spellStart"/>
      <w:r w:rsidRPr="00A00126">
        <w:rPr>
          <w:i/>
          <w:iCs/>
          <w:sz w:val="24"/>
          <w:lang w:val="bg-BG"/>
        </w:rPr>
        <w:t>Vissy</w:t>
      </w:r>
      <w:proofErr w:type="spellEnd"/>
      <w:r w:rsidRPr="00A00126">
        <w:rPr>
          <w:i/>
          <w:iCs/>
          <w:sz w:val="24"/>
          <w:lang w:val="bg-BG"/>
        </w:rPr>
        <w:t>/Унгария</w:t>
      </w:r>
      <w:r w:rsidRPr="00A00126">
        <w:rPr>
          <w:sz w:val="24"/>
          <w:lang w:val="bg-BG"/>
        </w:rPr>
        <w:t>, 37148/14, което стана окончателно на 6 юни 2016 г.</w:t>
      </w:r>
    </w:p>
  </w:footnote>
  <w:footnote w:id="9">
    <w:p w:rsidR="00C65205" w:rsidRPr="00A00126" w:rsidRDefault="00C65205" w:rsidP="00A00126">
      <w:pPr>
        <w:pStyle w:val="FootnoteText"/>
        <w:ind w:left="567" w:hanging="567"/>
        <w:rPr>
          <w:sz w:val="24"/>
          <w:lang w:val="bg-BG"/>
        </w:rPr>
      </w:pPr>
      <w:r w:rsidRPr="00A00126">
        <w:rPr>
          <w:rStyle w:val="FootnoteReference"/>
          <w:sz w:val="24"/>
          <w:lang w:val="bg-BG"/>
        </w:rPr>
        <w:footnoteRef/>
      </w:r>
      <w:r w:rsidR="00A00126" w:rsidRPr="00A00126">
        <w:rPr>
          <w:sz w:val="24"/>
          <w:lang w:val="bg-BG"/>
        </w:rPr>
        <w:t xml:space="preserve"> </w:t>
      </w:r>
      <w:r w:rsidR="00A00126" w:rsidRPr="00A00126">
        <w:rPr>
          <w:sz w:val="24"/>
          <w:lang w:val="bg-BG"/>
        </w:rPr>
        <w:tab/>
      </w:r>
      <w:r w:rsidRPr="00A00126">
        <w:rPr>
          <w:sz w:val="24"/>
          <w:lang w:val="bg-BG"/>
        </w:rPr>
        <w:t xml:space="preserve">Решение на ЕСПЧ от 16 юли 2016 г., </w:t>
      </w:r>
      <w:proofErr w:type="spellStart"/>
      <w:r w:rsidRPr="00A00126">
        <w:rPr>
          <w:i/>
          <w:iCs/>
          <w:sz w:val="24"/>
          <w:lang w:val="bg-BG"/>
        </w:rPr>
        <w:t>Gazsó</w:t>
      </w:r>
      <w:proofErr w:type="spellEnd"/>
      <w:r w:rsidRPr="00A00126">
        <w:rPr>
          <w:i/>
          <w:iCs/>
          <w:sz w:val="24"/>
          <w:lang w:val="bg-BG"/>
        </w:rPr>
        <w:t>/Унгария</w:t>
      </w:r>
      <w:r w:rsidRPr="00A00126">
        <w:rPr>
          <w:sz w:val="24"/>
          <w:lang w:val="bg-BG"/>
        </w:rPr>
        <w:t>, 48322/12, което стана окончателно на 16 октомври 2015 г.</w:t>
      </w:r>
    </w:p>
  </w:footnote>
  <w:footnote w:id="10">
    <w:p w:rsidR="00C65205" w:rsidRPr="00A00126" w:rsidRDefault="00C65205" w:rsidP="00A00126">
      <w:pPr>
        <w:pStyle w:val="FootnoteText"/>
        <w:ind w:left="567" w:hanging="567"/>
        <w:rPr>
          <w:sz w:val="24"/>
          <w:lang w:val="bg-BG"/>
        </w:rPr>
      </w:pPr>
      <w:r w:rsidRPr="00A00126">
        <w:rPr>
          <w:rStyle w:val="FootnoteReference"/>
          <w:sz w:val="24"/>
          <w:lang w:val="bg-BG"/>
        </w:rPr>
        <w:footnoteRef/>
      </w:r>
      <w:r w:rsidR="00A00126" w:rsidRPr="00A00126">
        <w:rPr>
          <w:sz w:val="24"/>
          <w:lang w:val="bg-BG"/>
        </w:rPr>
        <w:t xml:space="preserve"> </w:t>
      </w:r>
      <w:r w:rsidR="00A00126" w:rsidRPr="00A00126">
        <w:rPr>
          <w:sz w:val="24"/>
          <w:lang w:val="bg-BG"/>
        </w:rPr>
        <w:tab/>
      </w:r>
      <w:r w:rsidRPr="00A00126">
        <w:rPr>
          <w:sz w:val="24"/>
          <w:lang w:val="bg-BG"/>
        </w:rPr>
        <w:t xml:space="preserve">Решение на ЕСПЧ от 14 март 2017 г., </w:t>
      </w:r>
      <w:proofErr w:type="spellStart"/>
      <w:r w:rsidRPr="00A00126">
        <w:rPr>
          <w:i/>
          <w:iCs/>
          <w:sz w:val="24"/>
          <w:lang w:val="bg-BG"/>
        </w:rPr>
        <w:t>Ilias</w:t>
      </w:r>
      <w:proofErr w:type="spellEnd"/>
      <w:r w:rsidRPr="00A00126">
        <w:rPr>
          <w:i/>
          <w:iCs/>
          <w:sz w:val="24"/>
          <w:lang w:val="bg-BG"/>
        </w:rPr>
        <w:t xml:space="preserve"> и </w:t>
      </w:r>
      <w:proofErr w:type="spellStart"/>
      <w:r w:rsidRPr="00A00126">
        <w:rPr>
          <w:i/>
          <w:iCs/>
          <w:sz w:val="24"/>
          <w:lang w:val="bg-BG"/>
        </w:rPr>
        <w:t>Ahmed</w:t>
      </w:r>
      <w:proofErr w:type="spellEnd"/>
      <w:r w:rsidRPr="00A00126">
        <w:rPr>
          <w:i/>
          <w:iCs/>
          <w:sz w:val="24"/>
          <w:lang w:val="bg-BG"/>
        </w:rPr>
        <w:t>/Унгария</w:t>
      </w:r>
      <w:r w:rsidRPr="00A00126">
        <w:rPr>
          <w:sz w:val="24"/>
          <w:lang w:val="bg-BG"/>
        </w:rPr>
        <w:t>, 47287/15.</w:t>
      </w:r>
    </w:p>
  </w:footnote>
  <w:footnote w:id="11">
    <w:p w:rsidR="00C65205" w:rsidRPr="00A00126" w:rsidRDefault="00C65205" w:rsidP="00A00126">
      <w:pPr>
        <w:pStyle w:val="FootnoteText"/>
        <w:ind w:left="567" w:hanging="567"/>
        <w:rPr>
          <w:sz w:val="24"/>
          <w:lang w:val="bg-BG"/>
        </w:rPr>
      </w:pPr>
      <w:r w:rsidRPr="00A00126">
        <w:rPr>
          <w:rStyle w:val="FootnoteReference"/>
          <w:sz w:val="24"/>
          <w:lang w:val="bg-BG"/>
        </w:rPr>
        <w:footnoteRef/>
      </w:r>
      <w:r w:rsidR="00A00126" w:rsidRPr="00A00126">
        <w:rPr>
          <w:sz w:val="24"/>
          <w:lang w:val="bg-BG"/>
        </w:rPr>
        <w:t xml:space="preserve"> </w:t>
      </w:r>
      <w:r w:rsidR="00A00126" w:rsidRPr="00A00126">
        <w:rPr>
          <w:sz w:val="24"/>
          <w:lang w:val="bg-BG"/>
        </w:rPr>
        <w:tab/>
      </w:r>
      <w:r w:rsidRPr="00A00126">
        <w:rPr>
          <w:sz w:val="24"/>
          <w:lang w:val="bg-BG"/>
        </w:rPr>
        <w:t xml:space="preserve">Решение на ЕСПЧ от 23 юни 2016 г., </w:t>
      </w:r>
      <w:proofErr w:type="spellStart"/>
      <w:r w:rsidRPr="00A00126">
        <w:rPr>
          <w:i/>
          <w:iCs/>
          <w:sz w:val="24"/>
          <w:lang w:val="bg-BG"/>
        </w:rPr>
        <w:t>Baka</w:t>
      </w:r>
      <w:proofErr w:type="spellEnd"/>
      <w:r w:rsidRPr="00A00126">
        <w:rPr>
          <w:i/>
          <w:iCs/>
          <w:sz w:val="24"/>
          <w:lang w:val="bg-BG"/>
        </w:rPr>
        <w:t>/Унгария</w:t>
      </w:r>
      <w:r w:rsidRPr="00A00126">
        <w:rPr>
          <w:sz w:val="24"/>
          <w:lang w:val="bg-BG"/>
        </w:rPr>
        <w:t>, 20261/12.</w:t>
      </w:r>
    </w:p>
  </w:footnote>
  <w:footnote w:id="12">
    <w:p w:rsidR="00C65205" w:rsidRPr="00A00126" w:rsidRDefault="00C65205" w:rsidP="00A00126">
      <w:pPr>
        <w:pStyle w:val="FootnoteText"/>
        <w:ind w:left="567" w:hanging="567"/>
        <w:rPr>
          <w:sz w:val="24"/>
          <w:lang w:val="bg-BG"/>
        </w:rPr>
      </w:pPr>
      <w:r w:rsidRPr="00A00126">
        <w:rPr>
          <w:rStyle w:val="FootnoteReference"/>
          <w:sz w:val="24"/>
          <w:lang w:val="bg-BG"/>
        </w:rPr>
        <w:footnoteRef/>
      </w:r>
      <w:r w:rsidR="00A00126" w:rsidRPr="00A00126">
        <w:rPr>
          <w:sz w:val="24"/>
          <w:shd w:val="clear" w:color="auto" w:fill="FFFFFF"/>
          <w:lang w:val="bg-BG"/>
        </w:rPr>
        <w:t xml:space="preserve"> </w:t>
      </w:r>
      <w:r w:rsidR="00A00126" w:rsidRPr="00A00126">
        <w:rPr>
          <w:sz w:val="24"/>
          <w:shd w:val="clear" w:color="auto" w:fill="FFFFFF"/>
          <w:lang w:val="bg-BG"/>
        </w:rPr>
        <w:tab/>
      </w:r>
      <w:r w:rsidRPr="00A00126">
        <w:rPr>
          <w:sz w:val="24"/>
          <w:shd w:val="clear" w:color="auto" w:fill="FFFFFF"/>
          <w:lang w:val="bg-BG"/>
        </w:rPr>
        <w:t xml:space="preserve">Регламент (ЕС) 2021/1060 на Европейския парламент и на Съвета от 24 юни 2021 г. за установяване на </w:t>
      </w:r>
      <w:proofErr w:type="spellStart"/>
      <w:r w:rsidRPr="00A00126">
        <w:rPr>
          <w:sz w:val="24"/>
          <w:shd w:val="clear" w:color="auto" w:fill="FFFFFF"/>
          <w:lang w:val="bg-BG"/>
        </w:rPr>
        <w:t>общоприложимите</w:t>
      </w:r>
      <w:proofErr w:type="spellEnd"/>
      <w:r w:rsidRPr="00A00126">
        <w:rPr>
          <w:sz w:val="24"/>
          <w:shd w:val="clear" w:color="auto" w:fill="FFFFFF"/>
          <w:lang w:val="bg-BG"/>
        </w:rPr>
        <w:t xml:space="preserve">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w:t>
      </w:r>
      <w:proofErr w:type="spellStart"/>
      <w:r w:rsidRPr="00A00126">
        <w:rPr>
          <w:sz w:val="24"/>
          <w:shd w:val="clear" w:color="auto" w:fill="FFFFFF"/>
          <w:lang w:val="bg-BG"/>
        </w:rPr>
        <w:t>аквакултури</w:t>
      </w:r>
      <w:proofErr w:type="spellEnd"/>
      <w:r w:rsidRPr="00A00126">
        <w:rPr>
          <w:sz w:val="24"/>
          <w:shd w:val="clear" w:color="auto" w:fill="FFFFFF"/>
          <w:lang w:val="bg-BG"/>
        </w:rPr>
        <w:t xml:space="preserve">,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w:t>
      </w:r>
      <w:r w:rsidR="006F3379">
        <w:rPr>
          <w:sz w:val="24"/>
          <w:shd w:val="clear" w:color="auto" w:fill="FFFFFF"/>
          <w:lang w:val="bg-BG"/>
        </w:rPr>
        <w:t>(</w:t>
      </w:r>
      <w:r w:rsidRPr="00BE20C0">
        <w:rPr>
          <w:rStyle w:val="Emphasis"/>
          <w:i w:val="0"/>
          <w:sz w:val="24"/>
          <w:shd w:val="clear" w:color="auto" w:fill="FFFFFF"/>
          <w:lang w:val="bg-BG"/>
        </w:rPr>
        <w:t>ОВ L 231, 30.6.2021 г., стр. 159</w:t>
      </w:r>
      <w:r w:rsidR="006F3379">
        <w:rPr>
          <w:rStyle w:val="Emphasis"/>
          <w:i w:val="0"/>
          <w:sz w:val="24"/>
          <w:shd w:val="clear" w:color="auto" w:fill="FFFFFF"/>
          <w:lang w:val="bg-BG"/>
        </w:rPr>
        <w:t>)</w:t>
      </w:r>
      <w:r w:rsidRPr="00A00126">
        <w:rPr>
          <w:rStyle w:val="Emphasis"/>
          <w:sz w:val="24"/>
          <w:shd w:val="clear" w:color="auto" w:fill="FFFFFF"/>
          <w:lang w:val="bg-BG"/>
        </w:rPr>
        <w:t>.</w:t>
      </w:r>
    </w:p>
  </w:footnote>
  <w:footnote w:id="13">
    <w:p w:rsidR="00C65205" w:rsidRPr="00A00126" w:rsidRDefault="00C65205" w:rsidP="00943C70">
      <w:pPr>
        <w:pStyle w:val="title-bold"/>
        <w:shd w:val="clear" w:color="auto" w:fill="FFFFFF"/>
        <w:spacing w:before="0" w:beforeAutospacing="0" w:after="75" w:afterAutospacing="0"/>
        <w:ind w:left="567" w:hanging="567"/>
      </w:pPr>
      <w:r w:rsidRPr="00A00126">
        <w:rPr>
          <w:rStyle w:val="FootnoteReference"/>
          <w:szCs w:val="20"/>
        </w:rPr>
        <w:footnoteRef/>
      </w:r>
      <w:r w:rsidR="00A00126" w:rsidRPr="00A00126">
        <w:t xml:space="preserve"> </w:t>
      </w:r>
      <w:r w:rsidR="00A00126" w:rsidRPr="00A00126">
        <w:tab/>
      </w:r>
      <w:r w:rsidRPr="00A00126">
        <w:t xml:space="preserve">Регламент (ЕС) 2021/241 на Европейския парламент и на Съвета от 12 февруари 2021 г. за създаване на Механизъм за възстановяване и устойчивост </w:t>
      </w:r>
      <w:r w:rsidR="006F3379">
        <w:t>(</w:t>
      </w:r>
      <w:r w:rsidRPr="00BE20C0">
        <w:rPr>
          <w:rStyle w:val="Emphasis"/>
          <w:i w:val="0"/>
        </w:rPr>
        <w:t>O</w:t>
      </w:r>
      <w:r w:rsidR="00A6261C">
        <w:rPr>
          <w:rStyle w:val="Emphasis"/>
          <w:i w:val="0"/>
        </w:rPr>
        <w:t>В</w:t>
      </w:r>
      <w:r w:rsidRPr="00BE20C0">
        <w:rPr>
          <w:rStyle w:val="Emphasis"/>
          <w:i w:val="0"/>
        </w:rPr>
        <w:t xml:space="preserve"> L 57, 18.2.2021 г., стр. 17</w:t>
      </w:r>
      <w:r w:rsidR="006F3379">
        <w:rPr>
          <w:rStyle w:val="Emphasis"/>
          <w:i w:val="0"/>
        </w:rPr>
        <w:t>)</w:t>
      </w:r>
      <w:r w:rsidRPr="00BE20C0">
        <w:rPr>
          <w:rStyle w:val="Emphasis"/>
          <w:i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12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12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1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BG"/>
    <w:docVar w:name="dvnumam" w:val="0"/>
    <w:docVar w:name="dvpe" w:val="760.687"/>
    <w:docVar w:name="dvtitre" w:val="Резолюция на Европейския парламент от ... 2024 г. относно текущите изслушвания по член 7, параграф 1 от ДЕС по отношение на Унгария за укрепване на правовата държава и отражението им върху бюджета (2024/2683(RSP))"/>
  </w:docVars>
  <w:rsids>
    <w:rsidRoot w:val="00125010"/>
    <w:rsid w:val="00002272"/>
    <w:rsid w:val="00064002"/>
    <w:rsid w:val="000677B9"/>
    <w:rsid w:val="000831BA"/>
    <w:rsid w:val="000A42CC"/>
    <w:rsid w:val="000E7DD9"/>
    <w:rsid w:val="000F04D2"/>
    <w:rsid w:val="0010095E"/>
    <w:rsid w:val="00125010"/>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7701"/>
    <w:rsid w:val="004867E3"/>
    <w:rsid w:val="00494A28"/>
    <w:rsid w:val="004C0004"/>
    <w:rsid w:val="004C5D52"/>
    <w:rsid w:val="0050519A"/>
    <w:rsid w:val="005072A1"/>
    <w:rsid w:val="00514517"/>
    <w:rsid w:val="00545827"/>
    <w:rsid w:val="00560270"/>
    <w:rsid w:val="005C2568"/>
    <w:rsid w:val="006037C0"/>
    <w:rsid w:val="006631B6"/>
    <w:rsid w:val="00680577"/>
    <w:rsid w:val="006F3379"/>
    <w:rsid w:val="006F74FA"/>
    <w:rsid w:val="00731ADD"/>
    <w:rsid w:val="00734777"/>
    <w:rsid w:val="00747932"/>
    <w:rsid w:val="00751A4A"/>
    <w:rsid w:val="00756632"/>
    <w:rsid w:val="00762C74"/>
    <w:rsid w:val="00786EC0"/>
    <w:rsid w:val="007D1690"/>
    <w:rsid w:val="007E22AD"/>
    <w:rsid w:val="007F475D"/>
    <w:rsid w:val="00817416"/>
    <w:rsid w:val="00842779"/>
    <w:rsid w:val="00865F67"/>
    <w:rsid w:val="00881A7B"/>
    <w:rsid w:val="008840E5"/>
    <w:rsid w:val="00887B3E"/>
    <w:rsid w:val="008C2AC6"/>
    <w:rsid w:val="00930C23"/>
    <w:rsid w:val="0093193B"/>
    <w:rsid w:val="00943C70"/>
    <w:rsid w:val="009509D8"/>
    <w:rsid w:val="00950B64"/>
    <w:rsid w:val="00981893"/>
    <w:rsid w:val="00A00126"/>
    <w:rsid w:val="00A1687D"/>
    <w:rsid w:val="00A43E52"/>
    <w:rsid w:val="00A4678D"/>
    <w:rsid w:val="00A6261C"/>
    <w:rsid w:val="00A778C7"/>
    <w:rsid w:val="00AB441E"/>
    <w:rsid w:val="00AB6293"/>
    <w:rsid w:val="00AE0928"/>
    <w:rsid w:val="00AF3B82"/>
    <w:rsid w:val="00B12E95"/>
    <w:rsid w:val="00B22876"/>
    <w:rsid w:val="00B558F0"/>
    <w:rsid w:val="00BD48FE"/>
    <w:rsid w:val="00BD7BD8"/>
    <w:rsid w:val="00BE20C0"/>
    <w:rsid w:val="00BE6ADC"/>
    <w:rsid w:val="00C05BFE"/>
    <w:rsid w:val="00C23CD4"/>
    <w:rsid w:val="00C61C0C"/>
    <w:rsid w:val="00C65205"/>
    <w:rsid w:val="00C7613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0C4F69-33AF-4220-9CAD-469B979BF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65205"/>
    <w:pPr>
      <w:spacing w:after="240"/>
      <w:ind w:left="567" w:hanging="567"/>
    </w:pPr>
  </w:style>
  <w:style w:type="character" w:styleId="Emphasis">
    <w:name w:val="Emphasis"/>
    <w:basedOn w:val="DefaultParagraphFont"/>
    <w:uiPriority w:val="20"/>
    <w:qFormat/>
    <w:rsid w:val="00C65205"/>
    <w:rPr>
      <w:i/>
      <w:iCs/>
    </w:rPr>
  </w:style>
  <w:style w:type="character" w:styleId="Hyperlink">
    <w:name w:val="Hyperlink"/>
    <w:basedOn w:val="DefaultParagraphFont"/>
    <w:uiPriority w:val="99"/>
    <w:unhideWhenUsed/>
    <w:rsid w:val="00C65205"/>
    <w:rPr>
      <w:color w:val="0000FF"/>
      <w:u w:val="single"/>
    </w:rPr>
  </w:style>
  <w:style w:type="character" w:customStyle="1" w:styleId="textcolumn">
    <w:name w:val="textcolumn"/>
    <w:basedOn w:val="DefaultParagraphFont"/>
    <w:rsid w:val="00C65205"/>
  </w:style>
  <w:style w:type="paragraph" w:customStyle="1" w:styleId="title-bold">
    <w:name w:val="title-bold"/>
    <w:basedOn w:val="Normal"/>
    <w:rsid w:val="00C65205"/>
    <w:pPr>
      <w:widowControl/>
      <w:spacing w:before="100" w:beforeAutospacing="1" w:after="100" w:afterAutospacing="1"/>
    </w:pPr>
    <w:rPr>
      <w:szCs w:val="24"/>
    </w:rPr>
  </w:style>
  <w:style w:type="paragraph" w:styleId="BalloonText">
    <w:name w:val="Balloon Text"/>
    <w:basedOn w:val="Normal"/>
    <w:link w:val="BalloonTextChar"/>
    <w:rsid w:val="006F3379"/>
    <w:rPr>
      <w:rFonts w:ascii="Segoe UI" w:hAnsi="Segoe UI" w:cs="Segoe UI"/>
      <w:sz w:val="18"/>
      <w:szCs w:val="18"/>
    </w:rPr>
  </w:style>
  <w:style w:type="character" w:customStyle="1" w:styleId="BalloonTextChar">
    <w:name w:val="Balloon Text Char"/>
    <w:basedOn w:val="DefaultParagraphFont"/>
    <w:link w:val="BalloonText"/>
    <w:rsid w:val="006F337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08110-4B91-435F-8D8C-1393934F0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4989</Words>
  <Characters>29248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BINKEVICIUTE Aurelija</cp:lastModifiedBy>
  <cp:revision>3</cp:revision>
  <cp:lastPrinted>2004-11-19T15:42:00Z</cp:lastPrinted>
  <dcterms:created xsi:type="dcterms:W3CDTF">2024-06-12T06:56:00Z</dcterms:created>
  <dcterms:modified xsi:type="dcterms:W3CDTF">2024-10-16T12:18:00Z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B9-0223/2024</vt:lpwstr>
  </property>
  <property fmtid="{D5CDD505-2E9C-101B-9397-08002B2CF9AE}" pid="4" name="&lt;Type&gt;">
    <vt:lpwstr>RR</vt:lpwstr>
  </property>
</Properties>
</file>