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4158" w:rsidTr="0010095E">
        <w:trPr>
          <w:trHeight w:hRule="exact" w:val="1418"/>
        </w:trPr>
        <w:tc>
          <w:tcPr>
            <w:tcW w:w="6804" w:type="dxa"/>
            <w:shd w:val="clear" w:color="auto" w:fill="auto"/>
            <w:vAlign w:val="center"/>
          </w:tcPr>
          <w:p w:rsidR="00751A4A" w:rsidRPr="00174158" w:rsidRDefault="00732A65" w:rsidP="0010095E">
            <w:pPr>
              <w:pStyle w:val="EPName"/>
            </w:pPr>
            <w:r w:rsidRPr="00174158">
              <w:t>Európai Parlament</w:t>
            </w:r>
          </w:p>
          <w:p w:rsidR="00751A4A" w:rsidRPr="00174158" w:rsidRDefault="00817416" w:rsidP="00756632">
            <w:pPr>
              <w:pStyle w:val="EPTerm"/>
              <w:rPr>
                <w:rStyle w:val="HideTWBExt"/>
                <w:noProof w:val="0"/>
                <w:vanish w:val="0"/>
                <w:color w:val="auto"/>
              </w:rPr>
            </w:pPr>
            <w:r w:rsidRPr="00174158">
              <w:t>2019-2024</w:t>
            </w:r>
          </w:p>
        </w:tc>
        <w:tc>
          <w:tcPr>
            <w:tcW w:w="2268" w:type="dxa"/>
            <w:shd w:val="clear" w:color="auto" w:fill="auto"/>
          </w:tcPr>
          <w:p w:rsidR="00751A4A" w:rsidRPr="00174158" w:rsidRDefault="00187494" w:rsidP="0010095E">
            <w:pPr>
              <w:pStyle w:val="EPLogo"/>
            </w:pPr>
            <w:r w:rsidRPr="001741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4158" w:rsidRDefault="00D058B8" w:rsidP="004C5D52">
      <w:pPr>
        <w:pStyle w:val="LineTop"/>
      </w:pPr>
    </w:p>
    <w:p w:rsidR="00680577" w:rsidRPr="00174158" w:rsidRDefault="00732A65" w:rsidP="00680577">
      <w:pPr>
        <w:pStyle w:val="EPBodyTA1"/>
      </w:pPr>
      <w:r w:rsidRPr="00174158">
        <w:t>ELFOGADOTT SZÖVEGEK</w:t>
      </w:r>
    </w:p>
    <w:p w:rsidR="00D058B8" w:rsidRPr="00174158" w:rsidRDefault="00D058B8" w:rsidP="00D058B8">
      <w:pPr>
        <w:pStyle w:val="LineBottom"/>
      </w:pPr>
    </w:p>
    <w:p w:rsidR="00732A65" w:rsidRPr="00174158" w:rsidRDefault="00732A65" w:rsidP="00732A65">
      <w:pPr>
        <w:pStyle w:val="ATHeading1"/>
      </w:pPr>
      <w:bookmarkStart w:id="0" w:name="TANumber"/>
      <w:r w:rsidRPr="00174158">
        <w:t>P9_TA(2024)</w:t>
      </w:r>
      <w:bookmarkEnd w:id="0"/>
      <w:r w:rsidR="00DD4225" w:rsidRPr="00174158">
        <w:t>0</w:t>
      </w:r>
      <w:r w:rsidR="00DD4225">
        <w:t>367</w:t>
      </w:r>
    </w:p>
    <w:p w:rsidR="00732A65" w:rsidRPr="00174158" w:rsidRDefault="00732A65" w:rsidP="00732A65">
      <w:pPr>
        <w:pStyle w:val="ATHeading2"/>
      </w:pPr>
      <w:bookmarkStart w:id="1" w:name="title"/>
      <w:r w:rsidRPr="00174158">
        <w:t>Az EUSZ 7. cikkének (1) bekezdése alapján Magyarországgal kapcsolatban a jogállamiság megerősítését célzó, folyamatban lévő meghallgatások és annak költségvetési kihatásai</w:t>
      </w:r>
      <w:bookmarkEnd w:id="1"/>
    </w:p>
    <w:p w:rsidR="00732A65" w:rsidRPr="00174158" w:rsidRDefault="00732A65" w:rsidP="00732A65">
      <w:pPr>
        <w:rPr>
          <w:i/>
          <w:vanish/>
        </w:rPr>
      </w:pPr>
      <w:r w:rsidRPr="00174158">
        <w:rPr>
          <w:i/>
        </w:rPr>
        <w:fldChar w:fldCharType="begin"/>
      </w:r>
      <w:r w:rsidRPr="00174158">
        <w:rPr>
          <w:i/>
        </w:rPr>
        <w:instrText xml:space="preserve"> TC"(</w:instrText>
      </w:r>
      <w:bookmarkStart w:id="2" w:name="DocNumber"/>
      <w:r w:rsidRPr="00174158">
        <w:rPr>
          <w:i/>
        </w:rPr>
        <w:instrText>B9-0223/2024</w:instrText>
      </w:r>
      <w:bookmarkEnd w:id="2"/>
      <w:r w:rsidRPr="00174158">
        <w:rPr>
          <w:i/>
        </w:rPr>
        <w:instrText xml:space="preserve">)"\l3 \n&gt; \* MERGEFORMAT </w:instrText>
      </w:r>
      <w:r w:rsidRPr="00174158">
        <w:rPr>
          <w:i/>
        </w:rPr>
        <w:fldChar w:fldCharType="end"/>
      </w:r>
    </w:p>
    <w:p w:rsidR="00732A65" w:rsidRPr="00174158" w:rsidRDefault="00732A65" w:rsidP="00732A65">
      <w:pPr>
        <w:rPr>
          <w:vanish/>
        </w:rPr>
      </w:pPr>
      <w:bookmarkStart w:id="3" w:name="PE"/>
      <w:r w:rsidRPr="00174158">
        <w:rPr>
          <w:vanish/>
        </w:rPr>
        <w:t>PE760.687</w:t>
      </w:r>
      <w:bookmarkEnd w:id="3"/>
    </w:p>
    <w:p w:rsidR="00732A65" w:rsidRPr="00174158" w:rsidRDefault="00732A65" w:rsidP="00732A65">
      <w:pPr>
        <w:pStyle w:val="ATHeading3"/>
      </w:pPr>
      <w:bookmarkStart w:id="4" w:name="Sujet"/>
      <w:r w:rsidRPr="00174158">
        <w:t xml:space="preserve">Az Európai Parlament 2024. </w:t>
      </w:r>
      <w:r w:rsidR="002249E8">
        <w:t>április 24</w:t>
      </w:r>
      <w:r w:rsidRPr="00174158">
        <w:t xml:space="preserve">-i állásfoglalása az EUSZ 7. cikkének (1) bekezdése alapján Magyarországgal kapcsolatban a jogállamiság megerősítése érdekében folyamatban lévő meghallgatásokról és azok költségvetési vonatkozásairól </w:t>
      </w:r>
      <w:bookmarkStart w:id="5" w:name="References"/>
      <w:bookmarkEnd w:id="4"/>
      <w:r w:rsidRPr="00174158">
        <w:t>(2024/2683(RSP))</w:t>
      </w:r>
      <w:bookmarkEnd w:id="5"/>
    </w:p>
    <w:p w:rsidR="00732A65" w:rsidRPr="00174158" w:rsidRDefault="00732A65" w:rsidP="00732A65"/>
    <w:p w:rsidR="005E5EA7" w:rsidRPr="00174158" w:rsidRDefault="005E5EA7" w:rsidP="005E5EA7">
      <w:pPr>
        <w:pStyle w:val="NormalHanging12a"/>
      </w:pPr>
      <w:bookmarkStart w:id="6" w:name="TextBodyBegin"/>
      <w:bookmarkEnd w:id="6"/>
      <w:r w:rsidRPr="00174158">
        <w:rPr>
          <w:i/>
        </w:rPr>
        <w:t>Az Európai Parlament</w:t>
      </w:r>
      <w:r w:rsidRPr="00174158">
        <w:t>,</w:t>
      </w:r>
    </w:p>
    <w:p w:rsidR="005E5EA7" w:rsidRPr="00174158" w:rsidRDefault="005E5EA7" w:rsidP="002249E8">
      <w:pPr>
        <w:pStyle w:val="NormalHanging12a"/>
        <w:widowControl/>
        <w:rPr>
          <w:szCs w:val="24"/>
        </w:rPr>
      </w:pPr>
      <w:r w:rsidRPr="00174158">
        <w:t>–</w:t>
      </w:r>
      <w:r w:rsidRPr="00174158">
        <w:tab/>
        <w:t>tekintettel az Európai Unióról szóló szerződésre (EUSZ) és különösen annak 2. cikkére, 4. cikkének (3) bekezdésére, valamint 7. cikkének (1) bekezdésére,</w:t>
      </w:r>
    </w:p>
    <w:p w:rsidR="005E5EA7" w:rsidRPr="00174158" w:rsidRDefault="005E5EA7" w:rsidP="002249E8">
      <w:pPr>
        <w:pStyle w:val="NormalHanging12a"/>
        <w:widowControl/>
        <w:rPr>
          <w:szCs w:val="24"/>
        </w:rPr>
      </w:pPr>
      <w:r w:rsidRPr="00174158">
        <w:t>–</w:t>
      </w:r>
      <w:r w:rsidRPr="00174158">
        <w:tab/>
        <w:t>tekintettel az Európai Unió Alapjogi Chartájára (a továbbiakban: a Charta),</w:t>
      </w:r>
    </w:p>
    <w:p w:rsidR="005E5EA7" w:rsidRPr="00174158" w:rsidRDefault="005E5EA7" w:rsidP="002249E8">
      <w:pPr>
        <w:pStyle w:val="NormalHanging12a"/>
        <w:widowControl/>
        <w:rPr>
          <w:szCs w:val="24"/>
        </w:rPr>
      </w:pPr>
      <w:r w:rsidRPr="00174158">
        <w:t>–</w:t>
      </w:r>
      <w:r w:rsidRPr="00174158">
        <w:tab/>
        <w:t>tekintettel az Emberi Jogok Európai Egyezményére és annak jegyzőkönyveire,</w:t>
      </w:r>
    </w:p>
    <w:p w:rsidR="005E5EA7" w:rsidRPr="00174158" w:rsidRDefault="005E5EA7" w:rsidP="002249E8">
      <w:pPr>
        <w:pStyle w:val="NormalHanging12a"/>
        <w:widowControl/>
        <w:rPr>
          <w:szCs w:val="24"/>
        </w:rPr>
      </w:pPr>
      <w:r w:rsidRPr="00174158">
        <w:t>–</w:t>
      </w:r>
      <w:r w:rsidRPr="00174158">
        <w:tab/>
        <w:t>tekintettel az Emberi Jogok Egyetemes Nyilatkozatára,</w:t>
      </w:r>
    </w:p>
    <w:p w:rsidR="005E5EA7" w:rsidRPr="00174158" w:rsidRDefault="005E5EA7" w:rsidP="002249E8">
      <w:pPr>
        <w:pStyle w:val="NormalHanging12a"/>
        <w:widowControl/>
        <w:rPr>
          <w:szCs w:val="24"/>
        </w:rPr>
      </w:pPr>
      <w:r w:rsidRPr="00174158">
        <w:t>–</w:t>
      </w:r>
      <w:r w:rsidRPr="00174158">
        <w:tab/>
        <w:t>tekintettel az Egyesült Nemzetek és az Európa Tanács nemzetközi emberi jogi szerződéseire,</w:t>
      </w:r>
    </w:p>
    <w:p w:rsidR="005E5EA7" w:rsidRPr="00174158" w:rsidRDefault="005E5EA7" w:rsidP="002249E8">
      <w:pPr>
        <w:pStyle w:val="NormalHanging12a"/>
        <w:widowControl/>
        <w:rPr>
          <w:szCs w:val="24"/>
        </w:rPr>
      </w:pPr>
      <w:r w:rsidRPr="00174158">
        <w:t>–</w:t>
      </w:r>
      <w:r w:rsidRPr="00174158">
        <w:tab/>
        <w:t>tekintettel a Velencei Bizottság 106. plenáris ülésén Velencében, 2016. május 11–12-én elfogadott, a jogállamiság kritériumait tartalmazó listára,</w:t>
      </w:r>
    </w:p>
    <w:p w:rsidR="005E5EA7" w:rsidRPr="00174158" w:rsidRDefault="005E5EA7" w:rsidP="002249E8">
      <w:pPr>
        <w:pStyle w:val="NormalHanging12a"/>
        <w:widowControl/>
        <w:rPr>
          <w:szCs w:val="24"/>
        </w:rPr>
      </w:pPr>
      <w:r w:rsidRPr="00174158">
        <w:t>–</w:t>
      </w:r>
      <w:r w:rsidRPr="00174158">
        <w:tab/>
        <w:t>tekintettel a Tanácsot az Európai Unióról szóló szerződés 7. cikke (1) bekezdésének megfelelően az Unió alapértékeinek Magyarország általi súlyos megsértése egyértelmű veszélyének megállapítására felszólító javaslatról szóló, 2018. szeptember 12-i állásfoglalására</w:t>
      </w:r>
      <w:r w:rsidRPr="00174158">
        <w:rPr>
          <w:rStyle w:val="FootnoteReference"/>
          <w:szCs w:val="24"/>
        </w:rPr>
        <w:footnoteReference w:id="1"/>
      </w:r>
      <w:r w:rsidRPr="00174158">
        <w:t>,</w:t>
      </w:r>
    </w:p>
    <w:p w:rsidR="005E5EA7" w:rsidRPr="00174158" w:rsidRDefault="005E5EA7" w:rsidP="002249E8">
      <w:pPr>
        <w:pStyle w:val="NormalHanging12a"/>
        <w:widowControl/>
        <w:rPr>
          <w:szCs w:val="24"/>
        </w:rPr>
      </w:pPr>
      <w:r w:rsidRPr="00174158">
        <w:t>–</w:t>
      </w:r>
      <w:r w:rsidRPr="00174158">
        <w:tab/>
        <w:t>tekintettel az uniós költségvetés védelmét szolgáló általános feltételrendszerről szóló, 2020. december 16-i (EU, Euratom) 2020/2092 európai parlamenti és tanácsi rendeletre</w:t>
      </w:r>
      <w:r w:rsidR="002249E8" w:rsidRPr="00174158">
        <w:rPr>
          <w:rStyle w:val="FootnoteReference"/>
          <w:szCs w:val="24"/>
        </w:rPr>
        <w:footnoteReference w:id="2"/>
      </w:r>
      <w:r w:rsidR="002249E8">
        <w:t xml:space="preserve"> </w:t>
      </w:r>
      <w:r w:rsidRPr="00174158">
        <w:t>(a jogállamiságra vonatkozó feltételrendszerről szóló rendelet),</w:t>
      </w:r>
    </w:p>
    <w:p w:rsidR="005E5EA7" w:rsidRPr="00174158" w:rsidRDefault="005E5EA7" w:rsidP="002249E8">
      <w:pPr>
        <w:pStyle w:val="NormalHanging12a"/>
        <w:widowControl/>
        <w:rPr>
          <w:szCs w:val="24"/>
        </w:rPr>
      </w:pPr>
      <w:r w:rsidRPr="00174158">
        <w:lastRenderedPageBreak/>
        <w:t>–</w:t>
      </w:r>
      <w:r w:rsidRPr="00174158">
        <w:tab/>
        <w:t>tekintettel a Magyarországra vonatkozó, 2022. december 15-i (EU) 2022/2506 tanácsi végrehajtási határozatot követően az (EU, Euratom) 2020/2092 rendelet 4. cikkében foglalt feltételek teljesítésének Bizottság kezdeményezésére történő újbóli értékeléséről szóló, 2023. december 13-i bizottsági határozatra (C(2023)</w:t>
      </w:r>
      <w:r w:rsidR="00425D83">
        <w:t xml:space="preserve"> </w:t>
      </w:r>
      <w:r w:rsidRPr="00174158">
        <w:t>8999);</w:t>
      </w:r>
    </w:p>
    <w:p w:rsidR="005E5EA7" w:rsidRPr="00174158" w:rsidRDefault="005E5EA7" w:rsidP="002249E8">
      <w:pPr>
        <w:pStyle w:val="NormalHanging12a"/>
        <w:widowControl/>
        <w:rPr>
          <w:szCs w:val="24"/>
        </w:rPr>
      </w:pPr>
      <w:r w:rsidRPr="00174158">
        <w:t>–</w:t>
      </w:r>
      <w:r w:rsidRPr="00174158">
        <w:tab/>
        <w:t>tekintettel az Európai Unióról szóló szerződés 7. cikke (1) bekezdésének megfelelően az Unió alapértékeinek Magyarország általi súlyos megsértése egyértelmű kockázatának megállapításáról szóló tanácsi határozatra irányuló javaslatról szóló, 2022. szeptember 15-i állásfoglalására</w:t>
      </w:r>
      <w:r w:rsidRPr="00174158">
        <w:rPr>
          <w:rStyle w:val="FootnoteReference"/>
          <w:szCs w:val="24"/>
        </w:rPr>
        <w:footnoteReference w:id="3"/>
      </w:r>
      <w:r w:rsidRPr="00174158">
        <w:t>,</w:t>
      </w:r>
    </w:p>
    <w:p w:rsidR="005E5EA7" w:rsidRPr="00174158" w:rsidRDefault="005E5EA7" w:rsidP="002249E8">
      <w:pPr>
        <w:pStyle w:val="NormalHanging12a"/>
        <w:widowControl/>
        <w:rPr>
          <w:szCs w:val="24"/>
        </w:rPr>
      </w:pPr>
      <w:r w:rsidRPr="00174158">
        <w:t>–</w:t>
      </w:r>
      <w:r w:rsidRPr="00174158">
        <w:tab/>
        <w:t>tekintettel a feltételrendszerről szóló rendelet szerinti jogállamisági feltételek Magyarország általi teljesítésének értékeléséről és a magyar helyreállítási és rezilienciaépítési terv jelenlegi állásáról szóló, 2022. november 24-i állásfoglalására</w:t>
      </w:r>
      <w:r w:rsidRPr="00174158">
        <w:rPr>
          <w:rStyle w:val="FootnoteReference"/>
          <w:szCs w:val="24"/>
        </w:rPr>
        <w:footnoteReference w:id="4"/>
      </w:r>
      <w:r w:rsidRPr="00174158">
        <w:t>,</w:t>
      </w:r>
    </w:p>
    <w:p w:rsidR="005E5EA7" w:rsidRPr="00174158" w:rsidRDefault="005E5EA7" w:rsidP="002249E8">
      <w:pPr>
        <w:pStyle w:val="NormalHanging12a"/>
        <w:widowControl/>
        <w:rPr>
          <w:szCs w:val="24"/>
        </w:rPr>
      </w:pPr>
      <w:r w:rsidRPr="00174158">
        <w:t>–</w:t>
      </w:r>
      <w:r w:rsidRPr="00174158">
        <w:tab/>
        <w:t>tekintettel a jogállamiság és az alapvető jogok magyarországi megsértéséről és a befagyasztott uniós pénzeszközökről szóló, 2023. június 1-jei állásfoglalására</w:t>
      </w:r>
      <w:r w:rsidRPr="00174158">
        <w:rPr>
          <w:rStyle w:val="FootnoteReference"/>
          <w:szCs w:val="24"/>
        </w:rPr>
        <w:footnoteReference w:id="5"/>
      </w:r>
      <w:r w:rsidRPr="00174158">
        <w:t>,</w:t>
      </w:r>
    </w:p>
    <w:p w:rsidR="005E5EA7" w:rsidRPr="00174158" w:rsidRDefault="005E5EA7" w:rsidP="002249E8">
      <w:pPr>
        <w:pStyle w:val="NormalHanging12a"/>
        <w:widowControl/>
        <w:rPr>
          <w:szCs w:val="24"/>
        </w:rPr>
      </w:pPr>
      <w:r w:rsidRPr="00174158">
        <w:t>–</w:t>
      </w:r>
      <w:r w:rsidRPr="00174158">
        <w:tab/>
        <w:t>tekintettel a magyarországi helyzetről és a befagyasztott uniós pénzeszközökről szóló, 2024. január 18-i állásfoglalására</w:t>
      </w:r>
      <w:r w:rsidRPr="00174158">
        <w:rPr>
          <w:rStyle w:val="FootnoteReference"/>
          <w:szCs w:val="24"/>
        </w:rPr>
        <w:footnoteReference w:id="6"/>
      </w:r>
      <w:r w:rsidRPr="00174158">
        <w:t>,</w:t>
      </w:r>
    </w:p>
    <w:p w:rsidR="005E5EA7" w:rsidRPr="00174158" w:rsidRDefault="005E5EA7" w:rsidP="002249E8">
      <w:pPr>
        <w:pStyle w:val="NormalHanging12a"/>
        <w:widowControl/>
        <w:rPr>
          <w:szCs w:val="24"/>
        </w:rPr>
      </w:pPr>
      <w:r w:rsidRPr="00174158">
        <w:t>–</w:t>
      </w:r>
      <w:r w:rsidRPr="00174158">
        <w:tab/>
        <w:t>tekintettel a Bizottság éves jogállamisági jelentéseinek Magyarországról szóló országfejezeteire,</w:t>
      </w:r>
    </w:p>
    <w:p w:rsidR="005E5EA7" w:rsidRPr="00174158" w:rsidRDefault="005E5EA7" w:rsidP="002249E8">
      <w:pPr>
        <w:pStyle w:val="NormalHanging12a"/>
        <w:widowControl/>
        <w:rPr>
          <w:szCs w:val="24"/>
        </w:rPr>
      </w:pPr>
      <w:r w:rsidRPr="00174158">
        <w:t>–</w:t>
      </w:r>
      <w:r w:rsidRPr="00174158">
        <w:tab/>
        <w:t>tekintettel a Velencei Bizottságnak a nemzeti szuverenitás védelméről szóló 2023. évi LXXXVIII. magyar törvényről szóló véleményére, amelyet a 2024. március 15–16-án Velencében tartott 138. plenáris ülésén fogadott el,</w:t>
      </w:r>
    </w:p>
    <w:p w:rsidR="005E5EA7" w:rsidRPr="00174158" w:rsidRDefault="005E5EA7" w:rsidP="002249E8">
      <w:pPr>
        <w:pStyle w:val="NormalHanging12a"/>
        <w:widowControl/>
        <w:rPr>
          <w:szCs w:val="24"/>
        </w:rPr>
      </w:pPr>
      <w:r w:rsidRPr="00174158">
        <w:t>–</w:t>
      </w:r>
      <w:r w:rsidRPr="00174158">
        <w:tab/>
        <w:t>tekintettel eljárási szabályzata 132. cikkének (2) bekezdésére,</w:t>
      </w:r>
    </w:p>
    <w:p w:rsidR="005E5EA7" w:rsidRPr="00174158" w:rsidRDefault="005E5EA7" w:rsidP="002249E8">
      <w:pPr>
        <w:pStyle w:val="NormalHanging12a"/>
        <w:widowControl/>
        <w:rPr>
          <w:szCs w:val="24"/>
        </w:rPr>
      </w:pPr>
      <w:r w:rsidRPr="00174158">
        <w:t>A.</w:t>
      </w:r>
      <w:r w:rsidRPr="00174158">
        <w:tab/>
        <w:t>mivel az Unió az emberi méltóság tiszteletben tartása, a szabadság, a demokrácia, az egyenlőség, a jogállamiság és az emberi jogok – ideértve a kisebbségekhez tartozó személyek jogait is – tiszteletben tartásának értékein alapul, ahogyan azt az EUSZ 2. cikke kimondja, és ahogyan azt a Charta rögzíti, valamint ahogyan azt a nemzetközi emberi jogi szerződések is tartalmazzák; mivel ezek a tagállamok által közösen vallott értékek képezik az Unióban élőket megillető jogok alapját;</w:t>
      </w:r>
    </w:p>
    <w:p w:rsidR="005E5EA7" w:rsidRPr="00174158" w:rsidRDefault="005E5EA7" w:rsidP="002249E8">
      <w:pPr>
        <w:pStyle w:val="NormalHanging12a"/>
        <w:widowControl/>
        <w:rPr>
          <w:szCs w:val="24"/>
        </w:rPr>
      </w:pPr>
      <w:r w:rsidRPr="00174158">
        <w:t>B.</w:t>
      </w:r>
      <w:r w:rsidRPr="00174158">
        <w:tab/>
        <w:t>mivel annak egyértelmű veszélye, hogy egy tagállam súlyosan megsérti az EUSZ 2. cikkében említett értékeket, nem csupán azt a tagállamot érinti, amelyben a veszély fennáll, hanem kihat a többi tagállamra, a tagállamok egymás iránti kölcsönös bizalmára, magára az Unió jellegére és az uniós polgárok uniós jog szerinti alapvető jogaira is;</w:t>
      </w:r>
    </w:p>
    <w:p w:rsidR="005E5EA7" w:rsidRPr="00174158" w:rsidRDefault="005E5EA7" w:rsidP="002249E8">
      <w:pPr>
        <w:pStyle w:val="NormalHanging12a"/>
        <w:widowControl/>
        <w:rPr>
          <w:szCs w:val="24"/>
        </w:rPr>
      </w:pPr>
      <w:r w:rsidRPr="00174158">
        <w:t>C.</w:t>
      </w:r>
      <w:r w:rsidRPr="00174158">
        <w:tab/>
        <w:t>mivel az Európai Unió működéséről szóló szerződés (EUMSZ) 258. cikkével szemben az EUSZ 7. cikkének hatálya nem korlátozódik a Szerződések szerinti kötelezettségekre, és mivel az Unió értékelheti a közös értékek súlyos megsértésének egyértelmű kockázatát a tagállamok hatáskörébe tartozó területeken;</w:t>
      </w:r>
    </w:p>
    <w:p w:rsidR="005E5EA7" w:rsidRPr="00174158" w:rsidRDefault="005E5EA7" w:rsidP="002249E8">
      <w:pPr>
        <w:pStyle w:val="NormalHanging12a"/>
        <w:widowControl/>
        <w:rPr>
          <w:szCs w:val="24"/>
        </w:rPr>
      </w:pPr>
      <w:r w:rsidRPr="00174158">
        <w:lastRenderedPageBreak/>
        <w:t>D.</w:t>
      </w:r>
      <w:r w:rsidRPr="00174158">
        <w:tab/>
        <w:t>mivel 2018-ban a Tanács az Európai Parlament javaslatára megindította az EUSZ 7. cikkének (1) bekezdésében meghatározott eljárást az EUSZ 2. cikkében említett értékek Magyarország általi súlyos megsértése egyértelmű veszélyének kezelése érdekében; mivel a Tanácsban az EUSZ 7. cikkének (1) bekezdése szerinti eljárás keretében az eljárás kezdete óta hat meghallgatásra került sor a magyarországi helyzetről, de a Tanács még nem tett kísérletet annak megállapítására, hogy fennáll-e ilyen kockázat, és nem intézett ajánlásokat Magyarország kormányához;</w:t>
      </w:r>
    </w:p>
    <w:p w:rsidR="005E5EA7" w:rsidRPr="00174158" w:rsidRDefault="005E5EA7" w:rsidP="002249E8">
      <w:pPr>
        <w:pStyle w:val="NormalHanging12a"/>
        <w:widowControl/>
        <w:rPr>
          <w:szCs w:val="24"/>
        </w:rPr>
      </w:pPr>
      <w:r w:rsidRPr="00174158">
        <w:t>E.</w:t>
      </w:r>
      <w:r w:rsidRPr="00174158">
        <w:tab/>
        <w:t>mivel a jogállamiságra vonatkozó feltételrendszerről szóló rendelet rendkívül fontos, mivel ez az eszköz teszi lehetővé az uniós források hatékony védelmét;</w:t>
      </w:r>
    </w:p>
    <w:p w:rsidR="005E5EA7" w:rsidRPr="00174158" w:rsidRDefault="005E5EA7" w:rsidP="002249E8">
      <w:pPr>
        <w:pStyle w:val="NormalHanging12a"/>
        <w:widowControl/>
        <w:rPr>
          <w:szCs w:val="24"/>
        </w:rPr>
      </w:pPr>
      <w:r w:rsidRPr="00174158">
        <w:t>F.</w:t>
      </w:r>
      <w:r w:rsidRPr="00174158">
        <w:tab/>
        <w:t xml:space="preserve">mivel a Bizottság úgy határozott, hogy 0,9 milliárd </w:t>
      </w:r>
      <w:r w:rsidR="008E01A9">
        <w:t>EUR</w:t>
      </w:r>
      <w:r w:rsidR="008E01A9" w:rsidRPr="00174158">
        <w:t xml:space="preserve"> </w:t>
      </w:r>
      <w:r w:rsidRPr="00174158">
        <w:t>összegű előfinanszírozást nyújt Magyarországnak a REPowerEU keretében; mivel az ilyen előfinanszírozás folyósítható feltételek nélkül, de az ellenőrzés nem mellőzhető;</w:t>
      </w:r>
    </w:p>
    <w:p w:rsidR="005E5EA7" w:rsidRPr="00174158" w:rsidRDefault="005E5EA7" w:rsidP="002249E8">
      <w:pPr>
        <w:pStyle w:val="NormalHanging12a"/>
        <w:widowControl/>
        <w:rPr>
          <w:bCs/>
          <w:szCs w:val="24"/>
        </w:rPr>
      </w:pPr>
      <w:r w:rsidRPr="00174158">
        <w:t>G.</w:t>
      </w:r>
      <w:r w:rsidRPr="00174158">
        <w:tab/>
        <w:t>mivel 2022. szeptember 15-i állásfoglalásában a Parlament úgy értékelte, hogy az EUSZ 7. cikkének (1) bekezdése szerinti eljárás megindítása óta Magyarországnak a</w:t>
      </w:r>
      <w:r w:rsidR="008E01A9">
        <w:t>z</w:t>
      </w:r>
      <w:r w:rsidRPr="00174158">
        <w:t xml:space="preserve"> EUSZ 2. cikkében foglalt értékeknek való megfelelésével kapcsolatban számos aggály továbbra is fennáll vagy jelentősen súlyosbodott, többek között az igazságszolgáltatás függetlensége, a korrupció, az összeférhetetlenség, a média függetlensége és pluralizmusa, az alkotmányos és választási rendszer működése, valamint a civil társadalmi tér tekintetében;</w:t>
      </w:r>
    </w:p>
    <w:p w:rsidR="005E5EA7" w:rsidRPr="00174158" w:rsidRDefault="005E5EA7" w:rsidP="002249E8">
      <w:pPr>
        <w:pStyle w:val="NormalHanging12a"/>
        <w:widowControl/>
        <w:rPr>
          <w:szCs w:val="24"/>
        </w:rPr>
      </w:pPr>
      <w:r w:rsidRPr="00174158">
        <w:t>H.</w:t>
      </w:r>
      <w:r w:rsidRPr="00174158">
        <w:tab/>
        <w:t>mivel ezen állásfoglalás elfogadása óta e területek némelyikén a helyzet korlátozott mértékű javulást mutatott, a legtöbb területen a helyzet továbbra is riasztó, egyes más területeken pedig tovább romlott; mivel a magyar kormány intézkedései nyomán újabb súlyos problémák merültek fel;</w:t>
      </w:r>
    </w:p>
    <w:p w:rsidR="005E5EA7" w:rsidRPr="00174158" w:rsidRDefault="005E5EA7" w:rsidP="002249E8">
      <w:pPr>
        <w:pStyle w:val="NormalHanging12a"/>
        <w:widowControl/>
        <w:rPr>
          <w:szCs w:val="24"/>
        </w:rPr>
      </w:pPr>
      <w:r w:rsidRPr="00174158">
        <w:t>I.</w:t>
      </w:r>
      <w:r w:rsidRPr="00174158">
        <w:tab/>
        <w:t>mivel 2024 áprilisában magyarok tízezrei vonultak az utcákra, hogy tiltakozzanak az állam foglyul ejtése és a korrupció ellen;</w:t>
      </w:r>
    </w:p>
    <w:p w:rsidR="005E5EA7" w:rsidRPr="00174158" w:rsidRDefault="005E5EA7" w:rsidP="002249E8">
      <w:pPr>
        <w:pStyle w:val="NormalHanging12a"/>
        <w:widowControl/>
        <w:rPr>
          <w:szCs w:val="24"/>
        </w:rPr>
      </w:pPr>
      <w:r w:rsidRPr="00174158">
        <w:t>J.</w:t>
      </w:r>
      <w:r w:rsidRPr="00174158">
        <w:tab/>
        <w:t>mivel 2023-ban a magyar kormány igazságügyi reformcsomagot fogadott el az igazságszolgáltatás függetlensége bizonyos aspektusainak javítása érdekében, amely magában foglalta az Országos Bírói Tanács (OBT) függetlenségének megerősítését is; mivel az igazságszolgáltatási rendszer jogállamisággal kapcsolatos</w:t>
      </w:r>
      <w:r w:rsidR="00EB15BD">
        <w:t>,</w:t>
      </w:r>
      <w:r w:rsidRPr="00174158">
        <w:t xml:space="preserve"> azon súlyos hiányosságainak nem kimerítő listája, amelyeket még nem orvosoltak, a következőket tartalmazza:</w:t>
      </w:r>
    </w:p>
    <w:p w:rsidR="005E5EA7" w:rsidRPr="00174158" w:rsidRDefault="005E5EA7" w:rsidP="002249E8">
      <w:pPr>
        <w:pStyle w:val="NormalHanging12a"/>
        <w:widowControl/>
        <w:ind w:left="1134"/>
        <w:rPr>
          <w:szCs w:val="24"/>
        </w:rPr>
      </w:pPr>
      <w:r w:rsidRPr="00174158">
        <w:t>–</w:t>
      </w:r>
      <w:r w:rsidRPr="00174158">
        <w:tab/>
        <w:t>a Kúria – Magyarország legfelsőbb bírósága – jelenlegi elnökének elmozdíthatatlanságára vonatkozó szabályok,</w:t>
      </w:r>
    </w:p>
    <w:p w:rsidR="005E5EA7" w:rsidRPr="00174158" w:rsidRDefault="005E5EA7" w:rsidP="002249E8">
      <w:pPr>
        <w:pStyle w:val="NormalHanging12a"/>
        <w:widowControl/>
        <w:ind w:left="1134"/>
        <w:rPr>
          <w:szCs w:val="24"/>
        </w:rPr>
      </w:pPr>
      <w:r w:rsidRPr="00174158">
        <w:t>–</w:t>
      </w:r>
      <w:r w:rsidRPr="00174158">
        <w:tab/>
        <w:t>a Kúria függetlenségére vonatkozó érdemi biztosítékok és garanciák hiánya,</w:t>
      </w:r>
    </w:p>
    <w:p w:rsidR="005E5EA7" w:rsidRPr="00174158" w:rsidRDefault="005E5EA7" w:rsidP="002249E8">
      <w:pPr>
        <w:pStyle w:val="NormalHanging12a"/>
        <w:widowControl/>
        <w:ind w:left="1134"/>
        <w:rPr>
          <w:szCs w:val="24"/>
        </w:rPr>
      </w:pPr>
      <w:r w:rsidRPr="00174158">
        <w:t>–</w:t>
      </w:r>
      <w:r w:rsidRPr="00174158">
        <w:tab/>
        <w:t>a Kúria ügyelosztási rendszere átláthatóságának és automatizálásának hiánya, valamint a tanácsok összetételére vonatkozó szabályok átláthatóságának hiánya,</w:t>
      </w:r>
    </w:p>
    <w:p w:rsidR="005E5EA7" w:rsidRPr="00174158" w:rsidRDefault="005E5EA7" w:rsidP="002249E8">
      <w:pPr>
        <w:pStyle w:val="NormalHanging12a"/>
        <w:widowControl/>
        <w:ind w:left="1134"/>
        <w:rPr>
          <w:szCs w:val="24"/>
        </w:rPr>
      </w:pPr>
      <w:r w:rsidRPr="00174158">
        <w:t>–</w:t>
      </w:r>
      <w:r w:rsidRPr="00174158">
        <w:tab/>
        <w:t>az OBT és tagjainak függetlenségére többek között lejárató kampányok révén gyakorolt politikai és adminisztratív nyomás,</w:t>
      </w:r>
    </w:p>
    <w:p w:rsidR="005E5EA7" w:rsidRPr="00174158" w:rsidRDefault="005E5EA7" w:rsidP="002249E8">
      <w:pPr>
        <w:pStyle w:val="NormalHanging12a"/>
        <w:widowControl/>
        <w:ind w:left="1134"/>
        <w:rPr>
          <w:szCs w:val="24"/>
        </w:rPr>
      </w:pPr>
      <w:r w:rsidRPr="00174158">
        <w:t>–</w:t>
      </w:r>
      <w:r w:rsidRPr="00174158">
        <w:tab/>
        <w:t>a bírák kinevezésével, előléptetésével és elmozdíthatatlanságával kapcsolatos szabályok,</w:t>
      </w:r>
    </w:p>
    <w:p w:rsidR="005E5EA7" w:rsidRPr="00174158" w:rsidRDefault="005E5EA7" w:rsidP="002249E8">
      <w:pPr>
        <w:pStyle w:val="NormalHanging12a"/>
        <w:widowControl/>
        <w:ind w:left="1134"/>
        <w:rPr>
          <w:szCs w:val="24"/>
        </w:rPr>
      </w:pPr>
      <w:r w:rsidRPr="00174158">
        <w:lastRenderedPageBreak/>
        <w:t>–</w:t>
      </w:r>
      <w:r w:rsidRPr="00174158">
        <w:tab/>
        <w:t>a közigazgatási határozatokat felülvizsgáló bírák függetlenségére vonatkozó érdemi biztosítékok és garanciák hiánya,</w:t>
      </w:r>
    </w:p>
    <w:p w:rsidR="005E5EA7" w:rsidRPr="00174158" w:rsidRDefault="005E5EA7" w:rsidP="002249E8">
      <w:pPr>
        <w:pStyle w:val="NormalHanging12a"/>
        <w:widowControl/>
        <w:ind w:left="1134"/>
        <w:rPr>
          <w:szCs w:val="24"/>
        </w:rPr>
      </w:pPr>
      <w:r w:rsidRPr="00174158">
        <w:t>–</w:t>
      </w:r>
      <w:r w:rsidRPr="00174158">
        <w:tab/>
        <w:t>az előzetes döntéshozatal iránti kérelmek Európai Unió Bírósága (EUB) elé terjesztése előtt álló akadályok számának növekedése,</w:t>
      </w:r>
    </w:p>
    <w:p w:rsidR="005E5EA7" w:rsidRPr="00174158" w:rsidRDefault="005E5EA7" w:rsidP="002249E8">
      <w:pPr>
        <w:pStyle w:val="NormalHanging12a"/>
        <w:widowControl/>
        <w:ind w:left="1134"/>
        <w:rPr>
          <w:szCs w:val="24"/>
        </w:rPr>
      </w:pPr>
      <w:r w:rsidRPr="00174158">
        <w:t>–</w:t>
      </w:r>
      <w:r w:rsidRPr="00174158">
        <w:tab/>
        <w:t>az ügyészek és bírák mentelmi jogára és fegyelmi eljárásaira vonatkozó szabályok hiányosságai,</w:t>
      </w:r>
    </w:p>
    <w:p w:rsidR="005E5EA7" w:rsidRPr="00174158" w:rsidRDefault="005E5EA7" w:rsidP="002249E8">
      <w:pPr>
        <w:pStyle w:val="NormalHanging12a"/>
        <w:widowControl/>
        <w:ind w:left="1134"/>
        <w:rPr>
          <w:szCs w:val="24"/>
        </w:rPr>
      </w:pPr>
      <w:r w:rsidRPr="00174158">
        <w:t>–</w:t>
      </w:r>
      <w:r w:rsidRPr="00174158">
        <w:tab/>
        <w:t>politikai beavatkozás az ügyészi szolgálatok és az egyes ügyészek munkájába,</w:t>
      </w:r>
    </w:p>
    <w:p w:rsidR="005E5EA7" w:rsidRPr="00174158" w:rsidRDefault="005E5EA7" w:rsidP="002249E8">
      <w:pPr>
        <w:pStyle w:val="NormalHanging12a"/>
        <w:widowControl/>
        <w:ind w:left="1134"/>
        <w:rPr>
          <w:szCs w:val="24"/>
        </w:rPr>
      </w:pPr>
      <w:r w:rsidRPr="00174158">
        <w:t>–</w:t>
      </w:r>
      <w:r w:rsidRPr="00174158">
        <w:tab/>
        <w:t>a bűncselekmények áldozatait támogató hatékony szolgáltatások hiánya;</w:t>
      </w:r>
    </w:p>
    <w:p w:rsidR="005E5EA7" w:rsidRPr="00174158" w:rsidRDefault="005E5EA7" w:rsidP="002249E8">
      <w:pPr>
        <w:pStyle w:val="NormalHanging12a"/>
        <w:widowControl/>
        <w:rPr>
          <w:szCs w:val="24"/>
        </w:rPr>
      </w:pPr>
      <w:r w:rsidRPr="00174158">
        <w:t>K.</w:t>
      </w:r>
      <w:r w:rsidRPr="00174158">
        <w:tab/>
        <w:t>mivel a korrupció elleni küzdelemmel és az összeférhetetlenséggel kapcsolatos, továbbra is fennálló súlyos hiányosságok nem kimerítő listája a következőket tartalmazza:</w:t>
      </w:r>
    </w:p>
    <w:p w:rsidR="005E5EA7" w:rsidRPr="00174158" w:rsidRDefault="005E5EA7" w:rsidP="002249E8">
      <w:pPr>
        <w:pStyle w:val="NormalHanging12a"/>
        <w:widowControl/>
        <w:ind w:left="1134"/>
        <w:rPr>
          <w:szCs w:val="24"/>
        </w:rPr>
      </w:pPr>
      <w:r w:rsidRPr="00174158">
        <w:t>–</w:t>
      </w:r>
      <w:r w:rsidRPr="00174158">
        <w:tab/>
        <w:t>a magas szinten elkövetett korrupciós ügyekkel kapcsolatos nyomozások, vádemelések és jogerős ítéletek terén elért eredmények hiánya,</w:t>
      </w:r>
    </w:p>
    <w:p w:rsidR="005E5EA7" w:rsidRPr="00174158" w:rsidRDefault="005E5EA7" w:rsidP="002249E8">
      <w:pPr>
        <w:pStyle w:val="NormalHanging12a"/>
        <w:widowControl/>
        <w:ind w:left="1134"/>
        <w:rPr>
          <w:szCs w:val="24"/>
        </w:rPr>
      </w:pPr>
      <w:r w:rsidRPr="00174158">
        <w:t>–</w:t>
      </w:r>
      <w:r w:rsidRPr="00174158">
        <w:tab/>
        <w:t>a lobbitevékenységre, a forgóajtó-jelenségre és a vagyonnyilatkozatok hatékony felügyeletére vonatkozó szigorú szabályok hiánya,</w:t>
      </w:r>
    </w:p>
    <w:p w:rsidR="005E5EA7" w:rsidRPr="00174158" w:rsidRDefault="005E5EA7" w:rsidP="002249E8">
      <w:pPr>
        <w:pStyle w:val="NormalHanging12a"/>
        <w:widowControl/>
        <w:ind w:left="1134"/>
        <w:rPr>
          <w:szCs w:val="24"/>
        </w:rPr>
      </w:pPr>
      <w:r w:rsidRPr="00174158">
        <w:t>–</w:t>
      </w:r>
      <w:r w:rsidRPr="00174158">
        <w:tab/>
        <w:t>az Integritás Hatóság megfelelő hatáskörének, felhatalmazásának, információkhoz való hozzáférésének és megfelelő erőforrásainak hiánya,</w:t>
      </w:r>
    </w:p>
    <w:p w:rsidR="005E5EA7" w:rsidRPr="00174158" w:rsidRDefault="005E5EA7" w:rsidP="002249E8">
      <w:pPr>
        <w:pStyle w:val="NormalHanging12a"/>
        <w:widowControl/>
        <w:ind w:left="1134"/>
        <w:rPr>
          <w:szCs w:val="24"/>
        </w:rPr>
      </w:pPr>
      <w:r w:rsidRPr="00174158">
        <w:t>–</w:t>
      </w:r>
      <w:r w:rsidRPr="00174158">
        <w:tab/>
        <w:t>a korrupcióellenes intézkedésekről folytatott nyilvános konzultáció és vita hiánya,</w:t>
      </w:r>
    </w:p>
    <w:p w:rsidR="005E5EA7" w:rsidRPr="00174158" w:rsidRDefault="005E5EA7" w:rsidP="002249E8">
      <w:pPr>
        <w:pStyle w:val="NormalHanging12a"/>
        <w:widowControl/>
        <w:ind w:left="1134"/>
        <w:rPr>
          <w:szCs w:val="24"/>
        </w:rPr>
      </w:pPr>
      <w:r w:rsidRPr="00174158">
        <w:t>–</w:t>
      </w:r>
      <w:r w:rsidRPr="00174158">
        <w:tab/>
        <w:t>az ügyészség elszámoltathatóságának hiánya, többek között gondatlanság, kötelezettségszegés és büntetendő magatartás esetén,</w:t>
      </w:r>
    </w:p>
    <w:p w:rsidR="005E5EA7" w:rsidRPr="00174158" w:rsidRDefault="005E5EA7" w:rsidP="002249E8">
      <w:pPr>
        <w:pStyle w:val="NormalHanging12a"/>
        <w:widowControl/>
        <w:ind w:left="1134"/>
        <w:rPr>
          <w:szCs w:val="24"/>
        </w:rPr>
      </w:pPr>
      <w:r w:rsidRPr="00174158">
        <w:t>–</w:t>
      </w:r>
      <w:r w:rsidRPr="00174158">
        <w:tab/>
        <w:t>politikai beavatkozás a magas szinten elkövetett korrupcióval és bűnügyekkel foglalkozó ügyészségek munkájába;</w:t>
      </w:r>
    </w:p>
    <w:p w:rsidR="005E5EA7" w:rsidRPr="00174158" w:rsidRDefault="005E5EA7" w:rsidP="002249E8">
      <w:pPr>
        <w:pStyle w:val="NormalHanging12a"/>
        <w:widowControl/>
        <w:rPr>
          <w:szCs w:val="24"/>
        </w:rPr>
      </w:pPr>
      <w:r w:rsidRPr="00174158">
        <w:t>L.</w:t>
      </w:r>
      <w:r w:rsidRPr="00174158">
        <w:tab/>
        <w:t>mivel a tömegtájékoztatás szabadságával és sokszínűségével kapcsolatos tartós és súlyos hiányosságok nem kimerítő listája a következőket tartalmazza:</w:t>
      </w:r>
    </w:p>
    <w:p w:rsidR="005E5EA7" w:rsidRPr="00174158" w:rsidRDefault="005E5EA7" w:rsidP="002249E8">
      <w:pPr>
        <w:pStyle w:val="NormalHanging12a"/>
        <w:widowControl/>
        <w:ind w:left="1134"/>
        <w:rPr>
          <w:szCs w:val="24"/>
        </w:rPr>
      </w:pPr>
      <w:r w:rsidRPr="00174158">
        <w:t>–</w:t>
      </w:r>
      <w:r w:rsidRPr="00174158">
        <w:tab/>
        <w:t>a médiahatóság és a digitális szolgáltatási koordinátor funkcionális függetlenségének hiánya,</w:t>
      </w:r>
    </w:p>
    <w:p w:rsidR="005E5EA7" w:rsidRPr="00174158" w:rsidRDefault="005E5EA7" w:rsidP="002249E8">
      <w:pPr>
        <w:pStyle w:val="NormalHanging12a"/>
        <w:widowControl/>
        <w:ind w:left="1134"/>
        <w:rPr>
          <w:szCs w:val="24"/>
        </w:rPr>
      </w:pPr>
      <w:r w:rsidRPr="00174158">
        <w:t>–</w:t>
      </w:r>
      <w:r w:rsidRPr="00174158">
        <w:tab/>
        <w:t>a közszolgálati média szerkesztői és pénzügyi függetlenségének hiánya, valamint a politikai nézetek pluralizmusának hiánya a közszolgálati médiában, amelyet a kormányzó többség politikai propaganda céljaira használ,</w:t>
      </w:r>
    </w:p>
    <w:p w:rsidR="005E5EA7" w:rsidRPr="00174158" w:rsidRDefault="005E5EA7" w:rsidP="002249E8">
      <w:pPr>
        <w:pStyle w:val="NormalHanging12a"/>
        <w:widowControl/>
        <w:ind w:left="1134"/>
        <w:rPr>
          <w:szCs w:val="24"/>
        </w:rPr>
      </w:pPr>
      <w:r w:rsidRPr="00174158">
        <w:t>–</w:t>
      </w:r>
      <w:r w:rsidRPr="00174158">
        <w:tab/>
        <w:t>az állami hirdetésekkel való visszaélés a kormánypárti médiaorgánumokban, valamint az ezzel kapcsolatos szabályok és átláthatóság hiánya,</w:t>
      </w:r>
    </w:p>
    <w:p w:rsidR="005E5EA7" w:rsidRPr="00174158" w:rsidRDefault="005E5EA7" w:rsidP="002249E8">
      <w:pPr>
        <w:pStyle w:val="NormalHanging12a"/>
        <w:widowControl/>
        <w:ind w:left="1134"/>
        <w:rPr>
          <w:szCs w:val="24"/>
        </w:rPr>
      </w:pPr>
      <w:r w:rsidRPr="00174158">
        <w:t>–</w:t>
      </w:r>
      <w:r w:rsidRPr="00174158">
        <w:tab/>
        <w:t>lejárató kampányok a független újságírók és média ellen,</w:t>
      </w:r>
    </w:p>
    <w:p w:rsidR="005E5EA7" w:rsidRPr="00174158" w:rsidRDefault="005E5EA7" w:rsidP="002249E8">
      <w:pPr>
        <w:pStyle w:val="NormalHanging12a"/>
        <w:widowControl/>
        <w:ind w:left="1134"/>
        <w:rPr>
          <w:szCs w:val="24"/>
        </w:rPr>
      </w:pPr>
      <w:r w:rsidRPr="00174158">
        <w:t>–</w:t>
      </w:r>
      <w:r w:rsidRPr="00174158">
        <w:tab/>
        <w:t>a nyilvános információkhoz való hozzáférés egyre nagyobb mértékű korlátozása,</w:t>
      </w:r>
    </w:p>
    <w:p w:rsidR="005E5EA7" w:rsidRPr="00174158" w:rsidRDefault="005E5EA7" w:rsidP="002249E8">
      <w:pPr>
        <w:pStyle w:val="NormalHanging12a"/>
        <w:widowControl/>
        <w:ind w:left="1134"/>
        <w:rPr>
          <w:szCs w:val="24"/>
        </w:rPr>
      </w:pPr>
      <w:r w:rsidRPr="00174158">
        <w:t>–</w:t>
      </w:r>
      <w:r w:rsidRPr="00174158">
        <w:tab/>
        <w:t>az oknyomozó újságírókat és médiaszakembereket célzó kémszoftverek telepítésével kapcsolatos érdemi vizsgálat hiánya,</w:t>
      </w:r>
    </w:p>
    <w:p w:rsidR="005E5EA7" w:rsidRPr="00174158" w:rsidRDefault="005E5EA7" w:rsidP="002249E8">
      <w:pPr>
        <w:pStyle w:val="NormalHanging12a"/>
        <w:widowControl/>
        <w:ind w:left="1134"/>
        <w:rPr>
          <w:szCs w:val="24"/>
        </w:rPr>
      </w:pPr>
      <w:r w:rsidRPr="00174158">
        <w:lastRenderedPageBreak/>
        <w:t>–</w:t>
      </w:r>
      <w:r w:rsidRPr="00174158">
        <w:tab/>
        <w:t>a médiapiac koncentrációja és a kormány médiakörnyezetre gyakorolt túlzott befolyása (többek között a Közép-európai Sajtó- és Média Alapítványon (KESMA) keresztül),</w:t>
      </w:r>
    </w:p>
    <w:p w:rsidR="005E5EA7" w:rsidRPr="00174158" w:rsidRDefault="005E5EA7" w:rsidP="002249E8">
      <w:pPr>
        <w:pStyle w:val="NormalHanging12a"/>
        <w:widowControl/>
        <w:ind w:left="1134"/>
        <w:rPr>
          <w:szCs w:val="24"/>
        </w:rPr>
      </w:pPr>
      <w:r w:rsidRPr="00174158">
        <w:t>–</w:t>
      </w:r>
      <w:r w:rsidRPr="00174158">
        <w:tab/>
        <w:t>a médiaorgánumok és az újságírók lehetséges alávetése a Szuverenitásvédelmi Hivatal vizsgálatainak;</w:t>
      </w:r>
    </w:p>
    <w:p w:rsidR="005E5EA7" w:rsidRPr="00174158" w:rsidRDefault="005E5EA7" w:rsidP="002249E8">
      <w:pPr>
        <w:pStyle w:val="NormalHanging12a"/>
        <w:widowControl/>
        <w:rPr>
          <w:szCs w:val="24"/>
        </w:rPr>
      </w:pPr>
      <w:r w:rsidRPr="00174158">
        <w:t>M.</w:t>
      </w:r>
      <w:r w:rsidRPr="00174158">
        <w:tab/>
        <w:t>mivel az alkotmányos és a választási rendszerrel, valamint a fékekkel és ellensúlyokkal kapcsolatos tartós és súlyos hiányosságok nem kimerítő listája a következőket tartalmazza:</w:t>
      </w:r>
    </w:p>
    <w:p w:rsidR="005E5EA7" w:rsidRPr="00174158" w:rsidRDefault="005E5EA7" w:rsidP="002249E8">
      <w:pPr>
        <w:pStyle w:val="NormalHanging12a"/>
        <w:widowControl/>
        <w:ind w:left="1134"/>
        <w:rPr>
          <w:szCs w:val="24"/>
        </w:rPr>
      </w:pPr>
      <w:r w:rsidRPr="00174158">
        <w:t>–</w:t>
      </w:r>
      <w:r w:rsidRPr="00174158">
        <w:tab/>
        <w:t>a helyi és nemzeti szintű választások során a méltányos kampányfeltételek hiánya, valamint a választási törvény gyakori módosítása,</w:t>
      </w:r>
    </w:p>
    <w:p w:rsidR="005E5EA7" w:rsidRPr="00174158" w:rsidRDefault="005E5EA7" w:rsidP="002249E8">
      <w:pPr>
        <w:pStyle w:val="NormalHanging12a"/>
        <w:widowControl/>
        <w:ind w:left="1134"/>
        <w:rPr>
          <w:szCs w:val="24"/>
        </w:rPr>
      </w:pPr>
      <w:r w:rsidRPr="00174158">
        <w:t>–</w:t>
      </w:r>
      <w:r w:rsidRPr="00174158">
        <w:tab/>
        <w:t>a jogszabályok előkészítésének és elfogadásának folyamatával kapcsolatos átláthatóság és elszámoltathatóság elégtelensége,</w:t>
      </w:r>
    </w:p>
    <w:p w:rsidR="005E5EA7" w:rsidRPr="00174158" w:rsidRDefault="005E5EA7" w:rsidP="002249E8">
      <w:pPr>
        <w:pStyle w:val="NormalHanging12a"/>
        <w:widowControl/>
        <w:ind w:left="1134"/>
        <w:rPr>
          <w:bCs/>
          <w:szCs w:val="24"/>
        </w:rPr>
      </w:pPr>
      <w:r w:rsidRPr="00174158">
        <w:t>–</w:t>
      </w:r>
      <w:r w:rsidRPr="00174158">
        <w:tab/>
        <w:t>a „veszélyhelyzet” fenntartása, ami kiterjedt veszélyhelyzeti hatásköröket biztosít a kormánynak és lehetővé teszi számára, hogy veszélyhelyzeti rendeletekben felülírja a magasabb szintű jogszabályokat,</w:t>
      </w:r>
    </w:p>
    <w:p w:rsidR="005E5EA7" w:rsidRPr="00174158" w:rsidRDefault="005E5EA7" w:rsidP="002249E8">
      <w:pPr>
        <w:pStyle w:val="NormalHanging12a"/>
        <w:widowControl/>
        <w:ind w:left="1134"/>
        <w:rPr>
          <w:szCs w:val="24"/>
        </w:rPr>
      </w:pPr>
      <w:r w:rsidRPr="00174158">
        <w:t>–</w:t>
      </w:r>
      <w:r w:rsidRPr="00174158">
        <w:tab/>
        <w:t>a fontos törvényjavaslatokkal kapcsolatos</w:t>
      </w:r>
      <w:r w:rsidR="0013766E">
        <w:t>,</w:t>
      </w:r>
      <w:r w:rsidRPr="00174158">
        <w:t xml:space="preserve"> érdemi nyilvános konzultációs folyamat hiánya,</w:t>
      </w:r>
    </w:p>
    <w:p w:rsidR="005E5EA7" w:rsidRPr="00174158" w:rsidRDefault="005E5EA7" w:rsidP="002249E8">
      <w:pPr>
        <w:pStyle w:val="NormalHanging12a"/>
        <w:widowControl/>
        <w:ind w:left="1134"/>
        <w:rPr>
          <w:szCs w:val="24"/>
        </w:rPr>
      </w:pPr>
      <w:r w:rsidRPr="00174158">
        <w:t>–</w:t>
      </w:r>
      <w:r w:rsidRPr="00174158">
        <w:tab/>
        <w:t>a független szervek hatalomvesztése és a függetlenségükre gyakorolt nyomás,</w:t>
      </w:r>
    </w:p>
    <w:p w:rsidR="005E5EA7" w:rsidRPr="00174158" w:rsidRDefault="005E5EA7" w:rsidP="002249E8">
      <w:pPr>
        <w:pStyle w:val="NormalHanging12a"/>
        <w:widowControl/>
        <w:ind w:left="1134"/>
        <w:rPr>
          <w:bCs/>
          <w:szCs w:val="24"/>
        </w:rPr>
      </w:pPr>
      <w:r w:rsidRPr="00174158">
        <w:t>–</w:t>
      </w:r>
      <w:r w:rsidRPr="00174158">
        <w:tab/>
        <w:t>salátatörvények különféle törvények módosítására való felhasználása;</w:t>
      </w:r>
    </w:p>
    <w:p w:rsidR="005E5EA7" w:rsidRPr="00174158" w:rsidRDefault="005E5EA7" w:rsidP="002249E8">
      <w:pPr>
        <w:pStyle w:val="NormalHanging12a"/>
        <w:widowControl/>
        <w:rPr>
          <w:szCs w:val="24"/>
        </w:rPr>
      </w:pPr>
      <w:r w:rsidRPr="00174158">
        <w:t>N.</w:t>
      </w:r>
      <w:r w:rsidRPr="00174158">
        <w:tab/>
        <w:t>mivel a civil társadalom működésével kapcsolatos tartós és súlyos hiányosságok nem kimerítő listája a következőket tartalmazza:</w:t>
      </w:r>
    </w:p>
    <w:p w:rsidR="005E5EA7" w:rsidRPr="00174158" w:rsidRDefault="005E5EA7" w:rsidP="002249E8">
      <w:pPr>
        <w:pStyle w:val="NormalHanging12a"/>
        <w:widowControl/>
        <w:ind w:left="1134"/>
        <w:rPr>
          <w:szCs w:val="24"/>
        </w:rPr>
      </w:pPr>
      <w:r w:rsidRPr="00174158">
        <w:t>–</w:t>
      </w:r>
      <w:r w:rsidRPr="00174158">
        <w:tab/>
        <w:t>a független civil társadalmi szervezetek létezésének és működésének korlátozását célzó különböző törvények, például a külföldről támogatott szervezetek átláthatóságáról szóló törvény és a nemzeti szuverenitás védelméről szóló törvény visszatartó hatása,</w:t>
      </w:r>
    </w:p>
    <w:p w:rsidR="005E5EA7" w:rsidRPr="00174158" w:rsidRDefault="005E5EA7" w:rsidP="002249E8">
      <w:pPr>
        <w:pStyle w:val="NormalHanging12a"/>
        <w:widowControl/>
        <w:ind w:left="1134"/>
        <w:rPr>
          <w:szCs w:val="24"/>
        </w:rPr>
      </w:pPr>
      <w:r w:rsidRPr="00174158">
        <w:t>–</w:t>
      </w:r>
      <w:r w:rsidRPr="00174158">
        <w:tab/>
        <w:t>a civil társadalmi szervezetek képviselőinek zaklatása és a velük szemben indított lejárató kampányok,</w:t>
      </w:r>
    </w:p>
    <w:p w:rsidR="005E5EA7" w:rsidRPr="00174158" w:rsidRDefault="005E5EA7" w:rsidP="002249E8">
      <w:pPr>
        <w:pStyle w:val="NormalHanging12a"/>
        <w:widowControl/>
        <w:ind w:left="1134"/>
        <w:rPr>
          <w:szCs w:val="24"/>
        </w:rPr>
      </w:pPr>
      <w:r w:rsidRPr="00174158">
        <w:t>–</w:t>
      </w:r>
      <w:r w:rsidRPr="00174158">
        <w:tab/>
        <w:t>a független civil társadalmi szervezetek állami finanszírozásának hiánya, valamint a kormánypárti szervezetek vagy a kormányhoz kötődő szervezetek pénzügyi támogatása,</w:t>
      </w:r>
    </w:p>
    <w:p w:rsidR="005E5EA7" w:rsidRPr="00174158" w:rsidRDefault="005E5EA7" w:rsidP="002249E8">
      <w:pPr>
        <w:pStyle w:val="NormalHanging12a"/>
        <w:widowControl/>
        <w:ind w:left="1134"/>
        <w:rPr>
          <w:szCs w:val="24"/>
        </w:rPr>
      </w:pPr>
      <w:r w:rsidRPr="00174158">
        <w:t>–</w:t>
      </w:r>
      <w:r w:rsidRPr="00174158">
        <w:tab/>
        <w:t>a civil társadalmi szervezetek és képviselőik lehetséges alávetése a Szuverenitásvédelmi Hivatal általi felügyeletnek és vizsgálatoknak;</w:t>
      </w:r>
    </w:p>
    <w:p w:rsidR="005E5EA7" w:rsidRPr="00174158" w:rsidRDefault="005E5EA7" w:rsidP="002249E8">
      <w:pPr>
        <w:pStyle w:val="NormalHanging12a"/>
        <w:widowControl/>
        <w:rPr>
          <w:szCs w:val="24"/>
        </w:rPr>
      </w:pPr>
      <w:r w:rsidRPr="00174158">
        <w:t>O.</w:t>
      </w:r>
      <w:r w:rsidRPr="00174158">
        <w:tab/>
        <w:t>mivel az EU pénzügyi érdekeinek védelmével kapcsolatos tartós és súlyos hiányosságok nem kimerítő listája a következőket tartalmazza:</w:t>
      </w:r>
    </w:p>
    <w:p w:rsidR="005E5EA7" w:rsidRPr="00174158" w:rsidRDefault="005E5EA7" w:rsidP="002249E8">
      <w:pPr>
        <w:pStyle w:val="NormalHanging12a"/>
        <w:widowControl/>
        <w:ind w:left="1134"/>
        <w:rPr>
          <w:szCs w:val="24"/>
        </w:rPr>
      </w:pPr>
      <w:r w:rsidRPr="00174158">
        <w:t>–</w:t>
      </w:r>
      <w:r w:rsidRPr="00174158">
        <w:tab/>
        <w:t>az uniós költségvetést végrehajtó hatóságok működése,</w:t>
      </w:r>
    </w:p>
    <w:p w:rsidR="005E5EA7" w:rsidRPr="00174158" w:rsidRDefault="005E5EA7" w:rsidP="002249E8">
      <w:pPr>
        <w:pStyle w:val="NormalHanging12a"/>
        <w:widowControl/>
        <w:ind w:left="1134"/>
        <w:rPr>
          <w:szCs w:val="24"/>
        </w:rPr>
      </w:pPr>
      <w:r w:rsidRPr="00174158">
        <w:lastRenderedPageBreak/>
        <w:t>–</w:t>
      </w:r>
      <w:r w:rsidRPr="00174158">
        <w:tab/>
        <w:t>rendszerszintű szabálytalanságok, hiányosságok és gyengeségek a közbeszerzésben, beleértve az egyajánlatos közbeszerzési eljárások magas arányát és a verseny hiányát a közbeszerzési rendszerben,</w:t>
      </w:r>
    </w:p>
    <w:p w:rsidR="005E5EA7" w:rsidRPr="00174158" w:rsidRDefault="005E5EA7" w:rsidP="002249E8">
      <w:pPr>
        <w:pStyle w:val="NormalHanging12a"/>
        <w:widowControl/>
        <w:ind w:left="1134"/>
        <w:rPr>
          <w:szCs w:val="24"/>
        </w:rPr>
      </w:pPr>
      <w:r w:rsidRPr="00174158">
        <w:t>–</w:t>
      </w:r>
      <w:r w:rsidRPr="00174158">
        <w:tab/>
        <w:t>az uniós források hatékony és eredményes felhasználásának garantálására szolgáló ellenőrzési és kontrollmechanizmusok gyengesége,</w:t>
      </w:r>
    </w:p>
    <w:p w:rsidR="005E5EA7" w:rsidRPr="00174158" w:rsidRDefault="005E5EA7" w:rsidP="002249E8">
      <w:pPr>
        <w:pStyle w:val="NormalHanging12a"/>
        <w:widowControl/>
        <w:ind w:left="1134"/>
        <w:rPr>
          <w:szCs w:val="24"/>
        </w:rPr>
      </w:pPr>
      <w:r w:rsidRPr="00174158">
        <w:t>–</w:t>
      </w:r>
      <w:r w:rsidRPr="00174158">
        <w:tab/>
        <w:t>elégtelen kapacitás az uniós költségvetés végrehajtását vagy az Unió pénzügyi érdekeinek védelmét érintő csalásnak, korrupciónak vagy az uniós jog ezzel összefüggő egyéb megsértésének megelőzése és szankcionálása terén,</w:t>
      </w:r>
    </w:p>
    <w:p w:rsidR="005E5EA7" w:rsidRPr="00174158" w:rsidRDefault="005E5EA7" w:rsidP="002249E8">
      <w:pPr>
        <w:pStyle w:val="NormalHanging12a"/>
        <w:widowControl/>
        <w:ind w:left="1134"/>
        <w:rPr>
          <w:szCs w:val="24"/>
        </w:rPr>
      </w:pPr>
      <w:r w:rsidRPr="00174158">
        <w:t>–</w:t>
      </w:r>
      <w:r w:rsidRPr="00174158">
        <w:tab/>
        <w:t>az Arachne eszköz nem megfelelő alkalmazása,</w:t>
      </w:r>
    </w:p>
    <w:p w:rsidR="005E5EA7" w:rsidRPr="00174158" w:rsidRDefault="005E5EA7" w:rsidP="002249E8">
      <w:pPr>
        <w:pStyle w:val="NormalHanging12a"/>
        <w:widowControl/>
        <w:ind w:left="1134"/>
        <w:rPr>
          <w:szCs w:val="24"/>
        </w:rPr>
      </w:pPr>
      <w:r w:rsidRPr="00174158">
        <w:t>–</w:t>
      </w:r>
      <w:r w:rsidRPr="00174158">
        <w:tab/>
        <w:t>az átláthatóság hiánya az uniós források közérdekű vagyonkezelő alapítványok általi felhasználása terén,</w:t>
      </w:r>
    </w:p>
    <w:p w:rsidR="005E5EA7" w:rsidRPr="00174158" w:rsidRDefault="005E5EA7" w:rsidP="002249E8">
      <w:pPr>
        <w:pStyle w:val="NormalHanging12a"/>
        <w:widowControl/>
        <w:ind w:left="1134"/>
        <w:rPr>
          <w:szCs w:val="24"/>
        </w:rPr>
      </w:pPr>
      <w:r w:rsidRPr="00174158">
        <w:t>–</w:t>
      </w:r>
      <w:r w:rsidRPr="00174158">
        <w:tab/>
        <w:t>az Európai Ügyészséghez való csatlakozás elmulasztása Magyarország részéről;</w:t>
      </w:r>
    </w:p>
    <w:p w:rsidR="005E5EA7" w:rsidRPr="00174158" w:rsidRDefault="005E5EA7" w:rsidP="002249E8">
      <w:pPr>
        <w:pStyle w:val="NormalHanging12a"/>
        <w:widowControl/>
        <w:rPr>
          <w:szCs w:val="24"/>
        </w:rPr>
      </w:pPr>
      <w:r w:rsidRPr="00174158">
        <w:t>P.</w:t>
      </w:r>
      <w:r w:rsidRPr="00174158">
        <w:tab/>
        <w:t>mivel az egységes piaci elveknek és szabályoknak való megfeleléssel kapcsolatos tartós és súlyos hiányosságok nem kimerítő listája a következőket tartalmazza:</w:t>
      </w:r>
    </w:p>
    <w:p w:rsidR="005E5EA7" w:rsidRPr="00174158" w:rsidRDefault="005E5EA7" w:rsidP="002249E8">
      <w:pPr>
        <w:pStyle w:val="NormalHanging12a"/>
        <w:widowControl/>
        <w:ind w:left="1134"/>
        <w:rPr>
          <w:bCs/>
          <w:szCs w:val="24"/>
        </w:rPr>
      </w:pPr>
      <w:r w:rsidRPr="00174158">
        <w:t>–</w:t>
      </w:r>
      <w:r w:rsidRPr="00174158">
        <w:tab/>
        <w:t>a magyar kormány által stratégiai jelentőségűként meghatározott ágazatokban működő vállalkozásokkal szembeni hátrányos megkülönböztetést alkalmazó gyakorlatok,</w:t>
      </w:r>
    </w:p>
    <w:p w:rsidR="005E5EA7" w:rsidRPr="00174158" w:rsidRDefault="005E5EA7" w:rsidP="002249E8">
      <w:pPr>
        <w:pStyle w:val="NormalHanging12a"/>
        <w:widowControl/>
        <w:ind w:left="1134"/>
        <w:rPr>
          <w:bCs/>
          <w:szCs w:val="24"/>
        </w:rPr>
      </w:pPr>
      <w:r w:rsidRPr="00174158">
        <w:t>–</w:t>
      </w:r>
      <w:r w:rsidRPr="00174158">
        <w:tab/>
        <w:t>a közhatalommal és a jogalkotó hatalommal való visszaélés, valamint megfélemlítési technikák alkalmazása a magyar kormány számára stratégiai jelentőségű ágazatokban működő gazdasági szereplőkkel szemben;</w:t>
      </w:r>
    </w:p>
    <w:p w:rsidR="005E5EA7" w:rsidRPr="00174158" w:rsidRDefault="005E5EA7" w:rsidP="002249E8">
      <w:pPr>
        <w:pStyle w:val="NormalHanging12a"/>
        <w:widowControl/>
        <w:rPr>
          <w:szCs w:val="24"/>
        </w:rPr>
      </w:pPr>
      <w:r w:rsidRPr="00174158">
        <w:t>Q.</w:t>
      </w:r>
      <w:r w:rsidRPr="00174158">
        <w:tab/>
        <w:t>mivel a magyar kormány nem foglalkozott a Parlament 2022. szeptember 15-i állásfoglalásában azonosított egyéb aggályokkal sem, például az alábbi alapvető jogokkal kapcsolatban:</w:t>
      </w:r>
    </w:p>
    <w:p w:rsidR="005E5EA7" w:rsidRPr="00174158" w:rsidRDefault="005E5EA7" w:rsidP="002249E8">
      <w:pPr>
        <w:pStyle w:val="NormalHanging12a"/>
        <w:widowControl/>
        <w:ind w:left="1134"/>
        <w:rPr>
          <w:szCs w:val="24"/>
        </w:rPr>
      </w:pPr>
      <w:r w:rsidRPr="00174158">
        <w:t>–</w:t>
      </w:r>
      <w:r w:rsidRPr="00174158">
        <w:tab/>
        <w:t>a tudományos élet szabadsága,</w:t>
      </w:r>
    </w:p>
    <w:p w:rsidR="005E5EA7" w:rsidRPr="00174158" w:rsidRDefault="005E5EA7" w:rsidP="002249E8">
      <w:pPr>
        <w:pStyle w:val="NormalHanging12a"/>
        <w:widowControl/>
        <w:ind w:left="1134"/>
        <w:rPr>
          <w:szCs w:val="24"/>
        </w:rPr>
      </w:pPr>
      <w:r w:rsidRPr="00174158">
        <w:t>–</w:t>
      </w:r>
      <w:r w:rsidRPr="00174158">
        <w:tab/>
        <w:t>a vallásszabadság,</w:t>
      </w:r>
    </w:p>
    <w:p w:rsidR="005E5EA7" w:rsidRPr="00174158" w:rsidRDefault="005E5EA7" w:rsidP="002249E8">
      <w:pPr>
        <w:pStyle w:val="NormalHanging12a"/>
        <w:widowControl/>
        <w:ind w:left="1134"/>
        <w:rPr>
          <w:szCs w:val="24"/>
        </w:rPr>
      </w:pPr>
      <w:r w:rsidRPr="00174158">
        <w:t>–</w:t>
      </w:r>
      <w:r w:rsidRPr="00174158">
        <w:tab/>
        <w:t>az egyenlő bánásmódhoz való jog, beleértve az LMBTIQ-személyek jogait is,</w:t>
      </w:r>
    </w:p>
    <w:p w:rsidR="005E5EA7" w:rsidRPr="00174158" w:rsidRDefault="005E5EA7" w:rsidP="002249E8">
      <w:pPr>
        <w:pStyle w:val="NormalHanging12a"/>
        <w:widowControl/>
        <w:ind w:left="1134"/>
        <w:rPr>
          <w:szCs w:val="24"/>
        </w:rPr>
      </w:pPr>
      <w:r w:rsidRPr="00174158">
        <w:t>–</w:t>
      </w:r>
      <w:r w:rsidRPr="00174158">
        <w:tab/>
        <w:t>a kisebbségekhez tartozó személyek, köztük a romák és a zsidók jogai; a kisebbségek elleni gyűlöletkeltő kijelentésekkel szembeni védelem,</w:t>
      </w:r>
    </w:p>
    <w:p w:rsidR="005E5EA7" w:rsidRPr="00174158" w:rsidRDefault="005E5EA7" w:rsidP="002249E8">
      <w:pPr>
        <w:pStyle w:val="NormalHanging12a"/>
        <w:widowControl/>
        <w:ind w:left="1134"/>
        <w:rPr>
          <w:szCs w:val="24"/>
        </w:rPr>
      </w:pPr>
      <w:r w:rsidRPr="00174158">
        <w:t>–</w:t>
      </w:r>
      <w:r w:rsidRPr="00174158">
        <w:tab/>
        <w:t>a migránsok, menedékkérők és menekültek alapvető jogai,</w:t>
      </w:r>
    </w:p>
    <w:p w:rsidR="005E5EA7" w:rsidRPr="00174158" w:rsidRDefault="005E5EA7" w:rsidP="002249E8">
      <w:pPr>
        <w:pStyle w:val="NormalHanging12a"/>
        <w:widowControl/>
        <w:ind w:left="1134"/>
        <w:rPr>
          <w:szCs w:val="24"/>
        </w:rPr>
      </w:pPr>
      <w:r w:rsidRPr="00174158">
        <w:t>–</w:t>
      </w:r>
      <w:r w:rsidRPr="00174158">
        <w:tab/>
        <w:t>a gazdasági és szociális jogok;</w:t>
      </w:r>
    </w:p>
    <w:p w:rsidR="005E5EA7" w:rsidRPr="00174158" w:rsidRDefault="005E5EA7" w:rsidP="002249E8">
      <w:pPr>
        <w:pStyle w:val="NormalHanging12a"/>
        <w:widowControl/>
        <w:rPr>
          <w:szCs w:val="24"/>
        </w:rPr>
      </w:pPr>
      <w:r w:rsidRPr="00174158">
        <w:t>R.</w:t>
      </w:r>
      <w:r w:rsidRPr="00174158">
        <w:tab/>
        <w:t xml:space="preserve">mivel 2023. december 23-án hatályba lépett a nemzeti szuverenitás védelméről szóló törvény; mivel ennek eredményeként létrehozták az új Szuverenitásvédelmi Hivatalt, és többek között olyan rendelkezéssel módosították a büntető törvénykönyvet, amely börtönbüntetést ír elő a külföldi támogatás politikai kampányokra való felhasználása miatt; mivel 2023. november 27-i nyilatkozatában az Európa Tanács emberi jogi biztosa jelezte, hogy e jogi aktus tervezete jelentős kockázatot jelent az emberi jogokra nézve, </w:t>
      </w:r>
      <w:r w:rsidRPr="00174158">
        <w:lastRenderedPageBreak/>
        <w:t>és elvetendő; mivel 2024. március 18-i véleményében a Velencei Bizottság megjegyezte, hogy a politikai pártok és választási kampányok külföldi finanszírozására vonatkozó korlátozások szokásosak, és elvben összhangban vannak a nemzetközi bevált gyakorlatokkal és normákkal, de a jogszabály-módosítások nem határozták meg egyértelműen, hogy milyen típusú kampánytevékenységek tiltottak, és hogyan lehet megállapítani, hogy azokat külföldi forrásokból finanszírozták; mivel a Velencei Bizottság véleményében azt is megjegyezte, hogy a módosítások nem vették figyelembe a politikai pártok nemzetközi szintű együttműködését, kizárják a nemzetközi szervezetek általi finanszírozást, és nem írják elő a nemzetközi kötelezettségek, köztük az uniós tagságból eredő kötelezettségek tiszteletben tartását; mivel 2024. február 7-én a Bizottság úgy határozott, hogy kötelezettségszegési eljárást indít Magyarország ellen, mivel úgy ítélte meg, hogy a jogszabály sérti az elsődleges és másodlagos uniós jog számos rendelkezését, többek között az EU demokratikus értékeit, a demokrácia elvét és az uniós polgárok választójogát, valamint a Chartában rögzített számos alapvető jogot, például a magán- és a családi élet tiszteletben tartásához való jogot, a személyes adatok védelméhez való jogot, a véleménynyilvánítás és a tájékozódás szabadságát, az egyesülés szabadságát, az uniós polgárok választójogát, a hatékony jogorvoslathoz és a tisztességes eljáráshoz való jogot, az önvádra kötelezés tilalmát és az ügyvédi titoktartási kötelezettséget, az uniós jog adatvédelmi követelményeit és az egységes piacra alkalmazandó számos szabályt;</w:t>
      </w:r>
    </w:p>
    <w:p w:rsidR="005E5EA7" w:rsidRPr="00174158" w:rsidRDefault="005E5EA7" w:rsidP="002249E8">
      <w:pPr>
        <w:pStyle w:val="NormalHanging12a"/>
        <w:widowControl/>
        <w:rPr>
          <w:szCs w:val="24"/>
        </w:rPr>
      </w:pPr>
      <w:r w:rsidRPr="00174158">
        <w:t>S.</w:t>
      </w:r>
      <w:r w:rsidRPr="00174158">
        <w:tab/>
        <w:t>mivel az időközi jelentés elfogadása óta az EUB a C-823/21. sz. Bizottság kontra Magyarország ügyben hozott ítéletében</w:t>
      </w:r>
      <w:r w:rsidRPr="00174158">
        <w:rPr>
          <w:rStyle w:val="FootnoteReference"/>
          <w:szCs w:val="24"/>
        </w:rPr>
        <w:footnoteReference w:id="7"/>
      </w:r>
      <w:r w:rsidRPr="00174158">
        <w:t xml:space="preserve"> megállapította, hogy Magyarország azáltal, hogy a nemzetközi védelem iránti kérelem előterjesztését egy harmadik országban található magyar nagykövetségen benyújtott szándéknyilatkozathoz kötötte, nem teljesítette az uniós menekültügyi jogból eredő kötelezettségeit;</w:t>
      </w:r>
    </w:p>
    <w:p w:rsidR="005E5EA7" w:rsidRPr="00174158" w:rsidRDefault="005E5EA7" w:rsidP="002249E8">
      <w:pPr>
        <w:pStyle w:val="NormalHanging12a"/>
        <w:widowControl/>
        <w:rPr>
          <w:szCs w:val="24"/>
        </w:rPr>
      </w:pPr>
      <w:r w:rsidRPr="00174158">
        <w:t>T.</w:t>
      </w:r>
      <w:r w:rsidRPr="00174158">
        <w:tab/>
        <w:t>mivel az Emberi Jogok Európai Bíróságának (EJEB) a Bakirdzi és E.C. kontra Magyarország ügyben hozott 2022. november 10-i, 2023. április 3-án jogerőre emelkedett ítéletében (</w:t>
      </w:r>
      <w:hyperlink r:id="rId9" w:anchor="{%22appno%22:[%2249636/14%22]}" w:tgtFrame="_blank" w:history="1">
        <w:r w:rsidRPr="00DD4225">
          <w:t>49636/14</w:t>
        </w:r>
      </w:hyperlink>
      <w:r w:rsidRPr="00174158">
        <w:t xml:space="preserve">. és </w:t>
      </w:r>
      <w:hyperlink r:id="rId10" w:anchor="{%22appno%22:[%2265678/14%22]}" w:tgtFrame="_blank" w:history="1">
        <w:r w:rsidRPr="00DD4225">
          <w:t>65678/14</w:t>
        </w:r>
      </w:hyperlink>
      <w:r w:rsidRPr="00174158">
        <w:t>. sz. kérelmek), valamint a Szolcsán kontra Magyarország ügyben 2023. március 30-i, 2023. június 30-án jogerőre emelkedett ítéletében (</w:t>
      </w:r>
      <w:r w:rsidRPr="00174158">
        <w:rPr>
          <w:rStyle w:val="textcolumn"/>
          <w:shd w:val="clear" w:color="auto" w:fill="FFFFFF"/>
        </w:rPr>
        <w:t>24408/16</w:t>
      </w:r>
      <w:r w:rsidRPr="00174158">
        <w:t>. sz. kérelem) az EJEB jogsértéseket állapított meg a nemzetiségi szavazók szavazati jogai tekintetében, valamint a roma gyermekek szegregált osztályokban vagy iskolákban, az egyenlőtlenségek orvoslására tett megfelelő intézkedések nélkül történő oktatása tekintetében;</w:t>
      </w:r>
    </w:p>
    <w:p w:rsidR="005E5EA7" w:rsidRPr="00174158" w:rsidRDefault="005E5EA7" w:rsidP="002249E8">
      <w:pPr>
        <w:pStyle w:val="NormalHanging12a"/>
        <w:widowControl/>
        <w:rPr>
          <w:szCs w:val="24"/>
        </w:rPr>
      </w:pPr>
      <w:r w:rsidRPr="00174158">
        <w:t>U.</w:t>
      </w:r>
      <w:r w:rsidRPr="00174158">
        <w:tab/>
        <w:t>mivel az Európa Tanács Miniszteri Bizottsága az EJEB Szabó és Vissy kontra Magyarország</w:t>
      </w:r>
      <w:r w:rsidRPr="00174158">
        <w:rPr>
          <w:rStyle w:val="FootnoteReference"/>
          <w:i/>
          <w:szCs w:val="24"/>
        </w:rPr>
        <w:footnoteReference w:id="8"/>
      </w:r>
      <w:r w:rsidRPr="00174158">
        <w:t>, Gazsó kontra Magyarország</w:t>
      </w:r>
      <w:r w:rsidRPr="00174158">
        <w:rPr>
          <w:rStyle w:val="FootnoteReference"/>
          <w:i/>
          <w:szCs w:val="24"/>
        </w:rPr>
        <w:footnoteReference w:id="9"/>
      </w:r>
      <w:r w:rsidRPr="00174158">
        <w:t>, Ilias és Ahmed kontra Magyarország</w:t>
      </w:r>
      <w:r w:rsidRPr="00174158">
        <w:rPr>
          <w:rStyle w:val="FootnoteReference"/>
          <w:i/>
          <w:szCs w:val="24"/>
        </w:rPr>
        <w:footnoteReference w:id="10"/>
      </w:r>
      <w:r w:rsidRPr="00174158">
        <w:t xml:space="preserve"> és Baka kontra Magyarország</w:t>
      </w:r>
      <w:r w:rsidRPr="00174158">
        <w:rPr>
          <w:rStyle w:val="FootnoteReference"/>
          <w:i/>
          <w:szCs w:val="24"/>
        </w:rPr>
        <w:footnoteReference w:id="11"/>
      </w:r>
      <w:r w:rsidRPr="00174158">
        <w:t xml:space="preserve"> ügyekben hozott ítéletei végrehajtásának folyamatban lévő megerősített felügyeletével kapcsolatos határozataiban ismételten hangot adott az ezen ítéletek végrehajtásának elmulasztásával kapcsolatos aggályainak;</w:t>
      </w:r>
    </w:p>
    <w:p w:rsidR="005E5EA7" w:rsidRPr="00174158" w:rsidRDefault="005E5EA7" w:rsidP="002249E8">
      <w:pPr>
        <w:pStyle w:val="NormalHanging12a"/>
        <w:widowControl/>
        <w:rPr>
          <w:szCs w:val="24"/>
        </w:rPr>
      </w:pPr>
      <w:r w:rsidRPr="00174158">
        <w:lastRenderedPageBreak/>
        <w:t>V.</w:t>
      </w:r>
      <w:r w:rsidRPr="00174158">
        <w:tab/>
        <w:t>mivel a Magyarországról szóló ötödik értékelési fordulót lezáró értékelő jelentésében a Korrupció Elleni Államok Csoportja (GRECO) számos aggályt fogalmazott meg a Magyar Rendőrség és a Nemzeti Védelmi Szolgálat felsővezetői pozícióiban lévő személyek, valamint e szervezetek tagjai körében a korrupció megelőzésére szolgáló magyarországi keret hatékonyságával kapcsolatban; mivel a GRECO jelezte, hogy Magyarországon a közigazgatás és a bűnüldöző hatóságok közös és általános jellemzője, hogy a feddhetetlenség biztosítására és a korrupció megelőzésére irányuló intézkedések többsége az alsó és középső szinteken feladatot ellátó tisztviselőket célozza meg, ám a felsővezetői feladatokat ellátó személyekre vonatkozó feddhetetlenségi keret nagyon hiányos, és a rendőrség és a Nemzeti Védelmi Szolgálat felső vezetőinek kinevezésére vonatkozó feltételekhez az átpolitizálódás kockázata kapcsolódik;</w:t>
      </w:r>
    </w:p>
    <w:p w:rsidR="005E5EA7" w:rsidRPr="00174158" w:rsidRDefault="005E5EA7" w:rsidP="002249E8">
      <w:pPr>
        <w:pStyle w:val="NormalHanging12a"/>
        <w:widowControl/>
        <w:rPr>
          <w:szCs w:val="24"/>
        </w:rPr>
      </w:pPr>
      <w:r w:rsidRPr="00174158">
        <w:t>W.</w:t>
      </w:r>
      <w:r w:rsidRPr="00174158">
        <w:tab/>
        <w:t>mivel a Rasszizmus és Intolerancia Elleni Európai Bizottság jelentésében üdvözölt több pozitív magyarországi fejleményt is, de aggodalmát fejezte ki az Egyenlő Bánásmód Hatóság megszüntetése, a hátrányos helyzetű és alacsony jövedelmű családban élő diákok, például a roma diákok megbélyegzése, az LMBTI-személyek emberi jogainak jelentős visszaszorulása, a különösen a menekülteket, menedékkérőket és migránsokat, muzulmánokat és LMBTI személyeket célzó, egyre inkább xenofób nyilvános diskurzus és politikai beszéd, a gyűlöletbeszédre vonatkozó jogi keret rendkívül korlátozott hatékonysága, a nemzeti társadalmi befogadási stratégiák végrehajtásának elmaradása, a menekültek és a kiegészítő védelemben részesülő személyek állami integrációs támogatásának megszüntetése, valamint az országban a menedékjoghoz való hozzáférés korlátozása miatt;</w:t>
      </w:r>
    </w:p>
    <w:p w:rsidR="005E5EA7" w:rsidRPr="00174158" w:rsidRDefault="005E5EA7" w:rsidP="002249E8">
      <w:pPr>
        <w:pStyle w:val="NormalHanging12a"/>
        <w:widowControl/>
        <w:rPr>
          <w:szCs w:val="24"/>
        </w:rPr>
      </w:pPr>
      <w:r w:rsidRPr="00174158">
        <w:t>X.</w:t>
      </w:r>
      <w:r w:rsidRPr="00174158">
        <w:tab/>
        <w:t>mivel a nőkkel szemben alkalmazott hátrányos megkülönböztetés kiküszöbölésével foglalkozó ENSZ-bizottság záró észrevételeiben aggodalmát fejezte ki a szexuális és reproduktív egészséggel és jogokkal, valamint azzal kapcsolatban, hogy Magyarország esélyegyenlőségi politikája kizárólag a család fogalmán alapul, és a nő elsődleges szerepének azt tekinti, hogy feleség és anya legyen, és a bizottság azt ajánlotta Magyarországnak, hogy hozzon intézkedéseket a genderellenes nyilvános diskurzus ellen;</w:t>
      </w:r>
    </w:p>
    <w:p w:rsidR="005E5EA7" w:rsidRPr="00174158" w:rsidRDefault="005E5EA7" w:rsidP="002249E8">
      <w:pPr>
        <w:pStyle w:val="NormalHanging12a"/>
        <w:widowControl/>
        <w:rPr>
          <w:szCs w:val="24"/>
        </w:rPr>
      </w:pPr>
      <w:r w:rsidRPr="00174158">
        <w:t>Y.</w:t>
      </w:r>
      <w:r w:rsidRPr="00174158">
        <w:tab/>
        <w:t>mivel az Európai Biztonsági és Együttműködési Szervezet médiaszabadsággal foglalkozó képviselője Magyarországon tett hivatalos látogatását követő nyilatkozatában kijelentette, hogy a tömegtájékoztatás szabadságának magyarországi helyzetét vizsgálva olyan rendszerszintű megközelítés képe rajzolódik ki, amelyben egyes hangokra nem ugyanazok a – hallhatósághoz szükséges – alapvető feltételek vonatkoznak;</w:t>
      </w:r>
    </w:p>
    <w:p w:rsidR="005E5EA7" w:rsidRPr="00174158" w:rsidRDefault="005E5EA7" w:rsidP="002249E8">
      <w:pPr>
        <w:pStyle w:val="NormalHanging12a"/>
        <w:widowControl/>
        <w:rPr>
          <w:szCs w:val="24"/>
        </w:rPr>
      </w:pPr>
      <w:r w:rsidRPr="00174158">
        <w:t>Z.</w:t>
      </w:r>
      <w:r w:rsidRPr="00174158">
        <w:tab/>
        <w:t>mivel a Tanács Magyarország 2023. évi nemzeti reformprogramjáról szóló ajánlásában, amelyben véleményezte Magyarország 2023. évi konvergenciaprogramját (COM(2023)0617), azt ajánlotta, hogy Magyarország az egységes piac és a jogállamiság elveivel összhangban hozzon intézkedéseket a szociális ellátórendszer megfelelőségének javítására, az eredményes aktív munkaerőpiaci intézkedések hozzáférhetőségének javítására, az eredményes szociális párbeszéd biztosítására, valamint a szabályozási keret és a szolgáltatási verseny javítására;</w:t>
      </w:r>
    </w:p>
    <w:p w:rsidR="005E5EA7" w:rsidRPr="00174158" w:rsidRDefault="005E5EA7" w:rsidP="002249E8">
      <w:pPr>
        <w:pStyle w:val="NormalHanging12a"/>
        <w:widowControl/>
        <w:rPr>
          <w:szCs w:val="24"/>
        </w:rPr>
      </w:pPr>
      <w:r w:rsidRPr="00174158">
        <w:t>AA.</w:t>
      </w:r>
      <w:r w:rsidRPr="00174158">
        <w:tab/>
        <w:t xml:space="preserve">mivel a magyar kormány nem hajtotta végre a magyar Alkotmánybíróság, az EUB és az EJEB több, az EUSZ 2. cikkében foglalt értékek Magyarország általi megsértésével kapcsolatos ítéletét, és nem hasznosította sem a Bizottság 2023. évi jogállamisági </w:t>
      </w:r>
      <w:r w:rsidRPr="00174158">
        <w:lastRenderedPageBreak/>
        <w:t>jelentésében foglalt ajánlások nagy többségét, sem más nemzetközi szervek, például a GRECO, a Velencei Bizottság és más szervek ajánlásait;</w:t>
      </w:r>
    </w:p>
    <w:p w:rsidR="005E5EA7" w:rsidRPr="00174158" w:rsidRDefault="005E5EA7" w:rsidP="002249E8">
      <w:pPr>
        <w:pStyle w:val="NormalHanging12a"/>
        <w:widowControl/>
        <w:rPr>
          <w:szCs w:val="24"/>
        </w:rPr>
      </w:pPr>
      <w:r w:rsidRPr="00174158">
        <w:t>1.</w:t>
      </w:r>
      <w:r w:rsidRPr="00174158">
        <w:tab/>
        <w:t>megdöbbenésének ad hangot a magyarországi demokrácia, jogállamiság és alapvető jogok tartós, rendszerszintű és szándékos megsértése miatt, amelyért a magyar kormány felelősséget visel;</w:t>
      </w:r>
    </w:p>
    <w:p w:rsidR="005E5EA7" w:rsidRPr="00174158" w:rsidRDefault="005E5EA7" w:rsidP="002249E8">
      <w:pPr>
        <w:pStyle w:val="NormalHanging12a"/>
        <w:widowControl/>
        <w:rPr>
          <w:szCs w:val="24"/>
        </w:rPr>
      </w:pPr>
      <w:r w:rsidRPr="00174158">
        <w:t>2.</w:t>
      </w:r>
      <w:r w:rsidRPr="00174158">
        <w:tab/>
        <w:t>kiemeli, hogy az EUSZ 7. cikkének (1) bekezdése szerinti eljárást megindítása óta az EUSZ 2. cikkében foglalt értékek tiszteletben tartása jelentősen romlott Magyarországon, és mélységes sajnálatát fejezi ki amiatt, hogy a Bizottság és a Tanács határozott fellépésének hiánya hozzájárult a demokrácia, a jogállamiság és az alapvető jogok helyzetének romlásához az országban, ahol a vonatkozó mutatók szerint kiépült a választási autokrácia hibrid rendszere;</w:t>
      </w:r>
    </w:p>
    <w:p w:rsidR="005E5EA7" w:rsidRPr="00174158" w:rsidRDefault="005E5EA7" w:rsidP="002249E8">
      <w:pPr>
        <w:pStyle w:val="NormalHanging12a"/>
        <w:widowControl/>
        <w:rPr>
          <w:szCs w:val="24"/>
        </w:rPr>
      </w:pPr>
      <w:r w:rsidRPr="00174158">
        <w:t>3.</w:t>
      </w:r>
      <w:r w:rsidRPr="00174158">
        <w:tab/>
        <w:t>elítéli a nemzeti szuverenitás védelméről szóló törvény elfogadását, valamint a kiterjedt hatáskörökkel és szigorú felügyeleti és szankciórendszerrel rendelkező Szuverenitásvédelmi Hivatal létrehozását, amelyek alapjaiban sértik a demokrácia normáit, például a szabad és tisztességes választások elvét, a jogállamiságot és az alapvető jogokat, továbbá megsértenek számos uniós jogszabályt; üdvözli, hogy a Bizottság ebben az ügyben kötelezettségszegési eljárást indított Magyarország ellen; felszólítja a magyar kormányt, hogy haladéktalanul helyezze hatályon kívül a törvényt;</w:t>
      </w:r>
      <w:r w:rsidR="00DD4225">
        <w:t xml:space="preserve"> </w:t>
      </w:r>
      <w:r w:rsidR="00DD4225" w:rsidRPr="00DD4225">
        <w:rPr>
          <w:b/>
          <w:i/>
        </w:rPr>
        <w:t xml:space="preserve"> </w:t>
      </w:r>
      <w:r w:rsidR="00DD4225" w:rsidRPr="008F3FB8">
        <w:t>felhívja a Bizottságot, hogy kérje az EUB-tól ideiglenes intézkedésként a fent említett törvény alkalmazásának azonnali felfüggesztését, mivel ez a törvény érinti a szabad és tisztességes választások elvét;</w:t>
      </w:r>
    </w:p>
    <w:p w:rsidR="005E5EA7" w:rsidRPr="00174158" w:rsidRDefault="005E5EA7" w:rsidP="002249E8">
      <w:pPr>
        <w:pStyle w:val="NormalHanging12a"/>
        <w:widowControl/>
        <w:rPr>
          <w:szCs w:val="24"/>
        </w:rPr>
      </w:pPr>
      <w:r w:rsidRPr="00174158">
        <w:t>4.</w:t>
      </w:r>
      <w:r w:rsidRPr="00174158">
        <w:tab/>
        <w:t>sajnálatosnak tartja, hogy a Tanács nem képes érdemi előrelépést tenni az EUSZ 7. cikkének (1) bekezdése szerinti, folyamatban lévő eljárásban, és megismétli arra irányuló felhívását, hogy rendszeres meghallgatások tartása, a jogállamiságot, a demokráciát és az alapvető jogokat érintő, régóta fennálló és új problémák gyors kezelése, valamint a végrehajtásra vonatkozó határidőket tartalmazó konkrét ajánlások kiadása révén javítsák a helyzetet; felszólítja a Tanácsot, hogy minden meghallgatást követően tegyen közzé átfogó jegyzőkönyvet és következtetéseket; ragaszkodik ahhoz, hogy az EUSZ 7. cikkével kapcsolatos valamennyi eljárás során a Parlament számára tegyék lehetővé, hogy indokolással ellátott javaslatát benyújtsa a Tanácsnak, részt vegyen az EUSZ 7. cikke szerinti meghallgatásokon, valamint hogy az eljárás minden szakaszában haladéktalanul teljes körű tájékoztatást kapjon; felhívja a Bizottságot és a tagállamokat, hogy kezdeményezzék az EUSZ 7. cikkének (2) bekezdése szerinti eljárást, az Európai Tanácsot pedig – amennyiben a belga elnökség vége előtt nem történik előrelépés – az EUSZ 7. cikkének (2) bekezdése alapján annak megállapítására, hogy Magyarország súlyosan és tartósan megsértette-e az uniós értékeket; hangsúlyozza, hogy a Tanács osztozik az EUSZ 2. cikkében foglalt értékek védelmével kapcsolatos felelősségben, és ezen értékek védelmének elmulasztása hosszú távú és potenciálisan káros következményekkel járna;</w:t>
      </w:r>
    </w:p>
    <w:p w:rsidR="005E5EA7" w:rsidRPr="00174158" w:rsidRDefault="005E5EA7" w:rsidP="002249E8">
      <w:pPr>
        <w:pStyle w:val="NormalHanging12a"/>
        <w:widowControl/>
        <w:rPr>
          <w:szCs w:val="24"/>
        </w:rPr>
      </w:pPr>
      <w:r w:rsidRPr="00174158">
        <w:t>5.</w:t>
      </w:r>
      <w:r w:rsidRPr="00174158">
        <w:tab/>
        <w:t>hangsúlyozza, hogy a Tanács elnöksége fontos szerepet játszik a Tanács uniós jogszabályokkal kapcsolatos munkájának előmozdításában, az uniós menetrend folytonosságának biztosításában és a Tanácsnak a többi uniós intézménnyel fenntartott kapcsolatokban történő képviseletében; ismét hangsúl</w:t>
      </w:r>
      <w:r w:rsidR="0013766E">
        <w:t>y</w:t>
      </w:r>
      <w:r w:rsidRPr="00174158">
        <w:t xml:space="preserve">ozza aggályait azzal kapcsolatban, hogy a magyar kormány képes lesz-e 2024-ben hitelesen teljesíteni ezt a feladatot, tekintettel arra, hogy nem felel meg az uniós jognak és az EUSZ 2. cikkében foglalt értékeknek, valamint a lojális együttműködés elvének; sajnálatosnak tartja, hogy </w:t>
      </w:r>
      <w:r w:rsidRPr="00174158">
        <w:lastRenderedPageBreak/>
        <w:t>a Tanács még nem talált megoldást erre a problémára, és hogy a magyar kormány képviselői vezetnék a Tanács demokráciával, jogállamisággal és alapvető jogokkal foglalkozó üléseit, beleértve az EU pénzügyi érdekeinek és költségvetésének védelmével foglalkozó üléseket is; hangsúlyozza, hogy ez a kihívás abban a rendkívül fontos időszakban jelentkezik, amikor sor kerül az európai választásokra és a Bizottság megalakulására; sajnálatát fejezi ki amiatt, hogy nem sikerült megoldást találni, és megismétli, hogy kész intézkedéseket hozni annak érdekében, hogy az EUSZ 2. cikkében foglalt értékek szempontjából megvédje az Unió hitelességét a Tanáccsal való együttműködés tekintetében;</w:t>
      </w:r>
    </w:p>
    <w:p w:rsidR="005E5EA7" w:rsidRPr="00174158" w:rsidRDefault="005E5EA7" w:rsidP="002249E8">
      <w:pPr>
        <w:pStyle w:val="NormalHanging12a"/>
        <w:widowControl/>
        <w:rPr>
          <w:szCs w:val="24"/>
        </w:rPr>
      </w:pPr>
      <w:r w:rsidRPr="00174158">
        <w:t>6.</w:t>
      </w:r>
      <w:r w:rsidRPr="00174158">
        <w:tab/>
        <w:t>felhívja a Tanácsot és a Bizottságot, hogy szenteljenek nagyobb figyelmet a jogállamiság rendszerszintű felszámolása elleni fellépésnek, valamint az értékek különböző módokon való megsértése közötti kölcsönhatásoknak, amelyeket állásfoglalásaiban korábban már azonosított; hangsúlyozza, hogy az EU-nak ugyanolyan eltökéltséggel kellene védenie az EUSZ 2. cikkében foglalt valamennyi értéket, és ennek elmulasztása veszélyezteti a demokratikus intézményeket, és végső soron érinti minden egyén emberi jogait és életét azokban az országokban, ahol ezeket az értékeket megsértik;</w:t>
      </w:r>
    </w:p>
    <w:p w:rsidR="005E5EA7" w:rsidRPr="00174158" w:rsidRDefault="005E5EA7" w:rsidP="002249E8">
      <w:pPr>
        <w:pStyle w:val="NormalHanging12a"/>
        <w:widowControl/>
        <w:rPr>
          <w:szCs w:val="24"/>
        </w:rPr>
      </w:pPr>
      <w:r w:rsidRPr="00174158">
        <w:t>7.</w:t>
      </w:r>
      <w:r w:rsidRPr="00174158">
        <w:tab/>
        <w:t>ismételten felszólítja a Bizottságot, hogy az Unió alapját képező értékek Magyarország általi súlyos megsértése egyértelmű kockázatának kezelése érdekében teljes mértékben használja ki a rendelkezésére álló eszközöket, különösen a gyorsított kötelezettségszegési eljárásokat és az EUB-hez benyújtott, ideiglenes intézkedések iránti kérelmeket, valamint az EUB ítéletei végrehajtásának elmulasztása miatt indított eljárásokat; emlékeztet a jogállamiságra vonatkozó feltételrendszerről szóló rendelet fontosságára, és üdvözli a Bizottság 2023. december 13-i határozatát, amely megerősíti, hogy az uniós költségvetést érintő kockázat 2022 decembere óta változatlan maradt, ami a rendelet alapján elfogadott intézkedések meghosszabbítását eredményezte; felszólítja a Bizottságot, hogy a rendelet alapján haladéktalanul tegyen lépéseket a jogállamiság megsértésének egyéb eseteivel kapcsolatban;</w:t>
      </w:r>
    </w:p>
    <w:p w:rsidR="00F24E58" w:rsidRDefault="005E5EA7" w:rsidP="002249E8">
      <w:pPr>
        <w:pStyle w:val="NormalHanging12a"/>
        <w:widowControl/>
      </w:pPr>
      <w:r w:rsidRPr="00174158">
        <w:t>8.</w:t>
      </w:r>
      <w:r w:rsidRPr="00174158">
        <w:tab/>
      </w:r>
      <w:r w:rsidR="00DD4225" w:rsidRPr="00DD4225">
        <w:t>ezzel összefüggésben ismételten komoly aggodalmának ad hangot a Bizottság azon határozatával kapcsolatban, amely szerint a Chartára vonatkozó horizontális feljogosító feltétel teljesült az igazságszolgáltatás függetlenségével kapcsolatban, és amely ezáltal lehetővé tette a magyar hatóságok számára, hogy 10,2 milliárd EUR erejéig visszatérítési kérelmeket nyújtsanak be anélkül, hogy megfelelő ellenőrzési mechanizmusok vagy közbeszerzési eljárások működnének a hatékony és eredményes pénzgazdálkodás és az uniós költségvetés védelmének biztosítása érdekében; emlékeztet arra, hogy a Parlament az EUMSZ 263. cikkével összhangban 2024. március 25-én keresetet nyújtott be az EUB-hez, amelyben a C(2023)</w:t>
      </w:r>
      <w:r w:rsidR="00425D83">
        <w:t xml:space="preserve"> </w:t>
      </w:r>
      <w:bookmarkStart w:id="7" w:name="_GoBack"/>
      <w:bookmarkEnd w:id="7"/>
      <w:r w:rsidR="00DD4225" w:rsidRPr="00DD4225">
        <w:t xml:space="preserve">9014 határozat jogszerűségének vizsgálatát kérte; várja az ügy gyors megoldását; ismételten felhívja a Bizottságot, hogy </w:t>
      </w:r>
      <w:r w:rsidR="00DD4225" w:rsidRPr="008F3FB8">
        <w:t>vonja vissza</w:t>
      </w:r>
      <w:r w:rsidR="00DD4225" w:rsidRPr="00DD4225">
        <w:t xml:space="preserve"> határozatát, különösen az elfogadása óta hozott nemzeti intézkedések, valamint a korábbi magyar igazságügyi miniszter kiszivárogtatott kijelentéseinek fényében, amelyek az ügyészség függetlenségének hiányára és a büntetőeljárásokba való politikai beavatkozásra utaltak; felhívja a Bizottságot, hogy </w:t>
      </w:r>
      <w:r w:rsidR="00DD4225" w:rsidRPr="008F3FB8">
        <w:t>fagyassza be a forrásokat mindaddig, amíg az összes vonatkozó jogszabály</w:t>
      </w:r>
      <w:r w:rsidR="00DD4225" w:rsidRPr="00DD4225">
        <w:t xml:space="preserve">t maradéktalanul végre nem hajtották, az elfogadott intézkedések hatékonysága a gyakorlatban be nem bizonyosodott, és Magyarország az EUB és az EJEB valamennyi vonatkozó ítéletét végre nem hajtotta; kéri a Bizottságot, hogy alaposan ellenőrizze az uniós finanszírozás keretében nyújtott előfinanszírozást annak biztosítása érdekében, hogy a forrásokat a vonatkozó jogszabályok célkitűzéseivel összhangban hajtsák végre; </w:t>
      </w:r>
      <w:r w:rsidR="00DD4225" w:rsidRPr="00DD4225">
        <w:lastRenderedPageBreak/>
        <w:t>ismételten felszólítja Magyarországot, hogy sürgősen csatlakozzon az Európai Ügyészséghez;</w:t>
      </w:r>
      <w:r w:rsidR="00DD4225">
        <w:t xml:space="preserve"> </w:t>
      </w:r>
      <w:r w:rsidR="00DD4225" w:rsidRPr="008F3FB8">
        <w:t>felhívja a Bizottságot, hogy szorgalmazza Magyarország részvételét az Európai Ügyészségben;</w:t>
      </w:r>
    </w:p>
    <w:p w:rsidR="005E5EA7" w:rsidRPr="00174158" w:rsidRDefault="005E5EA7" w:rsidP="002249E8">
      <w:pPr>
        <w:pStyle w:val="NormalHanging12a"/>
        <w:widowControl/>
        <w:rPr>
          <w:szCs w:val="24"/>
        </w:rPr>
      </w:pPr>
      <w:r w:rsidRPr="00174158">
        <w:t>9.</w:t>
      </w:r>
      <w:r w:rsidRPr="00174158">
        <w:tab/>
        <w:t>ismételten hangsúlyozza, hogy a közös rendelkezésekről szóló rendelet</w:t>
      </w:r>
      <w:r w:rsidRPr="00174158">
        <w:rPr>
          <w:rStyle w:val="FootnoteReference"/>
          <w:szCs w:val="24"/>
        </w:rPr>
        <w:footnoteReference w:id="12"/>
      </w:r>
      <w:r w:rsidRPr="00174158">
        <w:t>, a Helyreállítási és Rezilienciaépítési Eszközről szóló rendelet</w:t>
      </w:r>
      <w:r w:rsidRPr="00174158">
        <w:rPr>
          <w:rStyle w:val="FootnoteReference"/>
          <w:szCs w:val="24"/>
        </w:rPr>
        <w:footnoteReference w:id="13"/>
      </w:r>
      <w:r w:rsidRPr="00174158">
        <w:t xml:space="preserve"> és a jogállamiságra vonatkozó feltételrendszerről szóló rendelet alapján hozott vonatkozó határozatokban meghatározott uniós finanszírozás felszabadításához szükséges intézkedéseket koherens módon, egységes csomagként kell értékelni, és nem szabad kifizetéseket teljesíteni még akkor sem, ha egy vagy több területen előrelépés történt, de más területen továbbra is hiányosságok állnak fenn; hangsúlyozza, hogy érthetetlen a közös rendelkezésekről szóló rendelet szerinti források felszabadítása az igazságszolgáltatás függetlenségének terén tapasztalható javulásra hivatkozva, míg a Helyreállítási és Rezilienciaépítési Eszköz és a feltételességi mechanizmus keretében rendelkezésre álló forrásokat továbbra is visszatartják az igazságszolgáltatás függetlenségének terén folyamatosan fennálló hiányosságok miatt;</w:t>
      </w:r>
    </w:p>
    <w:p w:rsidR="005E5EA7" w:rsidRPr="00174158" w:rsidRDefault="005E5EA7" w:rsidP="002249E8">
      <w:pPr>
        <w:pStyle w:val="NormalHanging12a"/>
        <w:widowControl/>
        <w:rPr>
          <w:szCs w:val="24"/>
        </w:rPr>
      </w:pPr>
      <w:r w:rsidRPr="00174158">
        <w:t>10.</w:t>
      </w:r>
      <w:r w:rsidRPr="00174158">
        <w:tab/>
        <w:t>tudomásul veszi az Integritás Hatóság létrehozását, amely a jogállamiságra vonatkozó feltételrendszerről szóló rendelet keretében végrehajtandó korrekciós intézkedések egyike; úgy véli, hogy az intézmény puszta létrehozása nem tekinthető elegendőnek a jelenlegi aggályok kezelésére szolgáló intézkedésként, és meggyőződése, hogy a vonatkozó korrekciós intézkedések teljesítését az intézmény gyakorlatban mutatott működése alapján kell értékelni; meggyőződése, hogy ha megfelelő előjogokkal és végrehajtási hatáskörökkel ruházzák fel, az Integritás Hatóság képes kezelni a jogállamiság magyarországi helyzetével kapcsolatos egyes – különösen a korrupció elleni küzdelemmel kapcsolatos – aggályokat; aggodalmát fejezi ki azonban amiatt, hogy e hatóság a gyakorlatban nem rendelkezik hatáskörrel és előjogokkal ahhoz, hogy feladatait megfelelően ellássa, amint az működésének első évében bebizonyosodott; ragaszkodik ahhoz, hogy e hatóság további hatásköröket kapjon, és hogy ezek a hatáskörök végrehajthatók legyenek, különösen azáltal, hogy megfelelő hozzáférést biztosítanak számára a releváns adatbázisokhoz, megerősítik vizsgálati hatásköreit, és kötelezővé teszik ajánlásainak elfogadását;</w:t>
      </w:r>
    </w:p>
    <w:p w:rsidR="005E5EA7" w:rsidRPr="00174158" w:rsidRDefault="005E5EA7" w:rsidP="002249E8">
      <w:pPr>
        <w:pStyle w:val="NormalHanging12a"/>
        <w:widowControl/>
        <w:rPr>
          <w:szCs w:val="24"/>
        </w:rPr>
      </w:pPr>
      <w:r w:rsidRPr="00174158">
        <w:t>11.</w:t>
      </w:r>
      <w:r w:rsidRPr="00174158">
        <w:tab/>
        <w:t xml:space="preserve">hangsúlyozza, hogy az uniós jognak, többek között az egységes piac szabályainak való megfelelés a jogállamiság elvének alapvető pillére; felhívja a Bizottságot, hogy a jogállamiság egyes tagállamokbeli helyzetének értékelésébe foglalja bele az egységes piac adott tagállambeli helyzetének értékelését is; aggodalmát fejezi ki a hatalommal való visszaélés és a rendszerszintű megkülönböztető gyakorlatok miatt, amelyeket a magyar hatóságok azokkal a vállalatokkal szemben alkalmaznak, amelyek a magyar kormány és az oligarchák számára stratégiai jelentőségűnek nyilvánított ágazatokban működnek; hangsúlyozza, hogy ez diszkriminatív és félelemmel áthatott környezet </w:t>
      </w:r>
      <w:r w:rsidRPr="00174158">
        <w:lastRenderedPageBreak/>
        <w:t>kialakulásához vezetett, ami nem egyeztethető össze az egységes piac pilléreivel, egyes vállalatokat és jogos üzleti érdekeiket súlyosan veszélyezteti, és de facto kiszorítja őket a magyar piacról; felhívja a Bizottságot, hogy a jogállamiság magyarországi helyzetének értékelésekor helyezzen különös hangsúlyt az egységes piac szabályainak betartására; felhívja a Bizottságot annak megvizsgálására, hogy a magyar kormány által stratégiai jelentőségűnek nyilvánított ágazatokra vonatkozó jogszabályok összhangban vannak-e a hatályos európai joggal; hangsúlyozza, hogy a Bizottságnak kötelessége gyorsan megvizsgálni a magyar hatóságok által rendszeresen célba vett vállalatok által benyújtott panaszokat, és a releváns ügyeket az EUB elé terjeszteni;</w:t>
      </w:r>
    </w:p>
    <w:p w:rsidR="005E5EA7" w:rsidRPr="00174158" w:rsidRDefault="005E5EA7" w:rsidP="002249E8">
      <w:pPr>
        <w:pStyle w:val="NormalHanging12a"/>
        <w:widowControl/>
        <w:rPr>
          <w:szCs w:val="24"/>
        </w:rPr>
      </w:pPr>
      <w:r w:rsidRPr="00174158">
        <w:t>12.</w:t>
      </w:r>
      <w:r w:rsidRPr="00174158">
        <w:tab/>
        <w:t>sajnálatosnak tartja, hogy Magyarország visszaélt vétójogával a Tanácsban, és az EU stratégiai érdekeit aláásva megakadályozta a létfontosságú támogatás nyújtását Ukrajnának; elítéli a magyar kormány Oroszországgal kapcsolatos általános politikáját;</w:t>
      </w:r>
    </w:p>
    <w:p w:rsidR="005E5EA7" w:rsidRPr="00174158" w:rsidRDefault="005E5EA7" w:rsidP="002249E8">
      <w:pPr>
        <w:pStyle w:val="NormalHanging12a"/>
        <w:widowControl/>
        <w:rPr>
          <w:szCs w:val="24"/>
        </w:rPr>
      </w:pPr>
      <w:r w:rsidRPr="00174158">
        <w:t>13.</w:t>
      </w:r>
      <w:r w:rsidRPr="00174158">
        <w:tab/>
        <w:t>ismételten felszólítja a Bizottságot annak biztosítására, hogy az uniós források végső címzettjeit vagy kedvezményezettjeit ne fosszák meg e forrásoktól, amint azt a jogállamiságra vonatkozó feltételrendszerről szóló rendelet előírja; felhívja a Bizottságot, hogy találjon módot az uniós források helyi és regionális önkormányzatokon és a civil társadalmi szervezeteken keresztül történő elosztására, amennyiben az érintett kormány nem működik együtt a jogállamiság érvényesülésének hiányosságaival kapcsolatban;</w:t>
      </w:r>
    </w:p>
    <w:p w:rsidR="005E5EA7" w:rsidRPr="00174158" w:rsidRDefault="005E5EA7" w:rsidP="002249E8">
      <w:pPr>
        <w:pStyle w:val="NormalHanging12a"/>
        <w:widowControl/>
        <w:rPr>
          <w:szCs w:val="24"/>
        </w:rPr>
      </w:pPr>
      <w:r w:rsidRPr="00174158">
        <w:t>14.</w:t>
      </w:r>
      <w:r w:rsidRPr="00174158">
        <w:tab/>
        <w:t>hangsúlyozza, hogy a magyar hatóságoknak biztosítaniuk kell az átláthatóságot és az esélyegyenlőséget a magánszemélyek, a vállalatok, a civil társadalom, a nem kormányzati szervezetek, valamint a helyi és regionális önkormányzatok számára az uniós finanszírozáshoz való hozzáférés terén, továbbá független bírósági felügyeletet, valamint pártatlan és hatékony panaszmechanizmusokat kell biztosítaniuk; elítéli a tudományos körökkel, az újságírókkal, a politikai pártokkal és a civil társadalommal, valamint bizonyos ágazatokban működő vállalatokkal szemben a beszámolók szerint rendszerszintűen alkalmazott megkülönböztető gyakorlatokat;</w:t>
      </w:r>
    </w:p>
    <w:p w:rsidR="005E5EA7" w:rsidRPr="00174158" w:rsidRDefault="005E5EA7" w:rsidP="002249E8">
      <w:pPr>
        <w:pStyle w:val="NormalHanging12a"/>
        <w:widowControl/>
        <w:rPr>
          <w:szCs w:val="24"/>
        </w:rPr>
      </w:pPr>
      <w:r w:rsidRPr="00174158">
        <w:t>15.</w:t>
      </w:r>
      <w:r w:rsidRPr="00174158">
        <w:tab/>
        <w:t>felhívja a Bizottságot, hogy – különösen a Polgárok, egyenlőség, jogok és értékek program segítségével – támogassa a magyarországi független civil társadalmat, amely védi az EUSZ 2. cikkében foglalt értékeket; ismételten felhívja a Bizottságot, hogy az Unión belüli civil társadalmi tér védelme és fejlesztése érdekében fogadjon el olyan átfogó civil társadalmi stratégiát, amely magában foglalja az összes meglévő eszközt, és konkrét intézkedéseket vázol fel a civil társadalmi tér védelmére és megerősítésére;</w:t>
      </w:r>
    </w:p>
    <w:p w:rsidR="005E5EA7" w:rsidRPr="00174158" w:rsidRDefault="005E5EA7" w:rsidP="002249E8">
      <w:pPr>
        <w:pStyle w:val="NormalHanging12a"/>
        <w:widowControl/>
        <w:rPr>
          <w:szCs w:val="24"/>
        </w:rPr>
      </w:pPr>
      <w:r w:rsidRPr="00174158">
        <w:t>16.</w:t>
      </w:r>
      <w:r w:rsidRPr="00174158">
        <w:tab/>
        <w:t>ismételten felhívja a Bizottságot és a Tanácsot, hogy haladéktalanul kezdjenek tárgyalásokat a Parlamenttel egy intézményközi megállapodás formájában létrehozandó, a demokráciára, a jogállamiságra és az alapvető jogokra vonatkozó uniós mechanizmusról, beleértve egy uniós intézmények közötti állandó szakpolitikai ciklust is;</w:t>
      </w:r>
    </w:p>
    <w:p w:rsidR="005E5EA7" w:rsidRPr="00174158" w:rsidRDefault="005E5EA7" w:rsidP="002249E8">
      <w:pPr>
        <w:pStyle w:val="NormalHanging12a"/>
        <w:widowControl/>
        <w:rPr>
          <w:szCs w:val="24"/>
        </w:rPr>
      </w:pPr>
      <w:r w:rsidRPr="00174158">
        <w:t>17.</w:t>
      </w:r>
      <w:r w:rsidRPr="00174158">
        <w:tab/>
        <w:t>utasítja elnökét, hogy továbbítsa ezt az állásfoglalást a Tanácsnak, a Bizottságnak, a tagállamok kormányainak és parlamentjeinek, az Európa Tanácsnak, az Európai Biztonsági és Együttműködési Szervezetnek és az Egyesült Nemzetek Szervezetének.</w:t>
      </w:r>
    </w:p>
    <w:p w:rsidR="00E365E1" w:rsidRPr="00174158" w:rsidRDefault="00E365E1" w:rsidP="002249E8">
      <w:pPr>
        <w:widowControl/>
        <w:spacing w:after="240"/>
        <w:ind w:left="567" w:hanging="567"/>
      </w:pPr>
      <w:bookmarkStart w:id="8" w:name="TextBodyEnd"/>
      <w:bookmarkEnd w:id="8"/>
    </w:p>
    <w:sectPr w:rsidR="00E365E1" w:rsidRPr="00174158" w:rsidSect="0017415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A65" w:rsidRPr="00174158" w:rsidRDefault="00732A65">
      <w:r w:rsidRPr="00174158">
        <w:separator/>
      </w:r>
    </w:p>
  </w:endnote>
  <w:endnote w:type="continuationSeparator" w:id="0">
    <w:p w:rsidR="00732A65" w:rsidRPr="00174158" w:rsidRDefault="00732A65">
      <w:r w:rsidRPr="001741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1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1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1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A65" w:rsidRPr="00174158" w:rsidRDefault="00732A65">
      <w:r w:rsidRPr="00174158">
        <w:separator/>
      </w:r>
    </w:p>
  </w:footnote>
  <w:footnote w:type="continuationSeparator" w:id="0">
    <w:p w:rsidR="00732A65" w:rsidRPr="00174158" w:rsidRDefault="00732A65">
      <w:r w:rsidRPr="00174158">
        <w:continuationSeparator/>
      </w:r>
    </w:p>
  </w:footnote>
  <w:footnote w:id="1">
    <w:p w:rsidR="005E5EA7" w:rsidRPr="002249E8" w:rsidRDefault="005E5EA7" w:rsidP="00174158">
      <w:pPr>
        <w:pStyle w:val="FootnoteText"/>
        <w:ind w:left="567" w:hanging="567"/>
        <w:rPr>
          <w:sz w:val="24"/>
          <w:lang w:val="hu-HU"/>
        </w:rPr>
      </w:pPr>
      <w:r w:rsidRPr="00174158">
        <w:rPr>
          <w:rStyle w:val="FootnoteReference"/>
          <w:sz w:val="24"/>
          <w:lang w:val="hu-HU"/>
        </w:rPr>
        <w:footnoteRef/>
      </w:r>
      <w:r w:rsidR="00174158" w:rsidRPr="00174158">
        <w:rPr>
          <w:rStyle w:val="Emphasis"/>
          <w:sz w:val="24"/>
          <w:shd w:val="clear" w:color="auto" w:fill="FFFFFF"/>
          <w:lang w:val="hu-HU"/>
        </w:rPr>
        <w:t xml:space="preserve"> </w:t>
      </w:r>
      <w:r w:rsidR="00174158" w:rsidRPr="00174158">
        <w:rPr>
          <w:rStyle w:val="Emphasis"/>
          <w:sz w:val="24"/>
          <w:shd w:val="clear" w:color="auto" w:fill="FFFFFF"/>
          <w:lang w:val="hu-HU"/>
        </w:rPr>
        <w:tab/>
      </w:r>
      <w:r w:rsidRPr="002249E8">
        <w:rPr>
          <w:rStyle w:val="Emphasis"/>
          <w:i w:val="0"/>
          <w:sz w:val="24"/>
          <w:shd w:val="clear" w:color="auto" w:fill="FFFFFF"/>
          <w:lang w:val="hu-HU"/>
        </w:rPr>
        <w:t>HL C 433., 2019.12.23., 66. o.</w:t>
      </w:r>
    </w:p>
  </w:footnote>
  <w:footnote w:id="2">
    <w:p w:rsidR="002249E8" w:rsidRPr="002249E8" w:rsidRDefault="002249E8" w:rsidP="002249E8">
      <w:pPr>
        <w:pStyle w:val="FootnoteText"/>
        <w:ind w:left="567" w:hanging="567"/>
        <w:rPr>
          <w:sz w:val="24"/>
          <w:lang w:val="hu-HU"/>
        </w:rPr>
      </w:pPr>
      <w:r w:rsidRPr="002249E8">
        <w:rPr>
          <w:rStyle w:val="FootnoteReference"/>
          <w:sz w:val="24"/>
          <w:lang w:val="hu-HU"/>
        </w:rPr>
        <w:footnoteRef/>
      </w:r>
      <w:r w:rsidRPr="002249E8">
        <w:rPr>
          <w:rStyle w:val="Emphasis"/>
          <w:i w:val="0"/>
          <w:sz w:val="24"/>
          <w:shd w:val="clear" w:color="auto" w:fill="FFFFFF"/>
          <w:lang w:val="hu-HU"/>
        </w:rPr>
        <w:t xml:space="preserve"> </w:t>
      </w:r>
      <w:r w:rsidRPr="002249E8">
        <w:rPr>
          <w:rStyle w:val="Emphasis"/>
          <w:i w:val="0"/>
          <w:sz w:val="24"/>
          <w:shd w:val="clear" w:color="auto" w:fill="FFFFFF"/>
          <w:lang w:val="hu-HU"/>
        </w:rPr>
        <w:tab/>
        <w:t>HL L 433. I, 2020.12.22., 1. o.</w:t>
      </w:r>
    </w:p>
  </w:footnote>
  <w:footnote w:id="3">
    <w:p w:rsidR="005E5EA7" w:rsidRPr="002249E8" w:rsidRDefault="005E5EA7" w:rsidP="00174158">
      <w:pPr>
        <w:pStyle w:val="FootnoteText"/>
        <w:ind w:left="567" w:hanging="567"/>
        <w:rPr>
          <w:sz w:val="24"/>
          <w:lang w:val="hu-HU"/>
        </w:rPr>
      </w:pPr>
      <w:r w:rsidRPr="00174158">
        <w:rPr>
          <w:rStyle w:val="FootnoteReference"/>
          <w:sz w:val="24"/>
          <w:lang w:val="hu-HU"/>
        </w:rPr>
        <w:footnoteRef/>
      </w:r>
      <w:r w:rsidR="00174158" w:rsidRPr="00174158">
        <w:rPr>
          <w:rStyle w:val="Emphasis"/>
          <w:sz w:val="24"/>
          <w:shd w:val="clear" w:color="auto" w:fill="FFFFFF"/>
          <w:lang w:val="hu-HU"/>
        </w:rPr>
        <w:t xml:space="preserve"> </w:t>
      </w:r>
      <w:r w:rsidR="00174158" w:rsidRPr="00174158">
        <w:rPr>
          <w:rStyle w:val="Emphasis"/>
          <w:sz w:val="24"/>
          <w:shd w:val="clear" w:color="auto" w:fill="FFFFFF"/>
          <w:lang w:val="hu-HU"/>
        </w:rPr>
        <w:tab/>
      </w:r>
      <w:r w:rsidRPr="002249E8">
        <w:rPr>
          <w:rStyle w:val="Emphasis"/>
          <w:i w:val="0"/>
          <w:sz w:val="24"/>
          <w:shd w:val="clear" w:color="auto" w:fill="FFFFFF"/>
          <w:lang w:val="hu-HU"/>
        </w:rPr>
        <w:t>HL C 125., 2023.4.5., 463. o.</w:t>
      </w:r>
    </w:p>
  </w:footnote>
  <w:footnote w:id="4">
    <w:p w:rsidR="005E5EA7" w:rsidRPr="002249E8" w:rsidRDefault="005E5EA7" w:rsidP="00174158">
      <w:pPr>
        <w:pStyle w:val="FootnoteText"/>
        <w:ind w:left="567" w:hanging="567"/>
        <w:rPr>
          <w:sz w:val="24"/>
          <w:lang w:val="hu-HU"/>
        </w:rPr>
      </w:pPr>
      <w:r w:rsidRPr="002249E8">
        <w:rPr>
          <w:rStyle w:val="FootnoteReference"/>
          <w:sz w:val="24"/>
          <w:lang w:val="hu-HU"/>
        </w:rPr>
        <w:footnoteRef/>
      </w:r>
      <w:r w:rsidR="00174158" w:rsidRPr="002249E8">
        <w:rPr>
          <w:rStyle w:val="Emphasis"/>
          <w:i w:val="0"/>
          <w:sz w:val="24"/>
          <w:shd w:val="clear" w:color="auto" w:fill="FFFFFF"/>
          <w:lang w:val="hu-HU"/>
        </w:rPr>
        <w:t xml:space="preserve"> </w:t>
      </w:r>
      <w:r w:rsidR="00174158" w:rsidRPr="002249E8">
        <w:rPr>
          <w:rStyle w:val="Emphasis"/>
          <w:i w:val="0"/>
          <w:sz w:val="24"/>
          <w:shd w:val="clear" w:color="auto" w:fill="FFFFFF"/>
          <w:lang w:val="hu-HU"/>
        </w:rPr>
        <w:tab/>
      </w:r>
      <w:r w:rsidRPr="002249E8">
        <w:rPr>
          <w:rStyle w:val="Emphasis"/>
          <w:i w:val="0"/>
          <w:sz w:val="24"/>
          <w:shd w:val="clear" w:color="auto" w:fill="FFFFFF"/>
          <w:lang w:val="hu-HU"/>
        </w:rPr>
        <w:t>HL C 167., 2023.5.11., 74. o.</w:t>
      </w:r>
    </w:p>
  </w:footnote>
  <w:footnote w:id="5">
    <w:p w:rsidR="005E5EA7" w:rsidRPr="002249E8" w:rsidRDefault="005E5EA7" w:rsidP="00174158">
      <w:pPr>
        <w:pStyle w:val="FootnoteText"/>
        <w:ind w:left="567" w:hanging="567"/>
        <w:rPr>
          <w:sz w:val="24"/>
          <w:lang w:val="hu-HU"/>
        </w:rPr>
      </w:pPr>
      <w:r w:rsidRPr="002249E8">
        <w:rPr>
          <w:rStyle w:val="FootnoteReference"/>
          <w:sz w:val="24"/>
          <w:lang w:val="hu-HU"/>
        </w:rPr>
        <w:footnoteRef/>
      </w:r>
      <w:r w:rsidR="00174158" w:rsidRPr="002249E8">
        <w:rPr>
          <w:rStyle w:val="Emphasis"/>
          <w:i w:val="0"/>
          <w:sz w:val="24"/>
          <w:shd w:val="clear" w:color="auto" w:fill="FFFFFF"/>
          <w:lang w:val="hu-HU"/>
        </w:rPr>
        <w:t xml:space="preserve"> </w:t>
      </w:r>
      <w:r w:rsidR="00174158" w:rsidRPr="002249E8">
        <w:rPr>
          <w:rStyle w:val="Emphasis"/>
          <w:i w:val="0"/>
          <w:sz w:val="24"/>
          <w:shd w:val="clear" w:color="auto" w:fill="FFFFFF"/>
          <w:lang w:val="hu-HU"/>
        </w:rPr>
        <w:tab/>
      </w:r>
      <w:r w:rsidRPr="002249E8">
        <w:rPr>
          <w:rStyle w:val="Emphasis"/>
          <w:i w:val="0"/>
          <w:sz w:val="24"/>
          <w:shd w:val="clear" w:color="auto" w:fill="FFFFFF"/>
          <w:lang w:val="hu-HU"/>
        </w:rPr>
        <w:t xml:space="preserve">HL C, C/2023/1223., 2023.12.21., ELI: </w:t>
      </w:r>
      <w:hyperlink r:id="rId1" w:history="1">
        <w:r w:rsidRPr="002249E8">
          <w:rPr>
            <w:rStyle w:val="Hyperlink"/>
            <w:sz w:val="24"/>
            <w:shd w:val="clear" w:color="auto" w:fill="FFFFFF"/>
            <w:lang w:val="hu-HU"/>
          </w:rPr>
          <w:t>http://data.europa.eu/eli/C/2023/1223/oj</w:t>
        </w:r>
      </w:hyperlink>
      <w:r w:rsidRPr="002249E8">
        <w:rPr>
          <w:rStyle w:val="Emphasis"/>
          <w:i w:val="0"/>
          <w:sz w:val="24"/>
          <w:shd w:val="clear" w:color="auto" w:fill="FFFFFF"/>
          <w:lang w:val="hu-HU"/>
        </w:rPr>
        <w:t>.</w:t>
      </w:r>
    </w:p>
  </w:footnote>
  <w:footnote w:id="6">
    <w:p w:rsidR="005E5EA7" w:rsidRPr="002249E8" w:rsidRDefault="005E5EA7" w:rsidP="00174158">
      <w:pPr>
        <w:pStyle w:val="FootnoteText"/>
        <w:ind w:left="567" w:hanging="567"/>
        <w:rPr>
          <w:sz w:val="24"/>
          <w:lang w:val="hu-HU"/>
        </w:rPr>
      </w:pPr>
      <w:r w:rsidRPr="002249E8">
        <w:rPr>
          <w:rStyle w:val="FootnoteReference"/>
          <w:sz w:val="24"/>
          <w:lang w:val="hu-HU"/>
        </w:rPr>
        <w:footnoteRef/>
      </w:r>
      <w:r w:rsidR="00174158" w:rsidRPr="002249E8">
        <w:rPr>
          <w:sz w:val="24"/>
          <w:lang w:val="hu-HU"/>
        </w:rPr>
        <w:t xml:space="preserve"> </w:t>
      </w:r>
      <w:r w:rsidR="00174158" w:rsidRPr="002249E8">
        <w:rPr>
          <w:sz w:val="24"/>
          <w:lang w:val="hu-HU"/>
        </w:rPr>
        <w:tab/>
      </w:r>
      <w:r w:rsidRPr="002249E8">
        <w:rPr>
          <w:sz w:val="24"/>
          <w:lang w:val="hu-HU"/>
        </w:rPr>
        <w:t>Elfogadott szövegek, P9_TA(2024)0053.</w:t>
      </w:r>
    </w:p>
  </w:footnote>
  <w:footnote w:id="7">
    <w:p w:rsidR="005E5EA7" w:rsidRPr="00174158" w:rsidRDefault="005E5EA7" w:rsidP="00174158">
      <w:pPr>
        <w:pStyle w:val="FootnoteText"/>
        <w:ind w:left="567" w:hanging="567"/>
        <w:rPr>
          <w:sz w:val="24"/>
          <w:lang w:val="hu-HU"/>
        </w:rPr>
      </w:pPr>
      <w:r w:rsidRPr="00174158">
        <w:rPr>
          <w:rStyle w:val="FootnoteReference"/>
          <w:sz w:val="24"/>
          <w:lang w:val="hu-HU"/>
        </w:rPr>
        <w:footnoteRef/>
      </w:r>
      <w:r w:rsidR="00174158" w:rsidRPr="00174158">
        <w:rPr>
          <w:sz w:val="24"/>
          <w:lang w:val="hu-HU"/>
        </w:rPr>
        <w:t xml:space="preserve"> </w:t>
      </w:r>
      <w:r w:rsidR="00174158" w:rsidRPr="00174158">
        <w:rPr>
          <w:sz w:val="24"/>
          <w:lang w:val="hu-HU"/>
        </w:rPr>
        <w:tab/>
      </w:r>
      <w:r w:rsidRPr="00174158">
        <w:rPr>
          <w:sz w:val="24"/>
          <w:lang w:val="hu-HU"/>
        </w:rPr>
        <w:t>A Bíróság C-823/21. sz. Bizottság kontra Magyarország ügyben 2023. június 22-én hozott ítélete (ECLI:EU:C:2020:504).</w:t>
      </w:r>
    </w:p>
  </w:footnote>
  <w:footnote w:id="8">
    <w:p w:rsidR="005E5EA7" w:rsidRPr="00174158" w:rsidRDefault="005E5EA7" w:rsidP="00174158">
      <w:pPr>
        <w:pStyle w:val="FootnoteText"/>
        <w:ind w:left="567" w:hanging="567"/>
        <w:rPr>
          <w:sz w:val="24"/>
          <w:lang w:val="hu-HU"/>
        </w:rPr>
      </w:pPr>
      <w:r w:rsidRPr="00174158">
        <w:rPr>
          <w:rStyle w:val="FootnoteReference"/>
          <w:sz w:val="24"/>
          <w:lang w:val="hu-HU"/>
        </w:rPr>
        <w:footnoteRef/>
      </w:r>
      <w:r w:rsidR="00174158" w:rsidRPr="00174158">
        <w:rPr>
          <w:sz w:val="24"/>
          <w:lang w:val="hu-HU"/>
        </w:rPr>
        <w:t xml:space="preserve"> </w:t>
      </w:r>
      <w:r w:rsidR="00174158" w:rsidRPr="00174158">
        <w:rPr>
          <w:sz w:val="24"/>
          <w:lang w:val="hu-HU"/>
        </w:rPr>
        <w:tab/>
      </w:r>
      <w:r w:rsidRPr="00174158">
        <w:rPr>
          <w:sz w:val="24"/>
          <w:lang w:val="hu-HU"/>
        </w:rPr>
        <w:t>Az EJEB 2016. január 12-i ítélete, Szabó és Vissy kontra Magyarország, 37148/14, amely 2016. június 6-án emelkedett jogerőre.</w:t>
      </w:r>
    </w:p>
  </w:footnote>
  <w:footnote w:id="9">
    <w:p w:rsidR="005E5EA7" w:rsidRPr="00174158" w:rsidRDefault="005E5EA7" w:rsidP="00174158">
      <w:pPr>
        <w:pStyle w:val="FootnoteText"/>
        <w:ind w:left="567" w:hanging="567"/>
        <w:rPr>
          <w:sz w:val="24"/>
          <w:lang w:val="hu-HU"/>
        </w:rPr>
      </w:pPr>
      <w:r w:rsidRPr="00174158">
        <w:rPr>
          <w:rStyle w:val="FootnoteReference"/>
          <w:sz w:val="24"/>
          <w:lang w:val="hu-HU"/>
        </w:rPr>
        <w:footnoteRef/>
      </w:r>
      <w:r w:rsidR="00174158" w:rsidRPr="00174158">
        <w:rPr>
          <w:sz w:val="24"/>
          <w:lang w:val="hu-HU"/>
        </w:rPr>
        <w:t xml:space="preserve"> </w:t>
      </w:r>
      <w:r w:rsidR="00174158" w:rsidRPr="00174158">
        <w:rPr>
          <w:sz w:val="24"/>
          <w:lang w:val="hu-HU"/>
        </w:rPr>
        <w:tab/>
      </w:r>
      <w:r w:rsidRPr="00174158">
        <w:rPr>
          <w:sz w:val="24"/>
          <w:lang w:val="hu-HU"/>
        </w:rPr>
        <w:t>Az EJEB 2016. július 16-i ítélete, Gazsó kontra Magyarország, 48322/12, amely 2015. október 16-án emelkedett jogerőre.</w:t>
      </w:r>
    </w:p>
  </w:footnote>
  <w:footnote w:id="10">
    <w:p w:rsidR="005E5EA7" w:rsidRPr="00174158" w:rsidRDefault="005E5EA7" w:rsidP="00174158">
      <w:pPr>
        <w:pStyle w:val="FootnoteText"/>
        <w:ind w:left="567" w:hanging="567"/>
        <w:rPr>
          <w:sz w:val="24"/>
          <w:lang w:val="hu-HU"/>
        </w:rPr>
      </w:pPr>
      <w:r w:rsidRPr="00174158">
        <w:rPr>
          <w:rStyle w:val="FootnoteReference"/>
          <w:sz w:val="24"/>
          <w:lang w:val="hu-HU"/>
        </w:rPr>
        <w:footnoteRef/>
      </w:r>
      <w:r w:rsidR="00174158" w:rsidRPr="00174158">
        <w:rPr>
          <w:sz w:val="24"/>
          <w:lang w:val="hu-HU"/>
        </w:rPr>
        <w:t xml:space="preserve"> </w:t>
      </w:r>
      <w:r w:rsidR="00174158" w:rsidRPr="00174158">
        <w:rPr>
          <w:sz w:val="24"/>
          <w:lang w:val="hu-HU"/>
        </w:rPr>
        <w:tab/>
      </w:r>
      <w:r w:rsidRPr="00174158">
        <w:rPr>
          <w:sz w:val="24"/>
          <w:lang w:val="hu-HU"/>
        </w:rPr>
        <w:t>Az EJEB 2017. március 14-i ítélete, Ilias és Ahmed kontra Magyarország, 47287/15.</w:t>
      </w:r>
    </w:p>
  </w:footnote>
  <w:footnote w:id="11">
    <w:p w:rsidR="005E5EA7" w:rsidRPr="00174158" w:rsidRDefault="005E5EA7" w:rsidP="00174158">
      <w:pPr>
        <w:pStyle w:val="FootnoteText"/>
        <w:ind w:left="567" w:hanging="567"/>
        <w:rPr>
          <w:sz w:val="24"/>
          <w:lang w:val="hu-HU"/>
        </w:rPr>
      </w:pPr>
      <w:r w:rsidRPr="00174158">
        <w:rPr>
          <w:rStyle w:val="FootnoteReference"/>
          <w:sz w:val="24"/>
          <w:lang w:val="hu-HU"/>
        </w:rPr>
        <w:footnoteRef/>
      </w:r>
      <w:r w:rsidR="00174158" w:rsidRPr="00174158">
        <w:rPr>
          <w:sz w:val="24"/>
          <w:lang w:val="hu-HU"/>
        </w:rPr>
        <w:t xml:space="preserve"> </w:t>
      </w:r>
      <w:r w:rsidR="00174158" w:rsidRPr="00174158">
        <w:rPr>
          <w:sz w:val="24"/>
          <w:lang w:val="hu-HU"/>
        </w:rPr>
        <w:tab/>
      </w:r>
      <w:r w:rsidRPr="00174158">
        <w:rPr>
          <w:sz w:val="24"/>
          <w:lang w:val="hu-HU"/>
        </w:rPr>
        <w:t>Az EJEB 2016. június 23-i ítélete, Baka kontra Magyarország, 20261/12.</w:t>
      </w:r>
    </w:p>
  </w:footnote>
  <w:footnote w:id="12">
    <w:p w:rsidR="005E5EA7" w:rsidRPr="00174158" w:rsidRDefault="005E5EA7" w:rsidP="00174158">
      <w:pPr>
        <w:pStyle w:val="FootnoteText"/>
        <w:ind w:left="567" w:hanging="567"/>
        <w:rPr>
          <w:sz w:val="24"/>
          <w:lang w:val="hu-HU"/>
        </w:rPr>
      </w:pPr>
      <w:r w:rsidRPr="00174158">
        <w:rPr>
          <w:rStyle w:val="FootnoteReference"/>
          <w:sz w:val="24"/>
          <w:lang w:val="hu-HU"/>
        </w:rPr>
        <w:footnoteRef/>
      </w:r>
      <w:r w:rsidR="00174158" w:rsidRPr="00174158">
        <w:rPr>
          <w:sz w:val="24"/>
          <w:shd w:val="clear" w:color="auto" w:fill="FFFFFF"/>
          <w:lang w:val="hu-HU"/>
        </w:rPr>
        <w:t xml:space="preserve"> </w:t>
      </w:r>
      <w:r w:rsidR="00174158" w:rsidRPr="00174158">
        <w:rPr>
          <w:sz w:val="24"/>
          <w:shd w:val="clear" w:color="auto" w:fill="FFFFFF"/>
          <w:lang w:val="hu-HU"/>
        </w:rPr>
        <w:tab/>
      </w:r>
      <w:r w:rsidRPr="00174158">
        <w:rPr>
          <w:sz w:val="24"/>
          <w:shd w:val="clear" w:color="auto" w:fill="FFFFFF"/>
          <w:lang w:val="hu-HU"/>
        </w:rPr>
        <w:t>Az Európai Parlament és a Tanács (EU) 2021/1060 rendelete (2021. június 24.)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(HL L 231., 2021.6.30., 159. o.).</w:t>
      </w:r>
    </w:p>
  </w:footnote>
  <w:footnote w:id="13">
    <w:p w:rsidR="005E5EA7" w:rsidRPr="00174158" w:rsidRDefault="005E5EA7" w:rsidP="002249E8">
      <w:pPr>
        <w:pStyle w:val="title-bold"/>
        <w:shd w:val="clear" w:color="auto" w:fill="FFFFFF"/>
        <w:spacing w:before="0" w:beforeAutospacing="0" w:after="75" w:afterAutospacing="0"/>
        <w:ind w:left="567" w:hanging="567"/>
      </w:pPr>
      <w:r w:rsidRPr="00174158">
        <w:rPr>
          <w:rStyle w:val="FootnoteReference"/>
          <w:szCs w:val="20"/>
        </w:rPr>
        <w:footnoteRef/>
      </w:r>
      <w:r w:rsidR="00174158" w:rsidRPr="00174158">
        <w:t xml:space="preserve"> </w:t>
      </w:r>
      <w:r w:rsidR="00174158" w:rsidRPr="00174158">
        <w:tab/>
      </w:r>
      <w:r w:rsidRPr="00174158">
        <w:t>Az Európai Parlament és a Tanács (EU) 2021/241 rendelete (2021. február 12.) a Helyreállítási és Rezilienciaépítési Eszköz létrehozásáról (HL L 57., 2021.2.18., 17.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1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1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1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HU"/>
    <w:docVar w:name="dvnumam" w:val="0"/>
    <w:docVar w:name="dvpe" w:val="760.687"/>
    <w:docVar w:name="dvtitre" w:val="Az Európai Parlament 2024.  ...-i állásfoglalása az EUSZ 7. cikkének (1) bekezdése alapján Magyarországgal kapcsolatban a jogállamiság megerősítése érdekében folyamatban lévő meghallgatásokról és azok költségvetési vonatkozásairól (2024/2683(RSP))"/>
  </w:docVars>
  <w:rsids>
    <w:rsidRoot w:val="00732A65"/>
    <w:rsid w:val="00002272"/>
    <w:rsid w:val="00064002"/>
    <w:rsid w:val="000677B9"/>
    <w:rsid w:val="000831BA"/>
    <w:rsid w:val="000A42CC"/>
    <w:rsid w:val="000E7DD9"/>
    <w:rsid w:val="0010095E"/>
    <w:rsid w:val="00125B37"/>
    <w:rsid w:val="0013766E"/>
    <w:rsid w:val="00174158"/>
    <w:rsid w:val="00187494"/>
    <w:rsid w:val="001F32AE"/>
    <w:rsid w:val="002249E8"/>
    <w:rsid w:val="002767FF"/>
    <w:rsid w:val="002B18FE"/>
    <w:rsid w:val="002B5493"/>
    <w:rsid w:val="00307A6F"/>
    <w:rsid w:val="00343214"/>
    <w:rsid w:val="00361C00"/>
    <w:rsid w:val="00395FA1"/>
    <w:rsid w:val="003E15D4"/>
    <w:rsid w:val="00411CCE"/>
    <w:rsid w:val="0041666E"/>
    <w:rsid w:val="00421060"/>
    <w:rsid w:val="00425D83"/>
    <w:rsid w:val="00471C19"/>
    <w:rsid w:val="00477677"/>
    <w:rsid w:val="004867E3"/>
    <w:rsid w:val="00494A28"/>
    <w:rsid w:val="004C0004"/>
    <w:rsid w:val="004C5D52"/>
    <w:rsid w:val="0050519A"/>
    <w:rsid w:val="005072A1"/>
    <w:rsid w:val="00514517"/>
    <w:rsid w:val="00545827"/>
    <w:rsid w:val="00560270"/>
    <w:rsid w:val="00576CB8"/>
    <w:rsid w:val="005C2568"/>
    <w:rsid w:val="005E5EA7"/>
    <w:rsid w:val="006037C0"/>
    <w:rsid w:val="006631B6"/>
    <w:rsid w:val="00680577"/>
    <w:rsid w:val="006F74FA"/>
    <w:rsid w:val="00731ADD"/>
    <w:rsid w:val="00732A65"/>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1A9"/>
    <w:rsid w:val="008F3FB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225"/>
    <w:rsid w:val="00E365E1"/>
    <w:rsid w:val="00E820A4"/>
    <w:rsid w:val="00EB006A"/>
    <w:rsid w:val="00EB15BD"/>
    <w:rsid w:val="00EB4772"/>
    <w:rsid w:val="00ED169E"/>
    <w:rsid w:val="00ED4235"/>
    <w:rsid w:val="00F04346"/>
    <w:rsid w:val="00F075DC"/>
    <w:rsid w:val="00F149E9"/>
    <w:rsid w:val="00F24E5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69607"/>
  <w15:chartTrackingRefBased/>
  <w15:docId w15:val="{F2BFEFA1-2525-43E3-B51D-7767B498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E5EA7"/>
    <w:pPr>
      <w:spacing w:after="240"/>
      <w:ind w:left="567" w:hanging="567"/>
    </w:pPr>
  </w:style>
  <w:style w:type="character" w:styleId="Emphasis">
    <w:name w:val="Emphasis"/>
    <w:basedOn w:val="DefaultParagraphFont"/>
    <w:uiPriority w:val="20"/>
    <w:qFormat/>
    <w:rsid w:val="005E5EA7"/>
    <w:rPr>
      <w:i/>
      <w:iCs/>
    </w:rPr>
  </w:style>
  <w:style w:type="character" w:styleId="Hyperlink">
    <w:name w:val="Hyperlink"/>
    <w:basedOn w:val="DefaultParagraphFont"/>
    <w:uiPriority w:val="99"/>
    <w:unhideWhenUsed/>
    <w:rsid w:val="005E5EA7"/>
    <w:rPr>
      <w:color w:val="0000FF"/>
      <w:u w:val="single"/>
    </w:rPr>
  </w:style>
  <w:style w:type="character" w:customStyle="1" w:styleId="textcolumn">
    <w:name w:val="textcolumn"/>
    <w:basedOn w:val="DefaultParagraphFont"/>
    <w:rsid w:val="005E5EA7"/>
  </w:style>
  <w:style w:type="paragraph" w:customStyle="1" w:styleId="title-bold">
    <w:name w:val="title-bold"/>
    <w:basedOn w:val="Normal"/>
    <w:rsid w:val="005E5EA7"/>
    <w:pPr>
      <w:widowControl/>
      <w:spacing w:before="100" w:beforeAutospacing="1" w:after="100" w:afterAutospacing="1"/>
    </w:pPr>
    <w:rPr>
      <w:szCs w:val="24"/>
    </w:rPr>
  </w:style>
  <w:style w:type="paragraph" w:styleId="BalloonText">
    <w:name w:val="Balloon Text"/>
    <w:basedOn w:val="Normal"/>
    <w:link w:val="BalloonTextChar"/>
    <w:rsid w:val="002249E8"/>
    <w:rPr>
      <w:rFonts w:ascii="Segoe UI" w:hAnsi="Segoe UI" w:cs="Segoe UI"/>
      <w:sz w:val="18"/>
      <w:szCs w:val="18"/>
    </w:rPr>
  </w:style>
  <w:style w:type="character" w:customStyle="1" w:styleId="BalloonTextChar">
    <w:name w:val="Balloon Text Char"/>
    <w:basedOn w:val="DefaultParagraphFont"/>
    <w:link w:val="BalloonText"/>
    <w:rsid w:val="002249E8"/>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327AB-329E-489A-A6AD-F1214C92C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5421</Words>
  <Characters>28900</Characters>
  <Application>Microsoft Office Word</Application>
  <DocSecurity>0</DocSecurity>
  <Lines>741</Lines>
  <Paragraphs>264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2024-06-12T14:27:00Z</dcterms:created>
  <dcterms:modified xsi:type="dcterms:W3CDTF">2024-06-12T14:27:00Z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B9-0223/2024</vt:lpwstr>
  </property>
  <property fmtid="{D5CDD505-2E9C-101B-9397-08002B2CF9AE}" pid="4" name="&lt;Type&gt;">
    <vt:lpwstr>RR</vt:lpwstr>
  </property>
</Properties>
</file>