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1058" w:rsidTr="0010095E">
        <w:trPr>
          <w:trHeight w:hRule="exact" w:val="1418"/>
        </w:trPr>
        <w:tc>
          <w:tcPr>
            <w:tcW w:w="6804" w:type="dxa"/>
            <w:shd w:val="clear" w:color="auto" w:fill="auto"/>
            <w:vAlign w:val="center"/>
          </w:tcPr>
          <w:p w:rsidR="00751A4A" w:rsidRPr="00EC1058" w:rsidRDefault="0008491D" w:rsidP="0010095E">
            <w:pPr>
              <w:pStyle w:val="EPName"/>
            </w:pPr>
            <w:r w:rsidRPr="00EC1058">
              <w:t>Europos Parlamentas</w:t>
            </w:r>
          </w:p>
          <w:p w:rsidR="00751A4A" w:rsidRPr="00EC1058" w:rsidRDefault="00817416" w:rsidP="00756632">
            <w:pPr>
              <w:pStyle w:val="EPTerm"/>
              <w:rPr>
                <w:rStyle w:val="HideTWBExt"/>
                <w:noProof w:val="0"/>
                <w:vanish w:val="0"/>
                <w:color w:val="auto"/>
              </w:rPr>
            </w:pPr>
            <w:r w:rsidRPr="00EC1058">
              <w:t>2019-2024</w:t>
            </w:r>
          </w:p>
        </w:tc>
        <w:tc>
          <w:tcPr>
            <w:tcW w:w="2268" w:type="dxa"/>
            <w:shd w:val="clear" w:color="auto" w:fill="auto"/>
          </w:tcPr>
          <w:p w:rsidR="00751A4A" w:rsidRPr="00EC1058" w:rsidRDefault="00187494" w:rsidP="0010095E">
            <w:pPr>
              <w:pStyle w:val="EPLogo"/>
            </w:pPr>
            <w:r w:rsidRPr="00EC105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1058" w:rsidRDefault="00D058B8" w:rsidP="004C5D52">
      <w:pPr>
        <w:pStyle w:val="LineTop"/>
      </w:pPr>
    </w:p>
    <w:p w:rsidR="00680577" w:rsidRPr="00EC1058" w:rsidRDefault="0008491D" w:rsidP="00680577">
      <w:pPr>
        <w:pStyle w:val="EPBodyTA1"/>
      </w:pPr>
      <w:r w:rsidRPr="00EC1058">
        <w:t>PRIIMTI TEKSTAI</w:t>
      </w:r>
    </w:p>
    <w:p w:rsidR="00D058B8" w:rsidRPr="00EC1058" w:rsidRDefault="00D058B8" w:rsidP="00D058B8">
      <w:pPr>
        <w:pStyle w:val="LineBottom"/>
      </w:pPr>
    </w:p>
    <w:p w:rsidR="0008491D" w:rsidRPr="00EC1058" w:rsidRDefault="0008491D" w:rsidP="0008491D">
      <w:pPr>
        <w:pStyle w:val="ATHeading1"/>
      </w:pPr>
      <w:bookmarkStart w:id="0" w:name="TANumber"/>
      <w:r w:rsidRPr="00EC1058">
        <w:t>P9_TA(2024)0</w:t>
      </w:r>
      <w:r w:rsidR="0090297D">
        <w:t>367</w:t>
      </w:r>
      <w:bookmarkEnd w:id="0"/>
    </w:p>
    <w:p w:rsidR="0008491D" w:rsidRPr="00EC1058" w:rsidRDefault="0008491D" w:rsidP="0008491D">
      <w:pPr>
        <w:pStyle w:val="ATHeading2"/>
      </w:pPr>
      <w:bookmarkStart w:id="1" w:name="title"/>
      <w:r w:rsidRPr="00EC1058">
        <w:t>Pagal ES sutarties 7 straipsnio 1 dalį vykstantys klausymai dėl Vengrijos teisinės valstybės stiprinimo ir susijusio poveikio biudžetui</w:t>
      </w:r>
      <w:bookmarkEnd w:id="1"/>
    </w:p>
    <w:p w:rsidR="0008491D" w:rsidRPr="00EC1058" w:rsidRDefault="0008491D" w:rsidP="0008491D">
      <w:pPr>
        <w:rPr>
          <w:i/>
          <w:vanish/>
        </w:rPr>
      </w:pPr>
      <w:r w:rsidRPr="00EC1058">
        <w:rPr>
          <w:i/>
        </w:rPr>
        <w:fldChar w:fldCharType="begin"/>
      </w:r>
      <w:r w:rsidRPr="00EC1058">
        <w:rPr>
          <w:i/>
        </w:rPr>
        <w:instrText xml:space="preserve"> TC"(</w:instrText>
      </w:r>
      <w:bookmarkStart w:id="2" w:name="DocNumber"/>
      <w:r w:rsidRPr="00EC1058">
        <w:rPr>
          <w:i/>
        </w:rPr>
        <w:instrText>B9-0223/2024</w:instrText>
      </w:r>
      <w:bookmarkEnd w:id="2"/>
      <w:r w:rsidRPr="00EC1058">
        <w:rPr>
          <w:i/>
        </w:rPr>
        <w:instrText xml:space="preserve">)"\l3 \n&gt; \* MERGEFORMAT </w:instrText>
      </w:r>
      <w:r w:rsidRPr="00EC1058">
        <w:rPr>
          <w:i/>
        </w:rPr>
        <w:fldChar w:fldCharType="end"/>
      </w:r>
    </w:p>
    <w:p w:rsidR="0008491D" w:rsidRPr="00EC1058" w:rsidRDefault="0008491D" w:rsidP="0008491D">
      <w:pPr>
        <w:rPr>
          <w:vanish/>
        </w:rPr>
      </w:pPr>
      <w:bookmarkStart w:id="3" w:name="PE"/>
      <w:r w:rsidRPr="00EC1058">
        <w:rPr>
          <w:vanish/>
        </w:rPr>
        <w:t>PE760.687</w:t>
      </w:r>
      <w:bookmarkEnd w:id="3"/>
    </w:p>
    <w:p w:rsidR="0008491D" w:rsidRPr="00EC1058" w:rsidRDefault="00FF6840" w:rsidP="0008491D">
      <w:pPr>
        <w:pStyle w:val="ATHeading3"/>
      </w:pPr>
      <w:bookmarkStart w:id="4" w:name="Sujet"/>
      <w:r>
        <w:t xml:space="preserve">2024 m. balandžio 24 d. </w:t>
      </w:r>
      <w:r w:rsidR="0008491D" w:rsidRPr="00EC1058">
        <w:t xml:space="preserve">Europos Parlamento rezoliucija dėl pagal ES sutarties 7 straipsnio 1 dalį vykstančių klausymų dėl Vengrijos teisinės valstybės stiprinimo ir susijusio poveikio biudžetui </w:t>
      </w:r>
      <w:bookmarkEnd w:id="4"/>
      <w:r w:rsidR="0008491D" w:rsidRPr="00EC1058">
        <w:t xml:space="preserve"> </w:t>
      </w:r>
      <w:bookmarkStart w:id="5" w:name="References"/>
      <w:r w:rsidR="0008491D" w:rsidRPr="00EC1058">
        <w:t>(2024/2683(RSP))</w:t>
      </w:r>
      <w:bookmarkEnd w:id="5"/>
    </w:p>
    <w:p w:rsidR="0008491D" w:rsidRPr="00EC1058" w:rsidRDefault="0008491D" w:rsidP="0008491D"/>
    <w:p w:rsidR="00AC7438" w:rsidRPr="00EC1058" w:rsidRDefault="00AC7438" w:rsidP="00AC7438">
      <w:pPr>
        <w:pStyle w:val="NormalHanging12a"/>
      </w:pPr>
      <w:bookmarkStart w:id="6" w:name="TextBodyBegin"/>
      <w:bookmarkEnd w:id="6"/>
      <w:r w:rsidRPr="00EC1058">
        <w:rPr>
          <w:i/>
        </w:rPr>
        <w:t>Europos Parlamentas</w:t>
      </w:r>
      <w:r w:rsidRPr="00EC1058">
        <w:t>,</w:t>
      </w:r>
    </w:p>
    <w:p w:rsidR="00AC7438" w:rsidRPr="00EC1058" w:rsidRDefault="00AC7438" w:rsidP="00AC7438">
      <w:pPr>
        <w:pStyle w:val="NormalHanging12a"/>
        <w:rPr>
          <w:szCs w:val="24"/>
        </w:rPr>
      </w:pPr>
      <w:r w:rsidRPr="00EC1058">
        <w:t>–</w:t>
      </w:r>
      <w:r w:rsidRPr="00EC1058">
        <w:tab/>
        <w:t>atsižvelgdamas į Europos Sąjungos sutartį, ypač į jos 2 straipsnį, 4 straipsnio 3 dalį ir 7 straipsnio 1 dalį,</w:t>
      </w:r>
    </w:p>
    <w:p w:rsidR="00AC7438" w:rsidRPr="00EC1058" w:rsidRDefault="00AC7438" w:rsidP="00AC7438">
      <w:pPr>
        <w:pStyle w:val="NormalHanging12a"/>
        <w:rPr>
          <w:szCs w:val="24"/>
        </w:rPr>
      </w:pPr>
      <w:r w:rsidRPr="00EC1058">
        <w:t>–</w:t>
      </w:r>
      <w:r w:rsidRPr="00EC1058">
        <w:tab/>
        <w:t>atsižvelgdamas į Europos Sąjungos pagrindinių teisių chartiją (toliau – Chartija),</w:t>
      </w:r>
    </w:p>
    <w:p w:rsidR="00AC7438" w:rsidRPr="00EC1058" w:rsidRDefault="00AC7438" w:rsidP="00AC7438">
      <w:pPr>
        <w:pStyle w:val="NormalHanging12a"/>
        <w:rPr>
          <w:szCs w:val="24"/>
        </w:rPr>
      </w:pPr>
      <w:r w:rsidRPr="00EC1058">
        <w:t>–</w:t>
      </w:r>
      <w:r w:rsidRPr="00EC1058">
        <w:tab/>
        <w:t>atsižvelgdamas į Europos žmogaus teisių konvenciją ir į jos protokolus,</w:t>
      </w:r>
    </w:p>
    <w:p w:rsidR="00AC7438" w:rsidRPr="00EC1058" w:rsidRDefault="00AC7438" w:rsidP="00AC7438">
      <w:pPr>
        <w:pStyle w:val="NormalHanging12a"/>
        <w:rPr>
          <w:szCs w:val="24"/>
        </w:rPr>
      </w:pPr>
      <w:r w:rsidRPr="00EC1058">
        <w:t>–</w:t>
      </w:r>
      <w:r w:rsidRPr="00EC1058">
        <w:tab/>
        <w:t>atsižvelgdamas į Visuotinę žmogaus teisių deklaraciją,</w:t>
      </w:r>
    </w:p>
    <w:p w:rsidR="00AC7438" w:rsidRPr="00EC1058" w:rsidRDefault="00AC7438" w:rsidP="00AC7438">
      <w:pPr>
        <w:pStyle w:val="NormalHanging12a"/>
        <w:rPr>
          <w:szCs w:val="24"/>
        </w:rPr>
      </w:pPr>
      <w:r w:rsidRPr="00EC1058">
        <w:t>–</w:t>
      </w:r>
      <w:r w:rsidRPr="00EC1058">
        <w:tab/>
        <w:t>atsižvelgdamas į Jungtinių Tautų ir Europos Tarybos tarptautines sutartis žmogaus teisių srityje,</w:t>
      </w:r>
    </w:p>
    <w:p w:rsidR="00AC7438" w:rsidRPr="00EC1058" w:rsidRDefault="00AC7438" w:rsidP="00AC7438">
      <w:pPr>
        <w:pStyle w:val="NormalHanging12a"/>
        <w:rPr>
          <w:szCs w:val="24"/>
        </w:rPr>
      </w:pPr>
      <w:r w:rsidRPr="00EC1058">
        <w:t>–</w:t>
      </w:r>
      <w:r w:rsidRPr="00EC1058">
        <w:tab/>
        <w:t>atsižvelgdamas į 2016 m. kovo 11–12 d. Venecijoje vykusioje Venecijos komisijos 106-ojoje plenarinėje sesijoje priimtą teisinės valstybės kontrolinį sąrašą,</w:t>
      </w:r>
    </w:p>
    <w:p w:rsidR="00AC7438" w:rsidRPr="00EC1058" w:rsidRDefault="00AC7438" w:rsidP="00AC7438">
      <w:pPr>
        <w:pStyle w:val="NormalHanging12a"/>
        <w:rPr>
          <w:szCs w:val="24"/>
        </w:rPr>
      </w:pPr>
      <w:r w:rsidRPr="00EC1058">
        <w:t>–</w:t>
      </w:r>
      <w:r w:rsidRPr="00EC1058">
        <w:tab/>
        <w:t>atsižvelgdamas į savo 2018 m. rugsėjo 12 d. rezoliuciją dėl pasiūlymo, kuriuo pagal Europos Sąjungos sutarties 7 straipsnio 1 dalį Taryba raginama nustatyti, ar esama aiškaus pavojaus, kad Vengrija gali šiurkščiai pažeisti vertybes, kuriomis grindžiama Sąjunga</w:t>
      </w:r>
      <w:r w:rsidRPr="00EC1058">
        <w:rPr>
          <w:rStyle w:val="FootnoteReference"/>
          <w:szCs w:val="24"/>
        </w:rPr>
        <w:footnoteReference w:id="1"/>
      </w:r>
      <w:r w:rsidRPr="00EC1058">
        <w:t>,</w:t>
      </w:r>
    </w:p>
    <w:p w:rsidR="00AC7438" w:rsidRPr="00EC1058" w:rsidRDefault="00AC7438" w:rsidP="00AC7438">
      <w:pPr>
        <w:pStyle w:val="NormalHanging12a"/>
        <w:rPr>
          <w:szCs w:val="24"/>
        </w:rPr>
      </w:pPr>
      <w:r w:rsidRPr="00EC1058">
        <w:t>–</w:t>
      </w:r>
      <w:r w:rsidRPr="00EC1058">
        <w:tab/>
        <w:t>atsižvelgdamas į 2020 m. gruodžio 16 d. Europos Parlamento ir Tarybos reglamentą (ES, Euratomas) 2020/2092 dėl bendro Sąjungos biudžeto apsaugos sąlygų režimo</w:t>
      </w:r>
      <w:r w:rsidRPr="00EC1058">
        <w:rPr>
          <w:rStyle w:val="FootnoteReference"/>
          <w:szCs w:val="24"/>
        </w:rPr>
        <w:footnoteReference w:id="2"/>
      </w:r>
      <w:r w:rsidRPr="00EC1058">
        <w:t xml:space="preserve"> (toliau – Sąlygų reglamentas),</w:t>
      </w:r>
    </w:p>
    <w:p w:rsidR="00AC7438" w:rsidRPr="00EC1058" w:rsidRDefault="00AC7438" w:rsidP="00AC7438">
      <w:pPr>
        <w:pStyle w:val="NormalHanging12a"/>
        <w:rPr>
          <w:szCs w:val="24"/>
        </w:rPr>
      </w:pPr>
      <w:r w:rsidRPr="00EC1058">
        <w:t>–</w:t>
      </w:r>
      <w:r w:rsidRPr="00EC1058">
        <w:tab/>
        <w:t xml:space="preserve">atsižvelgdamas į 2023 m. gruodžio 13 d. Komisijos sprendimą C(2023) 8999 dėl pakartotinio Reglamento (ES, Euratomas) 2020/2092 4 straipsnyje nustatytų sąlygų </w:t>
      </w:r>
      <w:r w:rsidRPr="00EC1058">
        <w:lastRenderedPageBreak/>
        <w:t>įvykdymo vertinimo Komisijos iniciatyva po 2022 m. gruodžio 15 d. Tarybos įgyvendinimo sprendimo (ES) 2022/2506 dėl Vengrijos,</w:t>
      </w:r>
    </w:p>
    <w:p w:rsidR="00AC7438" w:rsidRPr="00EC1058" w:rsidRDefault="00AC7438" w:rsidP="00AC7438">
      <w:pPr>
        <w:pStyle w:val="NormalHanging12a"/>
        <w:rPr>
          <w:szCs w:val="24"/>
        </w:rPr>
      </w:pPr>
      <w:r w:rsidRPr="00EC1058">
        <w:t>–</w:t>
      </w:r>
      <w:r w:rsidRPr="00EC1058">
        <w:tab/>
        <w:t>atsižvelgdamas į savo 2022 m. rugsėjo 15 d. rezoliuciją dėl pasiūlymo dėl Tarybos sprendimo, kuriuo pagal Europos Sąjungos sutarties 7 straipsnio 1 dalį nustatoma, jog esama aiškaus pavojaus, kad Vengrija gali šiurkščiai pažeisti vertybes, kuriomis grindžiama Sąjunga</w:t>
      </w:r>
      <w:r w:rsidRPr="00EC1058">
        <w:rPr>
          <w:rStyle w:val="FootnoteReference"/>
          <w:szCs w:val="24"/>
        </w:rPr>
        <w:footnoteReference w:id="3"/>
      </w:r>
      <w:r w:rsidRPr="00EC1058">
        <w:t>,</w:t>
      </w:r>
    </w:p>
    <w:p w:rsidR="00AC7438" w:rsidRPr="00EC1058" w:rsidRDefault="00AC7438" w:rsidP="00AC7438">
      <w:pPr>
        <w:pStyle w:val="NormalHanging12a"/>
        <w:rPr>
          <w:szCs w:val="24"/>
        </w:rPr>
      </w:pPr>
      <w:r w:rsidRPr="00EC1058">
        <w:t>–</w:t>
      </w:r>
      <w:r w:rsidRPr="00EC1058">
        <w:tab/>
        <w:t>atsižvelgdamas į savo 2022 m. lapkričio 24 d. rezoliuciją dėl vertinimo, ar Vengrija laikosi Sąlygų reglamente nustatytų sąlygų dėl teisinės valstybės, ir Vengrijos ekonomikos gaivinimo ir atsparumo didinimo plano dabartinės padėties</w:t>
      </w:r>
      <w:r w:rsidRPr="00EC1058">
        <w:rPr>
          <w:rStyle w:val="FootnoteReference"/>
          <w:szCs w:val="24"/>
        </w:rPr>
        <w:footnoteReference w:id="4"/>
      </w:r>
      <w:r w:rsidRPr="00EC1058">
        <w:t>,</w:t>
      </w:r>
    </w:p>
    <w:p w:rsidR="00AC7438" w:rsidRPr="00EC1058" w:rsidRDefault="00AC7438" w:rsidP="00AC7438">
      <w:pPr>
        <w:pStyle w:val="NormalHanging12a"/>
        <w:rPr>
          <w:szCs w:val="24"/>
        </w:rPr>
      </w:pPr>
      <w:r w:rsidRPr="00EC1058">
        <w:t>–</w:t>
      </w:r>
      <w:r w:rsidRPr="00EC1058">
        <w:tab/>
        <w:t>atsižvelgdamas į 2023 m. birželio 1 d. savo rezoliuciją dėl teisinės valstybės principo ir pagrindinių teisių pažeidimų Vengrijoje ir ES lėšų įšaldymo</w:t>
      </w:r>
      <w:r w:rsidRPr="00EC1058">
        <w:rPr>
          <w:rStyle w:val="FootnoteReference"/>
          <w:szCs w:val="24"/>
        </w:rPr>
        <w:footnoteReference w:id="5"/>
      </w:r>
      <w:r w:rsidRPr="00EC1058">
        <w:t>,</w:t>
      </w:r>
    </w:p>
    <w:p w:rsidR="00AC7438" w:rsidRPr="00EC1058" w:rsidRDefault="00AC7438" w:rsidP="00AC7438">
      <w:pPr>
        <w:pStyle w:val="NormalHanging12a"/>
        <w:rPr>
          <w:szCs w:val="24"/>
        </w:rPr>
      </w:pPr>
      <w:r w:rsidRPr="00EC1058">
        <w:t>–</w:t>
      </w:r>
      <w:r w:rsidRPr="00EC1058">
        <w:tab/>
        <w:t>atsižvelgdamas į savo 2024 m. sausio 18 d. rezoliuciją dėl padėties Vengrijoje ir įšaldytų ES lėšų</w:t>
      </w:r>
      <w:r w:rsidRPr="00EC1058">
        <w:rPr>
          <w:rStyle w:val="FootnoteReference"/>
          <w:szCs w:val="24"/>
        </w:rPr>
        <w:footnoteReference w:id="6"/>
      </w:r>
      <w:r w:rsidRPr="00EC1058">
        <w:t>,</w:t>
      </w:r>
    </w:p>
    <w:p w:rsidR="00AC7438" w:rsidRPr="00EC1058" w:rsidRDefault="00AC7438" w:rsidP="00AC7438">
      <w:pPr>
        <w:pStyle w:val="NormalHanging12a"/>
        <w:rPr>
          <w:szCs w:val="24"/>
        </w:rPr>
      </w:pPr>
      <w:r w:rsidRPr="00EC1058">
        <w:t>–</w:t>
      </w:r>
      <w:r w:rsidRPr="00EC1058">
        <w:tab/>
        <w:t>atsižvelgdamas į Komisijos metinės teisinės valstybės principo taikymo ataskaitos Vengrijai skirtus šalies skyrius,</w:t>
      </w:r>
    </w:p>
    <w:p w:rsidR="00AC7438" w:rsidRPr="00EC1058" w:rsidRDefault="00AC7438" w:rsidP="00AC7438">
      <w:pPr>
        <w:pStyle w:val="NormalHanging12a"/>
        <w:rPr>
          <w:szCs w:val="24"/>
        </w:rPr>
      </w:pPr>
      <w:r w:rsidRPr="00EC1058">
        <w:t>–</w:t>
      </w:r>
      <w:r w:rsidRPr="00EC1058">
        <w:tab/>
        <w:t>atsižvelgdamas į Venecijos komisijos nuomonę dėl 2023 m. Vengrijos įstatymo Nr. LXXXVIII dėl nacionalinio suverenumo apsaugos, priimtą 2024 m. kovo 15–16 d. Venecijoje vykusioje 138-ojoje plenarinėje sesijoje,</w:t>
      </w:r>
    </w:p>
    <w:p w:rsidR="00AC7438" w:rsidRPr="00EC1058" w:rsidRDefault="00AC7438" w:rsidP="00AC7438">
      <w:pPr>
        <w:pStyle w:val="NormalHanging12a"/>
        <w:rPr>
          <w:szCs w:val="24"/>
        </w:rPr>
      </w:pPr>
      <w:r w:rsidRPr="00EC1058">
        <w:t>–</w:t>
      </w:r>
      <w:r w:rsidRPr="00EC1058">
        <w:tab/>
        <w:t>atsižvelgdamas į Darbo tvarkos taisyklių 132 straipsnio 2 dalį,</w:t>
      </w:r>
    </w:p>
    <w:p w:rsidR="00AC7438" w:rsidRPr="00EC1058" w:rsidRDefault="00AC7438" w:rsidP="00AC7438">
      <w:pPr>
        <w:pStyle w:val="NormalHanging12a"/>
        <w:rPr>
          <w:szCs w:val="24"/>
        </w:rPr>
      </w:pPr>
      <w:r w:rsidRPr="00EC1058">
        <w:t>A.</w:t>
      </w:r>
      <w:r w:rsidRPr="00EC1058">
        <w:tab/>
        <w:t>kadangi Sąjunga grindžiama pagarbos žmogaus orumui, laisvės, demokratijos, lygybės, teisinės valstybės ir pagarbos žmogaus teisėms, įskaitant mažumoms priklausančių asmenų teises, vertybėmis, kaip išdėstyta ES sutarties 2 straipsnyje ir Chartijoje bei įtvirtinta pagrindinėse tarptautinėse žmogaus teisių sutartyse; kadangi šios vertybės, kuriomis vadovaujasi valstybės narės, yra ES gyvenančių asmenų teisių pagrindas;</w:t>
      </w:r>
    </w:p>
    <w:p w:rsidR="00AC7438" w:rsidRPr="00EC1058" w:rsidRDefault="00AC7438" w:rsidP="00AC7438">
      <w:pPr>
        <w:pStyle w:val="NormalHanging12a"/>
        <w:rPr>
          <w:szCs w:val="24"/>
        </w:rPr>
      </w:pPr>
      <w:r w:rsidRPr="00EC1058">
        <w:t>B.</w:t>
      </w:r>
      <w:r w:rsidRPr="00EC1058">
        <w:tab/>
        <w:t>kadangi bet koks aiškus šiurkštaus vertybių, nurodytų ES sutarties 2 straipsnyje, pažeidimo valstybėje narėje pavojus yra susijęs ne vien su konkrečia valstybe nare, kurioje kyla minėtasis pavojus, bet daro poveikį ir kitoms valstybėms narėms, jų tarpusavio pasitikėjimui ir pačiam ES pobūdžiui bei jos piliečių pagrindinėms teisėms, numatytoms ES teisėje;</w:t>
      </w:r>
    </w:p>
    <w:p w:rsidR="00AC7438" w:rsidRPr="00EC1058" w:rsidRDefault="00AC7438" w:rsidP="00AC7438">
      <w:pPr>
        <w:pStyle w:val="NormalHanging12a"/>
        <w:rPr>
          <w:szCs w:val="24"/>
        </w:rPr>
      </w:pPr>
      <w:r w:rsidRPr="00EC1058">
        <w:t>C.</w:t>
      </w:r>
      <w:r w:rsidRPr="00EC1058">
        <w:tab/>
        <w:t>kadangi ES sutarties 7 straipsnio taikymo sritis neapsiriboja iš Sutarčių kylančiomis pareigomis, kaip nustatyta Sutarties dėl Europos Sąjungos veikimo (SESV) 258 straipsnyje, ir kadangi ES gali įvertinti, ar esama aiškaus pavojaus, kad valstybių narių kompetencijai priklausančiose srityse gali būti šiurkščiai pažeistos bendros vertybės;</w:t>
      </w:r>
    </w:p>
    <w:p w:rsidR="00AC7438" w:rsidRPr="00EC1058" w:rsidRDefault="00AC7438" w:rsidP="00AC7438">
      <w:pPr>
        <w:pStyle w:val="NormalHanging12a"/>
        <w:rPr>
          <w:szCs w:val="24"/>
        </w:rPr>
      </w:pPr>
      <w:r w:rsidRPr="00EC1058">
        <w:t>D.</w:t>
      </w:r>
      <w:r w:rsidRPr="00EC1058">
        <w:tab/>
        <w:t xml:space="preserve">kadangi 2018 m. Taryba, remdamasi Europos Parlamento pasiūlymu, pradėjo ES sutarties 7 straipsnio 1 dalyje nustatytą procedūrą, siekdama pašalinti aiškų pavojų, kad </w:t>
      </w:r>
      <w:r w:rsidRPr="00EC1058">
        <w:lastRenderedPageBreak/>
        <w:t>Vengrija gali šiurkščiai pažeisti ES sutarties 2 straipsnyje nurodytas vertybes; kadangi nuo procedūros pradžios Taryboje įvyko šeši klausymai dėl padėties Vengrijoje pagal ES sutarties 7 straipsnio 1 dalies procedūrą, tačiau Taryba dar nebandė nustatyti, ar toks pavojus egzistuoja, ir nepateikė Vengrijos vyriausybei jokių rekomendacijų;</w:t>
      </w:r>
    </w:p>
    <w:p w:rsidR="00AC7438" w:rsidRPr="00EC1058" w:rsidRDefault="00AC7438" w:rsidP="00AC7438">
      <w:pPr>
        <w:pStyle w:val="NormalHanging12a"/>
        <w:rPr>
          <w:szCs w:val="24"/>
        </w:rPr>
      </w:pPr>
      <w:r w:rsidRPr="00EC1058">
        <w:t>E.</w:t>
      </w:r>
      <w:r w:rsidRPr="00EC1058">
        <w:tab/>
        <w:t>kadangi Sąlygų reglamentas yra itin svarbus, nes jis yra priemonė, kuria sudaromos sąlygos veiksmingai apsaugoti ES lėšas;</w:t>
      </w:r>
    </w:p>
    <w:p w:rsidR="00AC7438" w:rsidRPr="00EC1058" w:rsidRDefault="00AC7438" w:rsidP="00AC7438">
      <w:pPr>
        <w:pStyle w:val="NormalHanging12a"/>
        <w:rPr>
          <w:szCs w:val="24"/>
        </w:rPr>
      </w:pPr>
      <w:r w:rsidRPr="00EC1058">
        <w:t>F.</w:t>
      </w:r>
      <w:r w:rsidRPr="00EC1058">
        <w:tab/>
        <w:t>kadangi Komisija nusprendė skirti Vengrijai 0,9 mlrd. EUR išankstinį finansavimą pagal planą „</w:t>
      </w:r>
      <w:proofErr w:type="spellStart"/>
      <w:r w:rsidRPr="00EC1058">
        <w:t>REPowerEU</w:t>
      </w:r>
      <w:proofErr w:type="spellEnd"/>
      <w:r w:rsidRPr="00EC1058">
        <w:t>“; kadangi toks išankstinis finansavimas gali būti teikiamas be sąlygų, bet ne be patikrinimų;</w:t>
      </w:r>
    </w:p>
    <w:p w:rsidR="00AC7438" w:rsidRPr="00EC1058" w:rsidRDefault="00AC7438" w:rsidP="00AC7438">
      <w:pPr>
        <w:pStyle w:val="NormalHanging12a"/>
        <w:rPr>
          <w:bCs/>
          <w:szCs w:val="24"/>
        </w:rPr>
      </w:pPr>
      <w:r w:rsidRPr="00EC1058">
        <w:t>G.</w:t>
      </w:r>
      <w:r w:rsidRPr="00EC1058">
        <w:tab/>
        <w:t>kadangi savo 2022 m. rugsėjo 15 d. rezoliucijoje Parlamentas įvertino, kad nuo procedūros pagal ES sutarties 7 straipsnio 1 dalį pradžios tebekyla arba iš esmės padidėjo susirūpinimas dėl to, kaip Vengrija laikosi ES sutarties 2 straipsnyje įtvirtintų vertybių, be kita ko, kiek tai susiję su teismų nepriklausomumu, korupcija, interesų konfliktais, žiniasklaidos nepriklausomumu ir pliuralizmu, konstitucinės ir rinkimų sistemos veikimu ir pilietine erdve;</w:t>
      </w:r>
    </w:p>
    <w:p w:rsidR="00AC7438" w:rsidRPr="00EC1058" w:rsidRDefault="00AC7438" w:rsidP="00AC7438">
      <w:pPr>
        <w:pStyle w:val="NormalHanging12a"/>
        <w:rPr>
          <w:szCs w:val="24"/>
        </w:rPr>
      </w:pPr>
      <w:r w:rsidRPr="00EC1058">
        <w:t>H.</w:t>
      </w:r>
      <w:r w:rsidRPr="00EC1058">
        <w:tab/>
        <w:t>kadangi nuo tada, kai buvo priimta rezoliucija, padėtis kai kuriose iš šių sričių šiek tiek pagerėjo, daugelyje sričių ji ir toliau kelia nerimą, o kai kuriose kitose padėtis dar labiau pablogėjo; kadangi dėl Vengrijos vyriausybės veiksmų iškilo naujų rimtų problemų;</w:t>
      </w:r>
    </w:p>
    <w:p w:rsidR="00AC7438" w:rsidRPr="00EC1058" w:rsidRDefault="00AC7438" w:rsidP="00AC7438">
      <w:pPr>
        <w:pStyle w:val="NormalHanging12a"/>
        <w:rPr>
          <w:szCs w:val="24"/>
        </w:rPr>
      </w:pPr>
      <w:r w:rsidRPr="00EC1058">
        <w:t>I.</w:t>
      </w:r>
      <w:r w:rsidRPr="00EC1058">
        <w:tab/>
        <w:t>kadangi 2024 m. balandžio mėn. dešimtys tūkstančių vengrų išėjo į gatves protestuodami prieš korupcinį valstybės užvaldymą ir korupciją;</w:t>
      </w:r>
    </w:p>
    <w:p w:rsidR="00AC7438" w:rsidRPr="00EC1058" w:rsidRDefault="00AC7438" w:rsidP="00AC7438">
      <w:pPr>
        <w:pStyle w:val="NormalHanging12a"/>
        <w:rPr>
          <w:szCs w:val="24"/>
        </w:rPr>
      </w:pPr>
      <w:r w:rsidRPr="00EC1058">
        <w:t>J.</w:t>
      </w:r>
      <w:r w:rsidRPr="00EC1058">
        <w:tab/>
        <w:t>kadangi 2023 m. Vengrijos vyriausybė priėmė teisės aktų rinkinį dėl teismų reformų, kuriomis siekiama pagerinti tam tikrus teisminių institucijų nepriklausomumo aspektus, be kita ko, stiprinant Nacionalinės teismų tarybos nepriklausomumą; kadangi nebaigtinis didelių su teisinės valstybės principo taikymu teisingumo sistemoje susijusių trūkumų, kurie vis dar neišspręsti, sąrašas apima:</w:t>
      </w:r>
    </w:p>
    <w:p w:rsidR="00AC7438" w:rsidRPr="00EC1058" w:rsidRDefault="00AC7438" w:rsidP="00FF6840">
      <w:pPr>
        <w:pStyle w:val="NormalHanging12a"/>
        <w:ind w:left="1134"/>
        <w:rPr>
          <w:szCs w:val="24"/>
        </w:rPr>
      </w:pPr>
      <w:r w:rsidRPr="00EC1058">
        <w:t>–</w:t>
      </w:r>
      <w:r w:rsidRPr="00EC1058">
        <w:tab/>
        <w:t xml:space="preserve">taisykles, susijusias su dabartinio Vengrijos aukščiausiojo teismo </w:t>
      </w:r>
      <w:proofErr w:type="spellStart"/>
      <w:r w:rsidRPr="00EC1058">
        <w:rPr>
          <w:i/>
        </w:rPr>
        <w:t>Curia</w:t>
      </w:r>
      <w:proofErr w:type="spellEnd"/>
      <w:r w:rsidRPr="00EC1058">
        <w:t xml:space="preserve"> pirmininko </w:t>
      </w:r>
      <w:proofErr w:type="spellStart"/>
      <w:r w:rsidRPr="00EC1058">
        <w:t>nepašalinamumu</w:t>
      </w:r>
      <w:proofErr w:type="spellEnd"/>
      <w:r w:rsidRPr="00EC1058">
        <w:t>,</w:t>
      </w:r>
    </w:p>
    <w:p w:rsidR="00AC7438" w:rsidRPr="00EC1058" w:rsidRDefault="00AC7438" w:rsidP="00FF6840">
      <w:pPr>
        <w:pStyle w:val="NormalHanging12a"/>
        <w:ind w:left="1134"/>
        <w:rPr>
          <w:szCs w:val="24"/>
        </w:rPr>
      </w:pPr>
      <w:r w:rsidRPr="00EC1058">
        <w:t>–</w:t>
      </w:r>
      <w:r w:rsidRPr="00EC1058">
        <w:tab/>
        <w:t xml:space="preserve">prasmingų apsaugos priemonių ir garantijų, susijusių su </w:t>
      </w:r>
      <w:proofErr w:type="spellStart"/>
      <w:r w:rsidRPr="00EC1058">
        <w:rPr>
          <w:i/>
        </w:rPr>
        <w:t>Curia</w:t>
      </w:r>
      <w:proofErr w:type="spellEnd"/>
      <w:r w:rsidRPr="00EC1058">
        <w:t xml:space="preserve"> nepriklausomumu, trūkumą,</w:t>
      </w:r>
    </w:p>
    <w:p w:rsidR="00AC7438" w:rsidRPr="00EC1058" w:rsidRDefault="00AC7438" w:rsidP="00FF6840">
      <w:pPr>
        <w:pStyle w:val="NormalHanging12a"/>
        <w:ind w:left="1134"/>
        <w:rPr>
          <w:szCs w:val="24"/>
        </w:rPr>
      </w:pPr>
      <w:r w:rsidRPr="00EC1058">
        <w:t>–</w:t>
      </w:r>
      <w:r w:rsidRPr="00EC1058">
        <w:tab/>
        <w:t xml:space="preserve">skaidrumo ir automatizavimo </w:t>
      </w:r>
      <w:proofErr w:type="spellStart"/>
      <w:r w:rsidRPr="00EC1058">
        <w:rPr>
          <w:i/>
        </w:rPr>
        <w:t>Curia</w:t>
      </w:r>
      <w:proofErr w:type="spellEnd"/>
      <w:r w:rsidRPr="00EC1058">
        <w:t xml:space="preserve"> bylų paskirstymo sistemoje ir skaidrumo, susijusio su kolegijų sudėties taisyklėmis, trūkumą,</w:t>
      </w:r>
    </w:p>
    <w:p w:rsidR="00AC7438" w:rsidRPr="00EC1058" w:rsidRDefault="00AC7438" w:rsidP="00FF6840">
      <w:pPr>
        <w:pStyle w:val="NormalHanging12a"/>
        <w:ind w:left="1134"/>
        <w:rPr>
          <w:szCs w:val="24"/>
        </w:rPr>
      </w:pPr>
      <w:r w:rsidRPr="00EC1058">
        <w:t>–</w:t>
      </w:r>
      <w:r w:rsidRPr="00EC1058">
        <w:tab/>
        <w:t>politinį ir administracinį spaudimą Nacionalinės teismų tarybos ir jos narių nepriklausomumui, be kita ko, vykdant šmeižto kampanijas,</w:t>
      </w:r>
    </w:p>
    <w:p w:rsidR="00AC7438" w:rsidRPr="00EC1058" w:rsidRDefault="00AC7438" w:rsidP="00FF6840">
      <w:pPr>
        <w:pStyle w:val="NormalHanging12a"/>
        <w:ind w:left="1134"/>
        <w:rPr>
          <w:szCs w:val="24"/>
        </w:rPr>
      </w:pPr>
      <w:r w:rsidRPr="00EC1058">
        <w:t>–</w:t>
      </w:r>
      <w:r w:rsidRPr="00EC1058">
        <w:tab/>
        <w:t xml:space="preserve">teisėjų skyrimo, paaukštinimo ir </w:t>
      </w:r>
      <w:proofErr w:type="spellStart"/>
      <w:r w:rsidRPr="00EC1058">
        <w:t>nepašalinamumo</w:t>
      </w:r>
      <w:proofErr w:type="spellEnd"/>
      <w:r w:rsidRPr="00EC1058">
        <w:t xml:space="preserve"> taisykles,</w:t>
      </w:r>
    </w:p>
    <w:p w:rsidR="00AC7438" w:rsidRPr="00EC1058" w:rsidRDefault="00AC7438" w:rsidP="00FF6840">
      <w:pPr>
        <w:pStyle w:val="NormalHanging12a"/>
        <w:ind w:left="1134"/>
        <w:rPr>
          <w:szCs w:val="24"/>
        </w:rPr>
      </w:pPr>
      <w:r w:rsidRPr="00EC1058">
        <w:t>–</w:t>
      </w:r>
      <w:r w:rsidRPr="00EC1058">
        <w:tab/>
        <w:t>prasmingų apsaugos priemonių ir garantijų, susijusių su administracinius sprendimus peržiūrinčių teisėjų nepriklausomumu, trūkumą,</w:t>
      </w:r>
    </w:p>
    <w:p w:rsidR="00AC7438" w:rsidRPr="00EC1058" w:rsidRDefault="00AC7438" w:rsidP="00FF6840">
      <w:pPr>
        <w:pStyle w:val="NormalHanging12a"/>
        <w:ind w:left="1134"/>
        <w:rPr>
          <w:szCs w:val="24"/>
        </w:rPr>
      </w:pPr>
      <w:r w:rsidRPr="00EC1058">
        <w:t>–</w:t>
      </w:r>
      <w:r w:rsidRPr="00EC1058">
        <w:tab/>
        <w:t>vis daugiau kliūčių kreiptis į Europos Sąjungos Teisingumo Teismą (ESTT),</w:t>
      </w:r>
    </w:p>
    <w:p w:rsidR="00AC7438" w:rsidRPr="00EC1058" w:rsidRDefault="00AC7438" w:rsidP="00FF6840">
      <w:pPr>
        <w:pStyle w:val="NormalHanging12a"/>
        <w:ind w:left="1134"/>
        <w:rPr>
          <w:szCs w:val="24"/>
        </w:rPr>
      </w:pPr>
      <w:r w:rsidRPr="00EC1058">
        <w:t>–</w:t>
      </w:r>
      <w:r w:rsidRPr="00EC1058">
        <w:tab/>
        <w:t>netinkamas taisykles dėl prokurorų ir teisėjų imuniteto ir drausminių procedūrų,</w:t>
      </w:r>
    </w:p>
    <w:p w:rsidR="00AC7438" w:rsidRPr="00EC1058" w:rsidRDefault="00AC7438" w:rsidP="00FF6840">
      <w:pPr>
        <w:pStyle w:val="NormalHanging12a"/>
        <w:ind w:left="1134"/>
        <w:rPr>
          <w:szCs w:val="24"/>
        </w:rPr>
      </w:pPr>
      <w:r w:rsidRPr="00EC1058">
        <w:lastRenderedPageBreak/>
        <w:t>–</w:t>
      </w:r>
      <w:r w:rsidRPr="00EC1058">
        <w:tab/>
        <w:t>politinį kišimąsi į baudžiamojo persekiojimo tarnybų ir atskirų prokurorų darbą,</w:t>
      </w:r>
    </w:p>
    <w:p w:rsidR="00AC7438" w:rsidRPr="00EC1058" w:rsidRDefault="00AC7438" w:rsidP="00FF6840">
      <w:pPr>
        <w:pStyle w:val="NormalHanging12a"/>
        <w:ind w:left="1134"/>
        <w:rPr>
          <w:szCs w:val="24"/>
        </w:rPr>
      </w:pPr>
      <w:r w:rsidRPr="00EC1058">
        <w:t>–</w:t>
      </w:r>
      <w:r w:rsidRPr="00EC1058">
        <w:tab/>
        <w:t>veiksmingų paramos nusikaltimų aukoms paslaugų trūkumą;</w:t>
      </w:r>
    </w:p>
    <w:p w:rsidR="00AC7438" w:rsidRPr="00EC1058" w:rsidRDefault="00AC7438" w:rsidP="00AC7438">
      <w:pPr>
        <w:pStyle w:val="NormalHanging12a"/>
        <w:rPr>
          <w:szCs w:val="24"/>
        </w:rPr>
      </w:pPr>
      <w:r w:rsidRPr="00EC1058">
        <w:t>K.</w:t>
      </w:r>
      <w:r w:rsidRPr="00EC1058">
        <w:tab/>
        <w:t>kadangi nebaigtinis nuolatinių didelių trūkumų, susijusių su kova su korupcija ir interesų konfliktais, sąrašas apima:</w:t>
      </w:r>
    </w:p>
    <w:p w:rsidR="00AC7438" w:rsidRPr="00EC1058" w:rsidRDefault="00AC7438" w:rsidP="00FF6840">
      <w:pPr>
        <w:pStyle w:val="NormalHanging12a"/>
        <w:ind w:left="1134"/>
        <w:rPr>
          <w:szCs w:val="24"/>
        </w:rPr>
      </w:pPr>
      <w:r w:rsidRPr="00EC1058">
        <w:t>–</w:t>
      </w:r>
      <w:r w:rsidRPr="00EC1058">
        <w:tab/>
        <w:t>rezultatų vykdant tyrimus, baudžiamąjį persekiojimą ir priimant galutinius sprendimus aukšto lygio korupcijos bylose nebuvimą,</w:t>
      </w:r>
    </w:p>
    <w:p w:rsidR="00AC7438" w:rsidRPr="00EC1058" w:rsidRDefault="00AC7438" w:rsidP="00FF6840">
      <w:pPr>
        <w:pStyle w:val="NormalHanging12a"/>
        <w:ind w:left="1134"/>
        <w:rPr>
          <w:szCs w:val="24"/>
        </w:rPr>
      </w:pPr>
      <w:r w:rsidRPr="00EC1058">
        <w:t>–</w:t>
      </w:r>
      <w:r w:rsidRPr="00EC1058">
        <w:tab/>
        <w:t>griežtų taisyklių dėl lobistinės veiklos, „sukamųjų durų“ reiškinio ir veiksmingos turto deklaracijų priežiūros nebuvimą,</w:t>
      </w:r>
    </w:p>
    <w:p w:rsidR="00AC7438" w:rsidRPr="00EC1058" w:rsidRDefault="00AC7438" w:rsidP="00FF6840">
      <w:pPr>
        <w:pStyle w:val="NormalHanging12a"/>
        <w:ind w:left="1134"/>
        <w:rPr>
          <w:szCs w:val="24"/>
        </w:rPr>
      </w:pPr>
      <w:r w:rsidRPr="00EC1058">
        <w:t>–</w:t>
      </w:r>
      <w:r w:rsidRPr="00EC1058">
        <w:tab/>
        <w:t>tarnybinės etikos institucijos kompetencijos, įgaliojimų, prieigos prie informacijos ir tinkamų išteklių trūkumą,</w:t>
      </w:r>
    </w:p>
    <w:p w:rsidR="00AC7438" w:rsidRPr="00EC1058" w:rsidRDefault="00AC7438" w:rsidP="00FF6840">
      <w:pPr>
        <w:pStyle w:val="NormalHanging12a"/>
        <w:ind w:left="1134"/>
        <w:rPr>
          <w:szCs w:val="24"/>
        </w:rPr>
      </w:pPr>
      <w:r w:rsidRPr="00EC1058">
        <w:t>–</w:t>
      </w:r>
      <w:r w:rsidRPr="00EC1058">
        <w:tab/>
        <w:t>viešų konsultacijų ir diskusijų dėl kovos su korupcija priemonių trūkumą,</w:t>
      </w:r>
    </w:p>
    <w:p w:rsidR="00AC7438" w:rsidRPr="00EC1058" w:rsidRDefault="00AC7438" w:rsidP="00FF6840">
      <w:pPr>
        <w:pStyle w:val="NormalHanging12a"/>
        <w:ind w:left="1134"/>
        <w:rPr>
          <w:szCs w:val="24"/>
        </w:rPr>
      </w:pPr>
      <w:r w:rsidRPr="00EC1058">
        <w:t>–</w:t>
      </w:r>
      <w:r w:rsidRPr="00EC1058">
        <w:tab/>
        <w:t>baudžiamojo persekiojimo tarnybų atskaitingumo, be kita ko, aplaidumo, pareigų nesilaikymo ir nusikalstamo elgesio atvejais, trūkumą,</w:t>
      </w:r>
    </w:p>
    <w:p w:rsidR="00AC7438" w:rsidRPr="00EC1058" w:rsidRDefault="00AC7438" w:rsidP="00FF6840">
      <w:pPr>
        <w:pStyle w:val="NormalHanging12a"/>
        <w:ind w:left="1134"/>
        <w:rPr>
          <w:szCs w:val="24"/>
        </w:rPr>
      </w:pPr>
      <w:r w:rsidRPr="00EC1058">
        <w:t>–</w:t>
      </w:r>
      <w:r w:rsidRPr="00EC1058">
        <w:tab/>
        <w:t>politinį kišimąsi į baudžiamojo persekiojimo tarnybų, stebinčių aukšto lygio korupciją ir baudžiamąsias bylas, darbą;</w:t>
      </w:r>
    </w:p>
    <w:p w:rsidR="00AC7438" w:rsidRPr="00EC1058" w:rsidRDefault="00AC7438" w:rsidP="00AC7438">
      <w:pPr>
        <w:pStyle w:val="NormalHanging12a"/>
        <w:rPr>
          <w:szCs w:val="24"/>
        </w:rPr>
      </w:pPr>
      <w:r w:rsidRPr="00EC1058">
        <w:t>L.</w:t>
      </w:r>
      <w:r w:rsidRPr="00EC1058">
        <w:tab/>
        <w:t>kadangi nebaigtinis nuolatinių didelių trūkumų, susijusių su žiniasklaidos laisve ir pliuralizmu, sąrašas apima:</w:t>
      </w:r>
    </w:p>
    <w:p w:rsidR="00AC7438" w:rsidRPr="00EC1058" w:rsidRDefault="00AC7438" w:rsidP="00FF6840">
      <w:pPr>
        <w:pStyle w:val="NormalHanging12a"/>
        <w:ind w:left="1134"/>
        <w:rPr>
          <w:szCs w:val="24"/>
        </w:rPr>
      </w:pPr>
      <w:r w:rsidRPr="00EC1058">
        <w:t>–</w:t>
      </w:r>
      <w:r w:rsidRPr="00EC1058">
        <w:tab/>
        <w:t>žiniasklaidos institucijos ir skaitmeninių paslaugų koordinatoriaus funkcinio nepriklausomumo trūkumą,</w:t>
      </w:r>
    </w:p>
    <w:p w:rsidR="00AC7438" w:rsidRPr="00EC1058" w:rsidRDefault="00AC7438" w:rsidP="00FF6840">
      <w:pPr>
        <w:pStyle w:val="NormalHanging12a"/>
        <w:ind w:left="1134"/>
        <w:rPr>
          <w:szCs w:val="24"/>
        </w:rPr>
      </w:pPr>
      <w:r w:rsidRPr="00EC1058">
        <w:t>–</w:t>
      </w:r>
      <w:r w:rsidRPr="00EC1058">
        <w:tab/>
        <w:t>visuomeninės žiniasklaidos redakcinio ir finansinio nepriklausomumo trūkumą ir politinių pažiūrų pliuralizmo visuomeninėje žiniasklaidoje, kurią valdančioji dauguma naudoja politinei propagandai, trūkumą</w:t>
      </w:r>
    </w:p>
    <w:p w:rsidR="00AC7438" w:rsidRPr="00EC1058" w:rsidRDefault="00AC7438" w:rsidP="00FF6840">
      <w:pPr>
        <w:pStyle w:val="NormalHanging12a"/>
        <w:ind w:left="1134"/>
        <w:rPr>
          <w:szCs w:val="24"/>
        </w:rPr>
      </w:pPr>
      <w:r w:rsidRPr="00EC1058">
        <w:t>–</w:t>
      </w:r>
      <w:r w:rsidRPr="00EC1058">
        <w:tab/>
        <w:t>piktnaudžiavimą valstybine reklama vyriausybę palaikančiose žiniasklaidos priemonėse ir taisyklių bei skaidrumo šioje srityje trūkumą,</w:t>
      </w:r>
    </w:p>
    <w:p w:rsidR="00AC7438" w:rsidRPr="00EC1058" w:rsidRDefault="00AC7438" w:rsidP="00FF6840">
      <w:pPr>
        <w:pStyle w:val="NormalHanging12a"/>
        <w:ind w:left="1134"/>
        <w:rPr>
          <w:szCs w:val="24"/>
        </w:rPr>
      </w:pPr>
      <w:r w:rsidRPr="00EC1058">
        <w:t>–</w:t>
      </w:r>
      <w:r w:rsidRPr="00EC1058">
        <w:tab/>
        <w:t>šmeižto kampanijas prieš nepriklausomus žurnalistus ir žiniasklaidą,</w:t>
      </w:r>
    </w:p>
    <w:p w:rsidR="00AC7438" w:rsidRPr="00EC1058" w:rsidRDefault="00AC7438" w:rsidP="00FF6840">
      <w:pPr>
        <w:pStyle w:val="NormalHanging12a"/>
        <w:ind w:left="1134"/>
        <w:rPr>
          <w:szCs w:val="24"/>
        </w:rPr>
      </w:pPr>
      <w:r w:rsidRPr="00EC1058">
        <w:t>–</w:t>
      </w:r>
      <w:r w:rsidRPr="00EC1058">
        <w:tab/>
        <w:t>vis daugiau apribojimų, susijusių su galimybe susipažinti su vieša informacija,</w:t>
      </w:r>
    </w:p>
    <w:p w:rsidR="00AC7438" w:rsidRPr="00EC1058" w:rsidRDefault="00AC7438" w:rsidP="00FF6840">
      <w:pPr>
        <w:pStyle w:val="NormalHanging12a"/>
        <w:ind w:left="1134"/>
        <w:rPr>
          <w:szCs w:val="24"/>
        </w:rPr>
      </w:pPr>
      <w:r w:rsidRPr="00EC1058">
        <w:t>–</w:t>
      </w:r>
      <w:r w:rsidRPr="00EC1058">
        <w:tab/>
        <w:t>prasmingo tyrimo dėl šnipinėjimo programų, nukreiptų prieš tiriančiuosius žurnalistus ir žiniasklaidos specialistus, trūkumą,</w:t>
      </w:r>
    </w:p>
    <w:p w:rsidR="00AC7438" w:rsidRPr="00EC1058" w:rsidRDefault="00AC7438" w:rsidP="00FF6840">
      <w:pPr>
        <w:pStyle w:val="NormalHanging12a"/>
        <w:ind w:left="1134"/>
        <w:rPr>
          <w:szCs w:val="24"/>
        </w:rPr>
      </w:pPr>
      <w:r w:rsidRPr="00EC1058">
        <w:t>–</w:t>
      </w:r>
      <w:r w:rsidRPr="00EC1058">
        <w:tab/>
        <w:t xml:space="preserve">žiniasklaidos rinkos koncentraciją ir pernelyg didelę vyriausybės įtaką žiniasklaidos aplinkai (be kita ko, per </w:t>
      </w:r>
      <w:r w:rsidRPr="00EC1058">
        <w:rPr>
          <w:shd w:val="clear" w:color="auto" w:fill="FFFFFF"/>
        </w:rPr>
        <w:t>Centrinio Europos spaudos ir žiniasklaidos fondą (KESMA)</w:t>
      </w:r>
      <w:r w:rsidRPr="00EC1058">
        <w:t>),</w:t>
      </w:r>
    </w:p>
    <w:p w:rsidR="00AC7438" w:rsidRPr="00EC1058" w:rsidRDefault="00AC7438" w:rsidP="00FF6840">
      <w:pPr>
        <w:pStyle w:val="NormalHanging12a"/>
        <w:ind w:left="1134"/>
        <w:rPr>
          <w:szCs w:val="24"/>
        </w:rPr>
      </w:pPr>
      <w:r w:rsidRPr="00EC1058">
        <w:t>–</w:t>
      </w:r>
      <w:r w:rsidRPr="00EC1058">
        <w:tab/>
        <w:t>galimą žiniasklaidos priemonių ir žurnalistų tyrimą, kurį atlieka suvereniteto apsaugos tarnyba;</w:t>
      </w:r>
    </w:p>
    <w:p w:rsidR="00AC7438" w:rsidRPr="00EC1058" w:rsidRDefault="00AC7438" w:rsidP="00AC7438">
      <w:pPr>
        <w:pStyle w:val="NormalHanging12a"/>
        <w:rPr>
          <w:szCs w:val="24"/>
        </w:rPr>
      </w:pPr>
      <w:r w:rsidRPr="00EC1058">
        <w:t>M.</w:t>
      </w:r>
      <w:r w:rsidRPr="00EC1058">
        <w:tab/>
        <w:t>kadangi nebaigtinis nuolatinių didelių trūkumų, susijusių su konstitucine ir rinkimų sistema, taip pat stabdžių ir atsvarų sistema, sąrašas apima:</w:t>
      </w:r>
    </w:p>
    <w:p w:rsidR="00AC7438" w:rsidRPr="00EC1058" w:rsidRDefault="00AC7438" w:rsidP="00FF6840">
      <w:pPr>
        <w:pStyle w:val="NormalHanging12a"/>
        <w:ind w:left="1134"/>
        <w:rPr>
          <w:szCs w:val="24"/>
        </w:rPr>
      </w:pPr>
      <w:r w:rsidRPr="00EC1058">
        <w:lastRenderedPageBreak/>
        <w:t>–</w:t>
      </w:r>
      <w:r w:rsidRPr="00EC1058">
        <w:tab/>
        <w:t>vienodų kampanijų sąlygų per vietos ir nacionalinio lygmens rinkimus nebuvimą ir dažnus rinkimų kodekso pakeitimus,</w:t>
      </w:r>
    </w:p>
    <w:p w:rsidR="00AC7438" w:rsidRPr="00EC1058" w:rsidRDefault="00AC7438" w:rsidP="00FF6840">
      <w:pPr>
        <w:pStyle w:val="NormalHanging12a"/>
        <w:ind w:left="1134"/>
        <w:rPr>
          <w:szCs w:val="24"/>
        </w:rPr>
      </w:pPr>
      <w:r w:rsidRPr="00EC1058">
        <w:t>–</w:t>
      </w:r>
      <w:r w:rsidRPr="00EC1058">
        <w:tab/>
        <w:t>nepakankamą skaidrumą ir atskaitomybę teisės aktų rengimo ir įgyvendinimo procese,</w:t>
      </w:r>
    </w:p>
    <w:p w:rsidR="00AC7438" w:rsidRPr="00EC1058" w:rsidRDefault="00AC7438" w:rsidP="00FF6840">
      <w:pPr>
        <w:pStyle w:val="NormalHanging12a"/>
        <w:ind w:left="1134"/>
        <w:rPr>
          <w:bCs/>
          <w:szCs w:val="24"/>
        </w:rPr>
      </w:pPr>
      <w:r w:rsidRPr="00EC1058">
        <w:t>–</w:t>
      </w:r>
      <w:r w:rsidRPr="00EC1058">
        <w:tab/>
        <w:t>besitęsiančią oficialią pavojingą padėtį, suteikiant vyriausybei plačius įgaliojimus nepaprastosios padėties atveju ir galimybę nepaprastosios padėties dekretuose panaikinti aukštesnio lygio įstatymus,</w:t>
      </w:r>
    </w:p>
    <w:p w:rsidR="00AC7438" w:rsidRPr="00EC1058" w:rsidRDefault="00AC7438" w:rsidP="00FF6840">
      <w:pPr>
        <w:pStyle w:val="NormalHanging12a"/>
        <w:ind w:left="1134"/>
        <w:rPr>
          <w:szCs w:val="24"/>
        </w:rPr>
      </w:pPr>
      <w:r w:rsidRPr="00EC1058">
        <w:t>–</w:t>
      </w:r>
      <w:r w:rsidRPr="00EC1058">
        <w:tab/>
        <w:t>prasmingų viešų konsultacijų dėl svarbių įstatymų rengimo proceso nebuvimą,</w:t>
      </w:r>
    </w:p>
    <w:p w:rsidR="00AC7438" w:rsidRPr="00EC1058" w:rsidRDefault="00AC7438" w:rsidP="00FF6840">
      <w:pPr>
        <w:pStyle w:val="NormalHanging12a"/>
        <w:ind w:left="1134"/>
        <w:rPr>
          <w:szCs w:val="24"/>
        </w:rPr>
      </w:pPr>
      <w:r w:rsidRPr="00EC1058">
        <w:t>–</w:t>
      </w:r>
      <w:r w:rsidRPr="00EC1058">
        <w:tab/>
        <w:t>nepriklausomų įstaigų įgaliojimų atėmimą ir poveikį jų nepriklausomumui,</w:t>
      </w:r>
    </w:p>
    <w:p w:rsidR="00AC7438" w:rsidRPr="00EC1058" w:rsidRDefault="00AC7438" w:rsidP="00FF6840">
      <w:pPr>
        <w:pStyle w:val="NormalHanging12a"/>
        <w:ind w:left="1134"/>
        <w:rPr>
          <w:bCs/>
          <w:szCs w:val="24"/>
        </w:rPr>
      </w:pPr>
      <w:r w:rsidRPr="00EC1058">
        <w:t>–</w:t>
      </w:r>
      <w:r w:rsidRPr="00EC1058">
        <w:tab/>
        <w:t>įstatymų projektų naudojimą įvairiems įstatymams iš dalies pakeisti;</w:t>
      </w:r>
    </w:p>
    <w:p w:rsidR="00AC7438" w:rsidRPr="00EC1058" w:rsidRDefault="00AC7438" w:rsidP="00AC7438">
      <w:pPr>
        <w:pStyle w:val="NormalHanging12a"/>
        <w:rPr>
          <w:szCs w:val="24"/>
        </w:rPr>
      </w:pPr>
      <w:r w:rsidRPr="00EC1058">
        <w:t>N.</w:t>
      </w:r>
      <w:r w:rsidRPr="00EC1058">
        <w:tab/>
        <w:t>kadangi nebaigtinis nuolatinių didelių trūkumų, susijusių su pilietinės visuomenės veikimu, sąrašas apima:</w:t>
      </w:r>
    </w:p>
    <w:p w:rsidR="00AC7438" w:rsidRPr="00EC1058" w:rsidRDefault="00AC7438" w:rsidP="00FF6840">
      <w:pPr>
        <w:pStyle w:val="NormalHanging12a"/>
        <w:ind w:left="1134"/>
        <w:rPr>
          <w:szCs w:val="24"/>
        </w:rPr>
      </w:pPr>
      <w:r w:rsidRPr="00EC1058">
        <w:t>–</w:t>
      </w:r>
      <w:r w:rsidRPr="00EC1058">
        <w:tab/>
        <w:t>įvairių įstatymų, kuriais siekiama apriboti nepriklausomų pilietinės visuomenės organizacijų egzistavimą ir veikimą, pvz., įstatymo dėl užsienio lėšas gaunančių organizacijų skaidrumo ir nacionalinio suvereniteto apsaugos įstatymo, atgrasomąjį poveikį,</w:t>
      </w:r>
    </w:p>
    <w:p w:rsidR="00AC7438" w:rsidRPr="00EC1058" w:rsidRDefault="00AC7438" w:rsidP="00FF6840">
      <w:pPr>
        <w:pStyle w:val="NormalHanging12a"/>
        <w:ind w:left="1134"/>
        <w:rPr>
          <w:szCs w:val="24"/>
        </w:rPr>
      </w:pPr>
      <w:r w:rsidRPr="00EC1058">
        <w:t>–</w:t>
      </w:r>
      <w:r w:rsidRPr="00EC1058">
        <w:tab/>
        <w:t>prieš pilietinės visuomenės organizacijų atstovus vykdomas šmeižto kampanijas ir persekiojimą,</w:t>
      </w:r>
    </w:p>
    <w:p w:rsidR="00AC7438" w:rsidRPr="00EC1058" w:rsidRDefault="00AC7438" w:rsidP="00FF6840">
      <w:pPr>
        <w:pStyle w:val="NormalHanging12a"/>
        <w:ind w:left="1134"/>
        <w:rPr>
          <w:szCs w:val="24"/>
        </w:rPr>
      </w:pPr>
      <w:r w:rsidRPr="00EC1058">
        <w:t>–</w:t>
      </w:r>
      <w:r w:rsidRPr="00EC1058">
        <w:tab/>
        <w:t>viešojo finansavimo nepriklausomoms pilietinės visuomenės organizacijoms trūkumą ir finansinę paramą vyriausybę remiančioms organizacijoms arba su vyriausybe susijusioms organizacijoms,</w:t>
      </w:r>
    </w:p>
    <w:p w:rsidR="00AC7438" w:rsidRPr="00EC1058" w:rsidRDefault="00AC7438" w:rsidP="00FF6840">
      <w:pPr>
        <w:pStyle w:val="NormalHanging12a"/>
        <w:ind w:left="1134"/>
        <w:rPr>
          <w:szCs w:val="24"/>
        </w:rPr>
      </w:pPr>
      <w:r w:rsidRPr="00EC1058">
        <w:t>–</w:t>
      </w:r>
      <w:r w:rsidRPr="00EC1058">
        <w:tab/>
        <w:t>galimą pilietinės visuomenės organizacijų ir jų atstovų vykdomą sekimą ir tyrimus, kuriuos atlieka suvereniteto apsaugos tarnyba;</w:t>
      </w:r>
    </w:p>
    <w:p w:rsidR="00AC7438" w:rsidRPr="00EC1058" w:rsidRDefault="00AC7438" w:rsidP="00AC7438">
      <w:pPr>
        <w:pStyle w:val="NormalHanging12a"/>
        <w:rPr>
          <w:szCs w:val="24"/>
        </w:rPr>
      </w:pPr>
      <w:r w:rsidRPr="00EC1058">
        <w:t>O.</w:t>
      </w:r>
      <w:r w:rsidRPr="00EC1058">
        <w:tab/>
        <w:t>kadangi nebaigtinis nuolatinių didelių trūkumų, susijusių su ES finansinių interesų apsauga, sąrašas apima:</w:t>
      </w:r>
    </w:p>
    <w:p w:rsidR="00AC7438" w:rsidRPr="00EC1058" w:rsidRDefault="00AC7438" w:rsidP="00FF6840">
      <w:pPr>
        <w:pStyle w:val="NormalHanging12a"/>
        <w:ind w:left="1134"/>
        <w:rPr>
          <w:szCs w:val="24"/>
        </w:rPr>
      </w:pPr>
      <w:r w:rsidRPr="00EC1058">
        <w:t>–</w:t>
      </w:r>
      <w:r w:rsidRPr="00EC1058">
        <w:tab/>
        <w:t>ES biudžetą vykdančių institucijų veikimą,</w:t>
      </w:r>
    </w:p>
    <w:p w:rsidR="00AC7438" w:rsidRPr="00EC1058" w:rsidRDefault="00AC7438" w:rsidP="00FF6840">
      <w:pPr>
        <w:pStyle w:val="NormalHanging12a"/>
        <w:ind w:left="1134"/>
        <w:rPr>
          <w:szCs w:val="24"/>
        </w:rPr>
      </w:pPr>
      <w:r w:rsidRPr="00EC1058">
        <w:t>–</w:t>
      </w:r>
      <w:r w:rsidRPr="00EC1058">
        <w:tab/>
        <w:t>sistemingus viešųjų pirkimų pažeidimus, trūkumus ir spragas, įskaitant didelę dalį konkursų procedūrų, kuriose pateikiamas tik vienas pasiūlymai, ir konkurencijos trūkumą viešųjų pirkimų sistemoje,</w:t>
      </w:r>
    </w:p>
    <w:p w:rsidR="00AC7438" w:rsidRPr="00EC1058" w:rsidRDefault="00AC7438" w:rsidP="00FF6840">
      <w:pPr>
        <w:pStyle w:val="NormalHanging12a"/>
        <w:ind w:left="1134"/>
        <w:rPr>
          <w:szCs w:val="24"/>
        </w:rPr>
      </w:pPr>
      <w:r w:rsidRPr="00EC1058">
        <w:t>–</w:t>
      </w:r>
      <w:r w:rsidRPr="00EC1058">
        <w:tab/>
        <w:t>audito ir kontrolės mechanizmų, skirtų patikimam ES lėšų naudojimui užtikrinti, trūkumus,</w:t>
      </w:r>
    </w:p>
    <w:p w:rsidR="00AC7438" w:rsidRPr="00EC1058" w:rsidRDefault="00AC7438" w:rsidP="00FF6840">
      <w:pPr>
        <w:pStyle w:val="NormalHanging12a"/>
        <w:ind w:left="1134"/>
        <w:rPr>
          <w:szCs w:val="24"/>
        </w:rPr>
      </w:pPr>
      <w:r w:rsidRPr="00EC1058">
        <w:t>–</w:t>
      </w:r>
      <w:r w:rsidRPr="00EC1058">
        <w:tab/>
        <w:t>nepakankamus gebėjimus užkirsti kelią sukčiavimui, korupcijai ar kitiems ES teisės pažeidimams, susijusiems su ES biudžeto vykdymu arba ES finansinių interesų apsauga, ir už juos bausti,</w:t>
      </w:r>
    </w:p>
    <w:p w:rsidR="00AC7438" w:rsidRPr="00EC1058" w:rsidRDefault="00AC7438" w:rsidP="00FF6840">
      <w:pPr>
        <w:pStyle w:val="NormalHanging12a"/>
        <w:ind w:left="1134"/>
        <w:rPr>
          <w:szCs w:val="24"/>
        </w:rPr>
      </w:pPr>
      <w:r w:rsidRPr="00EC1058">
        <w:t>–</w:t>
      </w:r>
      <w:r w:rsidRPr="00EC1058">
        <w:tab/>
        <w:t>netinkamą priemonės „</w:t>
      </w:r>
      <w:proofErr w:type="spellStart"/>
      <w:r w:rsidRPr="00EC1058">
        <w:t>Arachne</w:t>
      </w:r>
      <w:proofErr w:type="spellEnd"/>
      <w:r w:rsidRPr="00EC1058">
        <w:t>“ taikymą,</w:t>
      </w:r>
    </w:p>
    <w:p w:rsidR="00AC7438" w:rsidRPr="00EC1058" w:rsidRDefault="00AC7438" w:rsidP="00FF6840">
      <w:pPr>
        <w:pStyle w:val="NormalHanging12a"/>
        <w:ind w:left="1134"/>
        <w:rPr>
          <w:szCs w:val="24"/>
        </w:rPr>
      </w:pPr>
      <w:r w:rsidRPr="00EC1058">
        <w:lastRenderedPageBreak/>
        <w:t>–</w:t>
      </w:r>
      <w:r w:rsidRPr="00EC1058">
        <w:tab/>
        <w:t>skaidrumo trūkumą, kai viešojo intereso turto valdymo fondai naudoja ES lėšas,</w:t>
      </w:r>
    </w:p>
    <w:p w:rsidR="00AC7438" w:rsidRPr="00EC1058" w:rsidRDefault="00AC7438" w:rsidP="00FF6840">
      <w:pPr>
        <w:pStyle w:val="NormalHanging12a"/>
        <w:ind w:left="1134"/>
        <w:rPr>
          <w:szCs w:val="24"/>
        </w:rPr>
      </w:pPr>
      <w:r w:rsidRPr="00EC1058">
        <w:t>–</w:t>
      </w:r>
      <w:r w:rsidRPr="00EC1058">
        <w:tab/>
        <w:t>Vengrijos neprisijungimą prie Europos prokuratūros;</w:t>
      </w:r>
    </w:p>
    <w:p w:rsidR="00AC7438" w:rsidRPr="00EC1058" w:rsidRDefault="00AC7438" w:rsidP="00AC7438">
      <w:pPr>
        <w:pStyle w:val="NormalHanging12a"/>
        <w:rPr>
          <w:szCs w:val="24"/>
        </w:rPr>
      </w:pPr>
      <w:r w:rsidRPr="00EC1058">
        <w:t>P.</w:t>
      </w:r>
      <w:r w:rsidRPr="00EC1058">
        <w:tab/>
        <w:t>kadangi nebaigtinis nuolatinių didelių trūkumų, susijusių su bendrosios rinkos principų ir taisyklių laikymusi, sąrašas apima:</w:t>
      </w:r>
    </w:p>
    <w:p w:rsidR="00AC7438" w:rsidRPr="00EC1058" w:rsidRDefault="00AC7438" w:rsidP="00FF6840">
      <w:pPr>
        <w:pStyle w:val="NormalHanging12a"/>
        <w:ind w:left="1134"/>
        <w:rPr>
          <w:bCs/>
          <w:szCs w:val="24"/>
        </w:rPr>
      </w:pPr>
      <w:r w:rsidRPr="00EC1058">
        <w:t>–</w:t>
      </w:r>
      <w:r w:rsidRPr="00EC1058">
        <w:tab/>
        <w:t>diskriminacinę praktiką, nukreiptą prieš įmones, veikiančias srityse, kurios apibrėžtos kaip strategiškai svarbios Vengrijos vyriausybei,</w:t>
      </w:r>
    </w:p>
    <w:p w:rsidR="00AC7438" w:rsidRPr="00EC1058" w:rsidRDefault="00AC7438" w:rsidP="00FF6840">
      <w:pPr>
        <w:pStyle w:val="NormalHanging12a"/>
        <w:ind w:left="1134"/>
        <w:rPr>
          <w:bCs/>
          <w:szCs w:val="24"/>
        </w:rPr>
      </w:pPr>
      <w:r w:rsidRPr="00EC1058">
        <w:t>–</w:t>
      </w:r>
      <w:r w:rsidRPr="00EC1058">
        <w:tab/>
        <w:t>piktnaudžiavimą viešąja ir teisėkūros galia ir bauginimo metodų naudojimą prieš ekonominės veiklos vykdytojus, veikiančius srityse, kurios apibrėžtos kaip strategiškai svarbios Vengrijos vyriausybei;</w:t>
      </w:r>
    </w:p>
    <w:p w:rsidR="00AC7438" w:rsidRPr="00EC1058" w:rsidRDefault="00AC7438" w:rsidP="00AC7438">
      <w:pPr>
        <w:pStyle w:val="NormalHanging12a"/>
        <w:rPr>
          <w:szCs w:val="24"/>
        </w:rPr>
      </w:pPr>
      <w:r w:rsidRPr="00EC1058">
        <w:t>Q.</w:t>
      </w:r>
      <w:r w:rsidRPr="00EC1058">
        <w:tab/>
        <w:t>kadangi Vengrijos vyriausybė taip pat neišsprendė kitų 2022 m. rugsėjo 15 d. Parlamento rezoliucijoje nurodytų susirūpinimą keliančių klausimų, susijusių su pagrindinėmis teisėmis, pavyzdžiui:</w:t>
      </w:r>
    </w:p>
    <w:p w:rsidR="00AC7438" w:rsidRPr="00EC1058" w:rsidRDefault="00AC7438" w:rsidP="00FF6840">
      <w:pPr>
        <w:pStyle w:val="NormalHanging12a"/>
        <w:ind w:left="1134"/>
        <w:rPr>
          <w:szCs w:val="24"/>
        </w:rPr>
      </w:pPr>
      <w:r w:rsidRPr="00EC1058">
        <w:t>–</w:t>
      </w:r>
      <w:r w:rsidRPr="00EC1058">
        <w:tab/>
        <w:t>akademinė laisvė,</w:t>
      </w:r>
    </w:p>
    <w:p w:rsidR="00AC7438" w:rsidRPr="00EC1058" w:rsidRDefault="00AC7438" w:rsidP="00FF6840">
      <w:pPr>
        <w:pStyle w:val="NormalHanging12a"/>
        <w:ind w:left="1134"/>
        <w:rPr>
          <w:szCs w:val="24"/>
        </w:rPr>
      </w:pPr>
      <w:r w:rsidRPr="00EC1058">
        <w:t>–</w:t>
      </w:r>
      <w:r w:rsidRPr="00EC1058">
        <w:tab/>
        <w:t>religijos laisvė, </w:t>
      </w:r>
    </w:p>
    <w:p w:rsidR="00AC7438" w:rsidRPr="00EC1058" w:rsidRDefault="00AC7438" w:rsidP="00FF6840">
      <w:pPr>
        <w:pStyle w:val="NormalHanging12a"/>
        <w:ind w:left="1134"/>
        <w:rPr>
          <w:szCs w:val="24"/>
        </w:rPr>
      </w:pPr>
      <w:r w:rsidRPr="00EC1058">
        <w:t>–</w:t>
      </w:r>
      <w:r w:rsidRPr="00EC1058">
        <w:tab/>
        <w:t>teisė į vienodą požiūrį, įskaitant LGBTIQ asmenų teises,</w:t>
      </w:r>
    </w:p>
    <w:p w:rsidR="00AC7438" w:rsidRPr="00EC1058" w:rsidRDefault="00AC7438" w:rsidP="00FF6840">
      <w:pPr>
        <w:pStyle w:val="NormalHanging12a"/>
        <w:ind w:left="1134"/>
        <w:rPr>
          <w:szCs w:val="24"/>
        </w:rPr>
      </w:pPr>
      <w:r w:rsidRPr="00EC1058">
        <w:t>–</w:t>
      </w:r>
      <w:r w:rsidRPr="00EC1058">
        <w:tab/>
        <w:t>mažumoms priklausančių asmenų, įskaitant romus ir žydus, teisės, apsauga nuo neapykantą kurstančių pareiškimų prieš mažumas,</w:t>
      </w:r>
    </w:p>
    <w:p w:rsidR="00AC7438" w:rsidRPr="00EC1058" w:rsidRDefault="00AC7438" w:rsidP="00FF6840">
      <w:pPr>
        <w:pStyle w:val="NormalHanging12a"/>
        <w:ind w:left="1134"/>
        <w:rPr>
          <w:szCs w:val="24"/>
        </w:rPr>
      </w:pPr>
      <w:r w:rsidRPr="00EC1058">
        <w:t>–</w:t>
      </w:r>
      <w:r w:rsidRPr="00EC1058">
        <w:tab/>
        <w:t>pagrindinės migrantų, prieglobsčio prašytojų ir pabėgėlių teisės,</w:t>
      </w:r>
    </w:p>
    <w:p w:rsidR="00AC7438" w:rsidRPr="00EC1058" w:rsidRDefault="00AC7438" w:rsidP="00FF6840">
      <w:pPr>
        <w:pStyle w:val="NormalHanging12a"/>
        <w:ind w:left="1134"/>
        <w:rPr>
          <w:szCs w:val="24"/>
        </w:rPr>
      </w:pPr>
      <w:r w:rsidRPr="00EC1058">
        <w:t>–</w:t>
      </w:r>
      <w:r w:rsidRPr="00EC1058">
        <w:tab/>
        <w:t>ekonominės ir socialinės teisės;</w:t>
      </w:r>
    </w:p>
    <w:p w:rsidR="00AC7438" w:rsidRPr="00EC1058" w:rsidRDefault="00AC7438" w:rsidP="00AC7438">
      <w:pPr>
        <w:pStyle w:val="NormalHanging12a"/>
        <w:rPr>
          <w:szCs w:val="24"/>
        </w:rPr>
      </w:pPr>
      <w:r w:rsidRPr="00EC1058">
        <w:t>R.</w:t>
      </w:r>
      <w:r w:rsidRPr="00EC1058">
        <w:tab/>
        <w:t xml:space="preserve">kadangi 2023 m. gruodžio 23 d. įsigaliojo nacionalinio suverenumo apsaugos aktas; kadangi dėl to buvo įsteigta nauja suvereniteto apsaugos tarnyba ir iš dalies pakeistas baudžiamasis kodeksas, be kita ko, numatant laisvės atėmimo bausmę už užsienio finansavimo panaudojimą politinėms kampanijoms; kadangi 2023 m. lapkričio 27 d. pareiškime Europos Tarybos žmogaus teisių komisarė nurodė, kad to akto projektas kelia didelę riziką žmogaus teisėms ir jo reikėtų atsisakyti; kadangi savo 2024 m. kovo 18 d. nuomonėje Venecijos komisija pažymėjo, kad politinių partijų ir rinkimų kampanijų užsienio finansavimo apribojimai yra įprasti ir iš esmės atitinka geriausią tarptautinę praktiką ir standartus, tačiau teisiniuose pakeitimuose nebuvo aiškiai apibrėžta, kokios rūšies kampanijos veikla buvo uždrausta ir kaip nustatyti, kad ji buvo finansuojama užsienio lėšomis; kadangi Venecijos komisija savo nuomonėje taip pat pažymėjo, kad pakeitimuose neatsižvelgiama į politinių partijų bendradarbiavimą tarptautiniu lygmeniu, atmetamas tarptautinių organizacijų teikiamas finansavimas arba numatoma laikytis tarptautinių įsipareigojimų, įskaitant įsipareigojimus, susijusius su naryste ES; kadangi 2024 m. vasario 7 d. Komisija nusprendė pradėti pažeidimo nagrinėjimo procedūrą prieš Vengriją, nes, jos nuomone, teisės aktais buvo pažeistos kelios ES pirminės ir antrinės teisės nuostatos, įskaitant ES demokratines vertybes, demokratijos principą ir ES piliečių rinkimų teises, taip pat kelios Chartijoje įtvirtintos pagrindinės teisės, pvz., teisė į privatų ir šeimos gyvenimą, teisė į asmens duomenų apsaugą, saviraiškos ir informacijos laisvė, asociacijų laisvė, ES piliečių rinkimų teisės, teisė į veiksmingą teisinę gynybą ir teisingą bylos nagrinėjimą, teisė neduoti parodymų </w:t>
      </w:r>
      <w:r w:rsidRPr="00EC1058">
        <w:lastRenderedPageBreak/>
        <w:t>prieš save ir advokato teisė neatskleisti profesinės paslapties, ES teisės reikalavimai, susiję su duomenų apsauga, ir kelios bendrajai rinkai taikomos taisyklės;</w:t>
      </w:r>
    </w:p>
    <w:p w:rsidR="00AC7438" w:rsidRPr="00EC1058" w:rsidRDefault="00AC7438" w:rsidP="00AC7438">
      <w:pPr>
        <w:pStyle w:val="NormalHanging12a"/>
        <w:rPr>
          <w:szCs w:val="24"/>
        </w:rPr>
      </w:pPr>
      <w:r w:rsidRPr="00EC1058">
        <w:t>S.</w:t>
      </w:r>
      <w:r w:rsidRPr="00EC1058">
        <w:tab/>
        <w:t>kadangi nuo tada, kai buvo priimtas preliminarus pranešimas, ESTT savo sprendime byloje C-823/21</w:t>
      </w:r>
      <w:r w:rsidRPr="00EC1058">
        <w:rPr>
          <w:rStyle w:val="FootnoteReference"/>
          <w:szCs w:val="24"/>
        </w:rPr>
        <w:footnoteReference w:id="7"/>
      </w:r>
      <w:r w:rsidRPr="00EC1058">
        <w:t xml:space="preserve"> </w:t>
      </w:r>
      <w:r w:rsidRPr="00EC1058">
        <w:rPr>
          <w:i/>
        </w:rPr>
        <w:t>Komisija</w:t>
      </w:r>
      <w:r w:rsidRPr="00EC1058">
        <w:t> / </w:t>
      </w:r>
      <w:r w:rsidRPr="00EC1058">
        <w:rPr>
          <w:i/>
        </w:rPr>
        <w:t>Vengrija</w:t>
      </w:r>
      <w:r w:rsidRPr="00EC1058">
        <w:t xml:space="preserve"> pareiškė, kad, trečiojoje šalyje esančiai Vengrijos ambasadai pateikus tarptautinės apsaugos prašymą, Vengrija neįvykdė savo įsipareigojimų pagal ES prieglobsčio teisę;</w:t>
      </w:r>
    </w:p>
    <w:p w:rsidR="00AC7438" w:rsidRPr="00EC1058" w:rsidRDefault="00AC7438" w:rsidP="00AC7438">
      <w:pPr>
        <w:pStyle w:val="NormalHanging12a"/>
        <w:rPr>
          <w:szCs w:val="24"/>
        </w:rPr>
      </w:pPr>
      <w:r w:rsidRPr="00EC1058">
        <w:t>T.</w:t>
      </w:r>
      <w:r w:rsidRPr="00EC1058">
        <w:tab/>
        <w:t xml:space="preserve">kadangi </w:t>
      </w:r>
      <w:r w:rsidRPr="00EC1058">
        <w:rPr>
          <w:color w:val="000000"/>
        </w:rPr>
        <w:t>2022 m. lapkričio 10 d. Europos Žmogaus Teisių Teismo (EŽTT) sprendime, kuris tapo galutinis 2023 m. balandžio 3 d.,</w:t>
      </w:r>
      <w:r w:rsidRPr="00EC1058">
        <w:rPr>
          <w:color w:val="000000"/>
          <w:sz w:val="27"/>
        </w:rPr>
        <w:t xml:space="preserve"> </w:t>
      </w:r>
      <w:r w:rsidRPr="00EC1058">
        <w:t xml:space="preserve">byloje </w:t>
      </w:r>
      <w:proofErr w:type="spellStart"/>
      <w:r w:rsidRPr="00EC1058">
        <w:rPr>
          <w:i/>
        </w:rPr>
        <w:t>Bakirdzi</w:t>
      </w:r>
      <w:proofErr w:type="spellEnd"/>
      <w:r w:rsidRPr="00EC1058">
        <w:rPr>
          <w:i/>
        </w:rPr>
        <w:t xml:space="preserve"> ir E. C.</w:t>
      </w:r>
      <w:r w:rsidRPr="00EC1058">
        <w:t xml:space="preserve"> prieš </w:t>
      </w:r>
      <w:r w:rsidRPr="00EC1058">
        <w:rPr>
          <w:i/>
        </w:rPr>
        <w:t>Vengriją</w:t>
      </w:r>
      <w:r w:rsidRPr="00EC1058">
        <w:t xml:space="preserve"> (</w:t>
      </w:r>
      <w:hyperlink r:id="rId9" w:anchor="{%22appno%22:[%2249636/14%22]}" w:tgtFrame="_blank" w:history="1">
        <w:r w:rsidRPr="00EC1058">
          <w:rPr>
            <w:rStyle w:val="Hyperlink"/>
            <w:shd w:val="clear" w:color="auto" w:fill="FFFFFF"/>
          </w:rPr>
          <w:t>49636/14</w:t>
        </w:r>
      </w:hyperlink>
      <w:r w:rsidRPr="00EC1058">
        <w:rPr>
          <w:shd w:val="clear" w:color="auto" w:fill="FFFFFF"/>
        </w:rPr>
        <w:t> ir </w:t>
      </w:r>
      <w:hyperlink r:id="rId10" w:anchor="{%22appno%22:[%2265678/14%22]}" w:tgtFrame="_blank" w:history="1">
        <w:r w:rsidRPr="00EC1058">
          <w:rPr>
            <w:rStyle w:val="Hyperlink"/>
            <w:shd w:val="clear" w:color="auto" w:fill="FFFFFF"/>
          </w:rPr>
          <w:t>65678/14</w:t>
        </w:r>
      </w:hyperlink>
      <w:r w:rsidRPr="00EC1058">
        <w:t xml:space="preserve">), ir 2023 m. kovo 30 d. sprendime, kuris tapo galutinis 2023 m. birželio 30 d., byloje </w:t>
      </w:r>
      <w:proofErr w:type="spellStart"/>
      <w:r w:rsidRPr="00EC1058">
        <w:rPr>
          <w:i/>
        </w:rPr>
        <w:t>Szolcsįn</w:t>
      </w:r>
      <w:proofErr w:type="spellEnd"/>
      <w:r w:rsidRPr="00EC1058">
        <w:t xml:space="preserve"> prieš </w:t>
      </w:r>
      <w:r w:rsidRPr="00EC1058">
        <w:rPr>
          <w:i/>
        </w:rPr>
        <w:t>Vengriją</w:t>
      </w:r>
      <w:r w:rsidRPr="00EC1058">
        <w:t xml:space="preserve"> (</w:t>
      </w:r>
      <w:r w:rsidRPr="00EC1058">
        <w:rPr>
          <w:rStyle w:val="textcolumn"/>
          <w:shd w:val="clear" w:color="auto" w:fill="FFFFFF"/>
        </w:rPr>
        <w:t>24408/16</w:t>
      </w:r>
      <w:r w:rsidRPr="00EC1058">
        <w:t xml:space="preserve">), EŽTT nustatė pažeidimų, susijusių su tautinių mažumų rinkėjų balsavimo teisėmis ir romų vaikų švietimu </w:t>
      </w:r>
      <w:proofErr w:type="spellStart"/>
      <w:r w:rsidRPr="00EC1058">
        <w:t>segreguotose</w:t>
      </w:r>
      <w:proofErr w:type="spellEnd"/>
      <w:r w:rsidRPr="00EC1058">
        <w:t xml:space="preserve"> klasėse ar mokyklose, nesiėmus tinkamų priemonių nelygybei ištaisyti;</w:t>
      </w:r>
    </w:p>
    <w:p w:rsidR="00AC7438" w:rsidRPr="00EC1058" w:rsidRDefault="00AC7438" w:rsidP="00AC7438">
      <w:pPr>
        <w:pStyle w:val="NormalHanging12a"/>
        <w:rPr>
          <w:szCs w:val="24"/>
        </w:rPr>
      </w:pPr>
      <w:r w:rsidRPr="00EC1058">
        <w:t>U.</w:t>
      </w:r>
      <w:r w:rsidRPr="00EC1058">
        <w:tab/>
        <w:t xml:space="preserve">kadangi Europos Tarybos Ministrų Komitetas savo sprendimuose, susijusiuose su laukiama sustiprinta EŽTT sprendimų vykdymo bylose ir bylų grupėse </w:t>
      </w:r>
      <w:proofErr w:type="spellStart"/>
      <w:r w:rsidRPr="00EC1058">
        <w:rPr>
          <w:i/>
        </w:rPr>
        <w:t>Szabó</w:t>
      </w:r>
      <w:proofErr w:type="spellEnd"/>
      <w:r w:rsidRPr="00EC1058">
        <w:rPr>
          <w:i/>
        </w:rPr>
        <w:t xml:space="preserve"> ir </w:t>
      </w:r>
      <w:proofErr w:type="spellStart"/>
      <w:r w:rsidRPr="00EC1058">
        <w:rPr>
          <w:i/>
        </w:rPr>
        <w:t>Vissy</w:t>
      </w:r>
      <w:proofErr w:type="spellEnd"/>
      <w:r w:rsidRPr="00EC1058">
        <w:t xml:space="preserve"> prieš </w:t>
      </w:r>
      <w:r w:rsidRPr="00EC1058">
        <w:rPr>
          <w:i/>
        </w:rPr>
        <w:t>Vengriją</w:t>
      </w:r>
      <w:r w:rsidRPr="00EC1058">
        <w:rPr>
          <w:rStyle w:val="FootnoteReference"/>
          <w:i/>
          <w:szCs w:val="24"/>
        </w:rPr>
        <w:footnoteReference w:id="8"/>
      </w:r>
      <w:r w:rsidRPr="00EC1058">
        <w:t xml:space="preserve">, </w:t>
      </w:r>
      <w:proofErr w:type="spellStart"/>
      <w:r w:rsidRPr="00EC1058">
        <w:rPr>
          <w:i/>
        </w:rPr>
        <w:t>Gazsó</w:t>
      </w:r>
      <w:proofErr w:type="spellEnd"/>
      <w:r w:rsidRPr="00EC1058">
        <w:t xml:space="preserve"> prieš </w:t>
      </w:r>
      <w:r w:rsidRPr="00EC1058">
        <w:rPr>
          <w:i/>
        </w:rPr>
        <w:t>Vengriją</w:t>
      </w:r>
      <w:r w:rsidRPr="00EC1058">
        <w:rPr>
          <w:rStyle w:val="FootnoteReference"/>
          <w:i/>
          <w:szCs w:val="24"/>
        </w:rPr>
        <w:footnoteReference w:id="9"/>
      </w:r>
      <w:r w:rsidRPr="00EC1058">
        <w:t xml:space="preserve">, </w:t>
      </w:r>
      <w:proofErr w:type="spellStart"/>
      <w:r w:rsidRPr="00EC1058">
        <w:rPr>
          <w:i/>
        </w:rPr>
        <w:t>Ilias</w:t>
      </w:r>
      <w:proofErr w:type="spellEnd"/>
      <w:r w:rsidRPr="00EC1058">
        <w:rPr>
          <w:i/>
        </w:rPr>
        <w:t xml:space="preserve"> ir </w:t>
      </w:r>
      <w:proofErr w:type="spellStart"/>
      <w:r w:rsidRPr="00EC1058">
        <w:rPr>
          <w:i/>
        </w:rPr>
        <w:t>Ahmed</w:t>
      </w:r>
      <w:proofErr w:type="spellEnd"/>
      <w:r w:rsidRPr="00EC1058">
        <w:t xml:space="preserve"> prieš </w:t>
      </w:r>
      <w:r w:rsidRPr="00EC1058">
        <w:rPr>
          <w:i/>
        </w:rPr>
        <w:t>Vengriją</w:t>
      </w:r>
      <w:r w:rsidRPr="00EC1058">
        <w:rPr>
          <w:rStyle w:val="FootnoteReference"/>
          <w:i/>
          <w:szCs w:val="24"/>
        </w:rPr>
        <w:footnoteReference w:id="10"/>
      </w:r>
      <w:r w:rsidRPr="00EC1058">
        <w:t xml:space="preserve"> ir </w:t>
      </w:r>
      <w:proofErr w:type="spellStart"/>
      <w:r w:rsidRPr="00EC1058">
        <w:rPr>
          <w:i/>
        </w:rPr>
        <w:t>Baka</w:t>
      </w:r>
      <w:proofErr w:type="spellEnd"/>
      <w:r w:rsidRPr="00EC1058">
        <w:t xml:space="preserve"> prieš </w:t>
      </w:r>
      <w:r w:rsidRPr="00EC1058">
        <w:rPr>
          <w:i/>
        </w:rPr>
        <w:t>Vengriją</w:t>
      </w:r>
      <w:r w:rsidRPr="00EC1058">
        <w:rPr>
          <w:rStyle w:val="FootnoteReference"/>
          <w:i/>
          <w:szCs w:val="24"/>
        </w:rPr>
        <w:footnoteReference w:id="11"/>
      </w:r>
      <w:r w:rsidRPr="00EC1058">
        <w:t xml:space="preserve"> priežiūra, pakartojo savo susirūpinimą dėl šių sprendimų nevykdymo;</w:t>
      </w:r>
    </w:p>
    <w:p w:rsidR="00AC7438" w:rsidRPr="00EC1058" w:rsidRDefault="00AC7438" w:rsidP="00AC7438">
      <w:pPr>
        <w:pStyle w:val="NormalHanging12a"/>
        <w:rPr>
          <w:szCs w:val="24"/>
        </w:rPr>
      </w:pPr>
      <w:r w:rsidRPr="00EC1058">
        <w:t>V.</w:t>
      </w:r>
      <w:r w:rsidRPr="00EC1058">
        <w:tab/>
        <w:t xml:space="preserve">kadangi penktojo Vengrijos vertinimo etapo vertinimo ataskaitoje </w:t>
      </w:r>
      <w:r w:rsidRPr="00EC1058">
        <w:rPr>
          <w:shd w:val="clear" w:color="auto" w:fill="FFFFFF"/>
        </w:rPr>
        <w:t>Kovos su korupcija valstybių grupė (</w:t>
      </w:r>
      <w:r w:rsidRPr="00EC1058">
        <w:t>GRECO) išreiškė didelį susirūpinimą dėl Vengrijoje taikomos sistemos, kuria siekiama užkirsti kelią aukščiausias vykdomąsias pareigas einančių asmenų ir Vengrijos nacionalinės policijos bei nacionalinės apsaugos tarnybos narių korupcijai, veiksmingumo; kadangi GRECO nurodė, kad bendras Vengrijos viešojo administravimo ir teisėsaugos agentūrų bruožas yra tas, kad dauguma sąžiningumo ir korupcijos prevencijos priemonių yra skirtos žemo ir vidutinio lygio pareigūnams, tačiau sąžiningumo sistema, taikoma aukščiausias vykdomąsias pareigas einantiems asmenims, yra labai silpna, o policijos ir nacionalinės apsaugos tarnybos vyresniųjų vadovų skyrimo sąlygos kelia politizavimo riziką;</w:t>
      </w:r>
    </w:p>
    <w:p w:rsidR="00AC7438" w:rsidRPr="00EC1058" w:rsidRDefault="00AC7438" w:rsidP="00AC7438">
      <w:pPr>
        <w:pStyle w:val="NormalHanging12a"/>
        <w:rPr>
          <w:szCs w:val="24"/>
        </w:rPr>
      </w:pPr>
      <w:r w:rsidRPr="00EC1058">
        <w:t>W.</w:t>
      </w:r>
      <w:r w:rsidRPr="00EC1058">
        <w:tab/>
        <w:t xml:space="preserve">kadangi Europos komisija kovai su rasizmu ir netolerancija savo ataskaitoje palankiai įvertino kai kuriuos teigiamus pokyčius Vengrijoje, tačiau išreiškė susirūpinimą dėl vienodo požiūrio institucijos panaikinimo, studentų iš nepalankios aplinkos ir nepasiturinčių šeimų, pvz., romų tautybės studentų, </w:t>
      </w:r>
      <w:proofErr w:type="spellStart"/>
      <w:r w:rsidRPr="00EC1058">
        <w:t>stigmatizavimo</w:t>
      </w:r>
      <w:proofErr w:type="spellEnd"/>
      <w:r w:rsidRPr="00EC1058">
        <w:t xml:space="preserve">, didelio LGBTI asmenų žmogaus teisių padėties pablogėjimo, vis labiau ksenofobiško viešo diskurso ir politinių kalbų, ypač nukreiptų prieš pabėgėlius, prieglobsčio prašytojus ir migrantus, musulmonus ir LGBTI asmenis, itin riboto teisinės sistemos dėl neapykantą kurstančių kalbų veiksmingumo, nacionalinių socialinės </w:t>
      </w:r>
      <w:proofErr w:type="spellStart"/>
      <w:r w:rsidRPr="00EC1058">
        <w:t>įtraukties</w:t>
      </w:r>
      <w:proofErr w:type="spellEnd"/>
      <w:r w:rsidRPr="00EC1058">
        <w:t xml:space="preserve"> strategijų neįgyvendinimo, valstybės integracijos paramos pabėgėliams ir asmenims, kuriems suteikta papildoma apsauga, nutraukimo ir ribotų galimybių gauti prieglobstį šalyje;</w:t>
      </w:r>
    </w:p>
    <w:p w:rsidR="00AC7438" w:rsidRPr="00EC1058" w:rsidRDefault="00AC7438" w:rsidP="00AC7438">
      <w:pPr>
        <w:pStyle w:val="NormalHanging12a"/>
        <w:rPr>
          <w:szCs w:val="24"/>
        </w:rPr>
      </w:pPr>
      <w:r w:rsidRPr="00EC1058">
        <w:t>X.</w:t>
      </w:r>
      <w:r w:rsidRPr="00EC1058">
        <w:tab/>
        <w:t xml:space="preserve">kadangi JT Moterų diskriminacijos panaikinimo komitetas savo baigiamosiose </w:t>
      </w:r>
      <w:r w:rsidRPr="00EC1058">
        <w:lastRenderedPageBreak/>
        <w:t>pastabose išreiškė susirūpinimą dėl lytinės ir reprodukcinės sveikatos bei teisių ir dėl to, kad Vengrijos lygybės politika grindžiama tik šeimos sąvoka ir pagrindiniu moters vaidmeniu laikomas žmonos ir motinos vaidmuo, ir rekomendavo Vengrijai imtis priemonių siekiant kovoti su viešu diskursu prieš lyčių lygybę;</w:t>
      </w:r>
    </w:p>
    <w:p w:rsidR="00AC7438" w:rsidRPr="00EC1058" w:rsidRDefault="00AC7438" w:rsidP="00AC7438">
      <w:pPr>
        <w:pStyle w:val="NormalHanging12a"/>
        <w:rPr>
          <w:szCs w:val="24"/>
        </w:rPr>
      </w:pPr>
      <w:r w:rsidRPr="00EC1058">
        <w:t>Y.</w:t>
      </w:r>
      <w:r w:rsidRPr="00EC1058">
        <w:tab/>
        <w:t xml:space="preserve">kadangi po oficialaus vizito į Vengriją paskelbtame pareiškime </w:t>
      </w:r>
      <w:r w:rsidRPr="00EC1058">
        <w:rPr>
          <w:shd w:val="clear" w:color="auto" w:fill="FFFFFF"/>
        </w:rPr>
        <w:t>Europos saugumo ir bendradarbiavimo organizacijos</w:t>
      </w:r>
      <w:r w:rsidRPr="00EC1058">
        <w:t xml:space="preserve"> atstovė žiniasklaidos laisvės klausimais pareiškė, kad vertinant žiniasklaidos laisvės padėtį Vengrijoje susidaro įspūdis, kad egzistuoja sisteminis požiūris, pagal kurį kai kurie asmenys neturi tokių pačių pagrindinių sąlygų būti išklausytiems;</w:t>
      </w:r>
    </w:p>
    <w:p w:rsidR="00AC7438" w:rsidRPr="00EC1058" w:rsidRDefault="00AC7438" w:rsidP="00AC7438">
      <w:pPr>
        <w:pStyle w:val="NormalHanging12a"/>
        <w:rPr>
          <w:szCs w:val="24"/>
        </w:rPr>
      </w:pPr>
      <w:r w:rsidRPr="00EC1058">
        <w:t>Z.</w:t>
      </w:r>
      <w:r w:rsidRPr="00EC1058">
        <w:tab/>
        <w:t>kadangi savo rekomendacijoje dėl Vengrijos 2023 m. nacionalinės reformų programos su Tarybos nuomone dėl 2023 m. Vengrijos konvergencijos programos (COM(2023)0617) Taryba rekomendavo Vengrijai imtis veiksmų socialinės paramos sistemos adekvatumui didinti, galimybėms naudotis veiksmingomis aktyviomis darbo rinkos priemonėmis gerinti, veiksmingam socialiniam dialogui užtikrinti ir paslaugų reglamentavimo sistemai bei konkurencijai gerinti, laikantis bendrosios rinkos ir teisinės valstybės principų;</w:t>
      </w:r>
    </w:p>
    <w:p w:rsidR="00AC7438" w:rsidRPr="00EC1058" w:rsidRDefault="00AC7438" w:rsidP="00AC7438">
      <w:pPr>
        <w:pStyle w:val="NormalHanging12a"/>
        <w:rPr>
          <w:szCs w:val="24"/>
        </w:rPr>
      </w:pPr>
      <w:r w:rsidRPr="00EC1058">
        <w:t>AA.</w:t>
      </w:r>
      <w:r w:rsidRPr="00EC1058">
        <w:tab/>
        <w:t>kadangi Vengrijos vyriausybė neįgyvendino daugelio Vengrijos Konstitucinio Teismo, ESTT ir EŽTT sprendimų, susijusių su tuo, kad Vengrija pažeidė ES sutarties 2 straipsnyje įtvirtintas vertybes, ir nesiėmė tolesnių veiksmų dėl didžiosios daugumos 2023 m. Komisijos teisinės valstybės principo taikymo ataskaitoje pateiktų rekomendacijų arba kitų tarptautinių institucijų, pvz., GRECO, Venecijos komisijos ir kitų, rekomendacijų;</w:t>
      </w:r>
    </w:p>
    <w:p w:rsidR="00AC7438" w:rsidRPr="00EC1058" w:rsidRDefault="00AC7438" w:rsidP="00AC7438">
      <w:pPr>
        <w:pStyle w:val="NormalHanging12a"/>
        <w:rPr>
          <w:szCs w:val="24"/>
        </w:rPr>
      </w:pPr>
      <w:r w:rsidRPr="00EC1058">
        <w:t>1.</w:t>
      </w:r>
      <w:r w:rsidRPr="00EC1058">
        <w:tab/>
        <w:t>yra pasibaisėjęs nuolatiniu sisteminiu ir tyčiniu demokratijos, teisinės valstybės ir pagrindinių teisių pažeidimu Vengrijoje, už kurį atsakinga Vengrijos vyriausybė;</w:t>
      </w:r>
    </w:p>
    <w:p w:rsidR="00AC7438" w:rsidRPr="00EC1058" w:rsidRDefault="00AC7438" w:rsidP="00AC7438">
      <w:pPr>
        <w:pStyle w:val="NormalHanging12a"/>
        <w:rPr>
          <w:szCs w:val="24"/>
        </w:rPr>
      </w:pPr>
      <w:r w:rsidRPr="00EC1058">
        <w:t>2.</w:t>
      </w:r>
      <w:r w:rsidRPr="00EC1058">
        <w:tab/>
        <w:t>pabrėžia, kad nuo tada, kai buvo pradėta taikyti ES sutarties 7 straipsnio 1 dalis, Vengrijoje labai pablogėjo pagarba ES sutarties 2 straipsnyje įtvirtintoms vertybėms, ir reiškia didelį apgailestavimą, kad tai, jog Komisija ir Taryba nesiėmė ryžtingų veiksmų, prisidėjo prie demokratijos, teisinės valstybės ir pagrindinių teisių žlugimo toje šalyje ir, remiantis atitinkamais indeksais, ji tapo hibridiniu rinkimų autokratijos režimu;</w:t>
      </w:r>
    </w:p>
    <w:p w:rsidR="00AC7438" w:rsidRPr="00EC1058" w:rsidRDefault="00AC7438" w:rsidP="00AC7438">
      <w:pPr>
        <w:pStyle w:val="NormalHanging12a"/>
        <w:rPr>
          <w:szCs w:val="24"/>
        </w:rPr>
      </w:pPr>
      <w:r w:rsidRPr="00EC1058">
        <w:t>3.</w:t>
      </w:r>
      <w:r w:rsidRPr="00EC1058">
        <w:tab/>
        <w:t>smerkia tai, kad priimtas nacionalinio suverenumo apsaugos aktas ir sukurta suvereniteto apsaugos tarnyba, turinti plačius įgaliojimus ir griežtą stebėjimo ir sankcijų sistemą, nes tai iš esmės pažeidžia demokratijos standartus, pvz., laisvų ir sąžiningų rinkimų principą, teisinės valstybės principą ir pagrindines teises, ir pažeidžia įvairius ES teisės aktus; palankiai vertina Komisijos pradėtą pažeidimo nagrinėjimo procedūrą prieš Vengriją šiuo klausimu; ragina Vengrijos vyriausybę nedelsiant panaikinti šį aktą;</w:t>
      </w:r>
      <w:r w:rsidR="00A3511D">
        <w:t xml:space="preserve"> </w:t>
      </w:r>
      <w:r w:rsidR="00A3511D" w:rsidRPr="00A3511D">
        <w:t>ragina Komisiją prašyti ESTT nedelsiant sustabdyti minėto įstatymo taikymą, nes šis įstatymas daro poveikį laisvų ir sąžiningų rinkimų principui, numatant tai kaip laikinąją priemonę;</w:t>
      </w:r>
    </w:p>
    <w:p w:rsidR="00AC7438" w:rsidRPr="00EC1058" w:rsidRDefault="00AC7438" w:rsidP="00AC7438">
      <w:pPr>
        <w:pStyle w:val="NormalHanging12a"/>
        <w:rPr>
          <w:szCs w:val="24"/>
        </w:rPr>
      </w:pPr>
      <w:r w:rsidRPr="00EC1058">
        <w:t>4.</w:t>
      </w:r>
      <w:r w:rsidRPr="00EC1058">
        <w:tab/>
        <w:t xml:space="preserve">apgailestauja dėl to, kad Taryba nesugebėjo padaryti reikšmingos pažangos vykdant ES sutarties 7 straipsnio 1 dalyje numatytą procedūrą, ir pakartoja savo raginimą pagerinti padėtį rengiant reguliarius </w:t>
      </w:r>
      <w:proofErr w:type="spellStart"/>
      <w:r w:rsidRPr="00EC1058">
        <w:t>klausymus</w:t>
      </w:r>
      <w:proofErr w:type="spellEnd"/>
      <w:r w:rsidRPr="00EC1058">
        <w:t xml:space="preserve">, greitai sprendžiant ilgalaikes ir naujas problemas, darančias poveikį teisinei valstybei, demokratijai ir pagrindinėms teisėms, ir pateikiant konkrečias rekomendacijas su įgyvendinimo terminais; ragina Tarybą po kiekvieno klausymo paskelbti išsamius protokolus ir išvadas; primygtinai reikalauja, kad bet </w:t>
      </w:r>
      <w:r w:rsidRPr="00EC1058">
        <w:lastRenderedPageBreak/>
        <w:t xml:space="preserve">kokiame procese pagal ES sutarties 7 straipsnį Parlamentui būtų suteikta galimybė pateikti motyvuotą pasiūlymą Tarybai, dalyvauti pagal ES sutarties 7 straipsnį rengiamuose </w:t>
      </w:r>
      <w:proofErr w:type="spellStart"/>
      <w:r w:rsidRPr="00EC1058">
        <w:t>klausymuose</w:t>
      </w:r>
      <w:proofErr w:type="spellEnd"/>
      <w:r w:rsidRPr="00EC1058">
        <w:t xml:space="preserve"> ir jis turėtų būti nedelsiant ir išsamiai informuojamas kiekvienu procedūros etapu; ragina Komisiją ir valstybes nares inicijuoti ES sutarties 7 straipsnio 2 dalyje numatytą procedūrą, o Europos Vadovų Tarybą nustatyti, ar Vengrija šiurkščiai ir nuolat pažeidinėjo ES vertybes pagal ES sutarties 7 straipsnio 2 dalį, jei iki Belgijos pirmininkavimo pabaigos nebus pasiekta pažangos; pabrėžia, kad Taryba dalijasi atsakomybe už ES sutarties 2 straipsnyje įtvirtintų vertybių apsaugą ir kad jų neapsaugojus kiltų ilgalaikių ir galimai žalingų pasekmių;</w:t>
      </w:r>
    </w:p>
    <w:p w:rsidR="00AC7438" w:rsidRPr="00EC1058" w:rsidRDefault="00AC7438" w:rsidP="00AC7438">
      <w:pPr>
        <w:pStyle w:val="NormalHanging12a"/>
        <w:rPr>
          <w:szCs w:val="24"/>
        </w:rPr>
      </w:pPr>
      <w:r w:rsidRPr="00EC1058">
        <w:t>5.</w:t>
      </w:r>
      <w:r w:rsidRPr="00EC1058">
        <w:tab/>
        <w:t>pabrėžia svarbų Tarybai pirmininkaujančios valstybės narės vaidmenį skatinant Tarybos darbą ES teisės aktų srityje, užtikrinant ES darbotvarkės tęstinumą ir atstovaujant Tarybai santykiuose su kitomis ES institucijomis; pakartoja savo susirūpinimą dėl to, kad Vengrijos vyriausybė 2024 m. negalės patikimai įvykdyti šios užduoties, nes ji nesilaiko ES teisės ir ES sutarties 2 straipsnyje įtvirtintų vertybių, taip pat lojalaus bendradarbiavimo principo; apgailestauja, kad Taryba dar neišsprendė šios problemos ir kad Vengrijos vyriausybės atstovai pirmininkaus Tarybos posėdžiams, susijusiems su demokratija, teisine valstybe ir pagrindinėmis teisėmis, įskaitant posėdžius, susijusius su ES finansinių interesų ir biudžeto apsauga; pabrėžia, kad šis iššūkis kyla itin svarbiu Europos Parlamento rinkimų ir Komisijos formavimo momentu; apgailestauja, kad nepavyko rasti sprendimo, ir pakartoja, kad yra pasirengęs imtis priemonių Sąjungos patikimumui ginti, atsižvelgiant į ES sutarties 2 straipsnyje įtvirtintas vertybes, susijusias su bendradarbiavimu su Taryba;</w:t>
      </w:r>
    </w:p>
    <w:p w:rsidR="00AC7438" w:rsidRPr="00EC1058" w:rsidRDefault="00AC7438" w:rsidP="00AC7438">
      <w:pPr>
        <w:pStyle w:val="NormalHanging12a"/>
        <w:rPr>
          <w:szCs w:val="24"/>
        </w:rPr>
      </w:pPr>
      <w:r w:rsidRPr="00EC1058">
        <w:t>6.</w:t>
      </w:r>
      <w:r w:rsidRPr="00EC1058">
        <w:tab/>
        <w:t>ragina Tarybą ir Komisiją daugiau dėmesio skirti kovai su sisteminiu teisinės valstybės principo pažeidimu, taip pat įvairių savo rezoliucijose nurodytų vertybių pažeidimų sąveikai; pabrėžia, kad ES turėtų vienodai ryžtingai ginti visas ES sutarties 2 straipsnyje įtvirtintas vertybes ir kad to nepadarius kenkiama demokratinėms institucijoms ir galiausiai daromas poveikis visų žmonių žmogaus teisėms ir gyvenimui tose valstybėse, kuriose tos vertybės pažeidžiamos;</w:t>
      </w:r>
    </w:p>
    <w:p w:rsidR="00AC7438" w:rsidRPr="00EC1058" w:rsidRDefault="00AC7438" w:rsidP="00AC7438">
      <w:pPr>
        <w:pStyle w:val="NormalHanging12a"/>
        <w:rPr>
          <w:szCs w:val="24"/>
        </w:rPr>
      </w:pPr>
      <w:r w:rsidRPr="00EC1058">
        <w:t>7.</w:t>
      </w:r>
      <w:r w:rsidRPr="00EC1058">
        <w:tab/>
        <w:t>pakartoja savo raginimą Komisijai visapusiškai pasinaudoti turimomis priemonėmis siekiant pašalinti aiškų pavojų, kad Vengrija gali šiurkščiai pažeisti vertybes, kuriomis grindžiama ES, visų pirma taikyti pagreitintą pažeidimo nagrinėjimo procedūrą ir ESTT teikti prašymus dėl laikinųjų apsaugos priemonių taikymo bei ieškinius dėl ESTT sprendimų nevykdymo; primena Sąlygų reglamento svarbą ir palankiai vertina 2023 m. gruodžio 13 d. Komisijos sprendimą, kuriuo patvirtinama, kad rizika Sąjungos biudžetui nuo 2022 m. gruodžio mėn. išliko nepakitusi, ir taip pratęsiamas pagal Sąlygų reglamentą priimtų priemonių galiojimas; ragina Komisiją nedelsiant imtis veiksmų pagal reglamentą dėl kitų teisinės valstybės principo pažeidimų;</w:t>
      </w:r>
    </w:p>
    <w:p w:rsidR="00AC7438" w:rsidRPr="00EC1058" w:rsidRDefault="00AC7438" w:rsidP="00AC7438">
      <w:pPr>
        <w:pStyle w:val="NormalHanging12a"/>
        <w:rPr>
          <w:szCs w:val="24"/>
        </w:rPr>
      </w:pPr>
      <w:r w:rsidRPr="00EC1058">
        <w:t>8.</w:t>
      </w:r>
      <w:r w:rsidRPr="00EC1058">
        <w:tab/>
      </w:r>
      <w:r w:rsidR="00A3511D" w:rsidRPr="007F2626">
        <w:t xml:space="preserve">atsižvelgdamas į tai, pakartoja, kad yra labai susirūpinęs dėl sprendimo, kuriame teigiama, kad horizontalioji reikiama Chartijos sąlyga, susijusi su teismų nepriklausomumu, buvo įvykdyta, todėl Vengrijos valdžios institucijos galėjo pateikti prašymus kompensuoti iki 10,2 mlrd. EUR, netaikant tinkamų kontrolės mechanizmų ar viešųjų pirkimų procedūrų, kad būtų užtikrintas patikimas finansų valdymas ar ES biudžeto apsauga; primena 2024 m. kovo 25 d. pateiktą Parlamento prašymą peržiūrėti Sprendimo C(2023) 9014 teisėtumą ESTT pagal SESV 263 straipsnį; tikisi, kad šis klausimas bus greitai išspręstas; pakartoja savo raginimą Komisijai atšaukti savo sprendimą, ypač atsižvelgiant į nacionalines priemones, kurių buvo imtasi nuo jo priėmimo, ir į buvusio Vengrijos teisingumo ministro atskleistą informaciją apie </w:t>
      </w:r>
      <w:r w:rsidR="00A3511D" w:rsidRPr="007F2626">
        <w:lastRenderedPageBreak/>
        <w:t>baudžiamojo persekiojimo nepriklausomumo stoką ir politinį kišimąsi į baudžiamąjį procesą; ragina Komisiją užšaldyti lėšas, kol nebus visiškai įgyvendinti visi atitinkami teisės aktai, kol nebus įrodytas priimtų priemonių veiksmingumas praktikoje ir kol Vengrija neįgyvendins visų susijusių ESTT ir EŽTT sprendimus; prašo Komisijos nuodugniai kontroliuoti išankstinį finansavimą, teikiamą pagal ES finansavimą, siekiant užtikrinti, kad lėšos būtų naudojamos laikantis atitinkamų teisės aktų tikslų; pakartoja savo raginimą Vengrijai skubiai prisijungti prie Europos prokuratūros</w:t>
      </w:r>
      <w:r w:rsidRPr="007F2626">
        <w:t>;</w:t>
      </w:r>
      <w:r w:rsidR="00A3511D" w:rsidRPr="007F2626">
        <w:t xml:space="preserve"> prašo Komisijos primygtinai raginti Vengriją dalyvauti Europos prokuratūros veikloje;</w:t>
      </w:r>
    </w:p>
    <w:p w:rsidR="00AC7438" w:rsidRPr="00EC1058" w:rsidRDefault="00AC7438" w:rsidP="00AC7438">
      <w:pPr>
        <w:pStyle w:val="NormalHanging12a"/>
        <w:rPr>
          <w:szCs w:val="24"/>
        </w:rPr>
      </w:pPr>
      <w:r w:rsidRPr="00EC1058">
        <w:t>9.</w:t>
      </w:r>
      <w:r w:rsidRPr="00EC1058">
        <w:tab/>
        <w:t>pabrėžia, kad priemonės, kurių reikia ES finansavimui išmokėti, kaip apibrėžta atitinkamuose sprendimuose, priimtuose pagal Bendrųjų nuostatų reglamentą</w:t>
      </w:r>
      <w:r w:rsidRPr="00EC1058">
        <w:rPr>
          <w:rStyle w:val="FootnoteReference"/>
          <w:szCs w:val="24"/>
        </w:rPr>
        <w:footnoteReference w:id="12"/>
      </w:r>
      <w:r w:rsidRPr="00EC1058">
        <w:t xml:space="preserve"> (BNR), Ekonomikos gaivinimo ir atsparumo didinimo priemonės (EGADP) reglamentą</w:t>
      </w:r>
      <w:r w:rsidRPr="00EC1058">
        <w:rPr>
          <w:rStyle w:val="FootnoteReference"/>
          <w:szCs w:val="24"/>
        </w:rPr>
        <w:footnoteReference w:id="13"/>
      </w:r>
      <w:r w:rsidRPr="00EC1058">
        <w:t xml:space="preserve"> ir Sąlygų reglamentą, turi būti vertinamos nuosekliai, kaip neatsiejamas integruotų priemonių rinkinys, ir kad neturėtų būti atliekami jokie mokėjimai, net jei vienoje ar keliose srityse daroma pažanga, tačiau kitoje vis dar yra trūkumų; pabrėžia, kad nesuprantama, kodėl lėšos pagal BNR skiriamos nurodant, kad pagerėjo teismų nepriklausomumo padėtis, o lėšos pagal EGADP ir sąlygų mechanizmą tebėra blokuojamos dėl nuolatinių trūkumų, susijusių su teisminių institucijų nepriklausomumu;</w:t>
      </w:r>
    </w:p>
    <w:p w:rsidR="00AC7438" w:rsidRPr="00EC1058" w:rsidRDefault="00AC7438" w:rsidP="00AC7438">
      <w:pPr>
        <w:pStyle w:val="NormalHanging12a"/>
        <w:rPr>
          <w:szCs w:val="24"/>
        </w:rPr>
      </w:pPr>
      <w:r w:rsidRPr="00EC1058">
        <w:t>10.</w:t>
      </w:r>
      <w:r w:rsidRPr="00EC1058">
        <w:tab/>
        <w:t>atkreipia dėmesį į tai, kad įsteigta tarnybinės etikos institucija kaip viena iš taisomųjų priemonių, įgyvendintinų pagal Sąlygų reglamentą; laikosi nuomonės, kad vien institucijos įsteigimo negalima laikyti pakankamu dabartiniams susirūpinimą keliantiems klausimams spręsti, ir mano, kad atitinkamų taisomųjų priemonių įgyvendinimas turėtų būti vertinamas remiantis praktiniu tos institucijos veikimu; mano, kad tarnybinės etikos institucijai suteikus tinkamas prerogatyvas ir įgyvendinimo įgaliojimus, ji gali išspręsti kai kuriuos susirūpinimą keliančius klausimus, susijusius su teisinės valstybės padėtimi Vengrijoje, visų pirma su kova su korupcija; vis dėlto reiškia susirūpinimą dėl to, kad praktiškai jai trūksta kompetencijos ir prerogatyvų tinkamai vykdyti savo užduotis, kaip matyti iš pirmųjų jos veiklos metų; primygtinai reikalauja, kad jai būtų suteikti papildomi įgaliojimai ir kad šie įgaliojimai būtų įgyvendinami, visų pirma suteikiant jai tinkamą prieigą prie atitinkamų duomenų bazių, sustiprinant tyrimo įgaliojimus ir nustatant privalomą jos rekomendacijų priėmimą;</w:t>
      </w:r>
    </w:p>
    <w:p w:rsidR="00AC7438" w:rsidRPr="00EC1058" w:rsidRDefault="00AC7438" w:rsidP="00AC7438">
      <w:pPr>
        <w:pStyle w:val="NormalHanging12a"/>
        <w:rPr>
          <w:szCs w:val="24"/>
        </w:rPr>
      </w:pPr>
      <w:r w:rsidRPr="00EC1058">
        <w:t>11.</w:t>
      </w:r>
      <w:r w:rsidRPr="00EC1058">
        <w:tab/>
        <w:t xml:space="preserve">pabrėžia, kad atitiktis ES teisei, įskaitant bendrosios rinkos taisykles, yra vienas iš pagrindinių teisinės valstybės principo ramsčių; ragina Komisiją į teisinės valstybės padėties kiekvienoje valstybėje narėje vertinimą įtraukti bendrosios rinkos padėties valstybėje narėje vertinimą; yra susirūpinęs dėl piktnaudžiavimo valdžia ir sisteminės diskriminacinės praktikos, kurią Vengrijos valdžios institucijos taiko įmonėms, veikiančioms srityse, kurios apibrėžtos kaip strategiškai svarbios Vengrijos vyriausybei ir oligarchams; pabrėžia, kad dėl to susidarė diskriminacijos ir baimės padėtis, kuri </w:t>
      </w:r>
      <w:r w:rsidRPr="00EC1058">
        <w:lastRenderedPageBreak/>
        <w:t xml:space="preserve">prieštarauja bendrosios rinkos ramsčiams ir kelia didelį pavojų kai kurioms įmonėms ir jų teisėtiems verslo interesams ir </w:t>
      </w:r>
      <w:r w:rsidRPr="00EC1058">
        <w:rPr>
          <w:i/>
        </w:rPr>
        <w:t>de facto</w:t>
      </w:r>
      <w:r w:rsidRPr="00EC1058">
        <w:t xml:space="preserve"> išstumia jas iš Vengrijos rinkos; ragina Komisiją vertinant teisinės valstybės padėtį Vengrijoje ypatingą dėmesį skirti bendrosios rinkos taisyklių laikymuisi; ragina Komisiją išnagrinėti, ar teisės aktai, susiję su sritimis, kurios apibrėžiamos kaip strategiškai svarbios Vengrijos vyriausybei, atitinka galiojančius Europos teisės aktus; pabrėžia, kad Komisija privalo skubiai imtis tolesnių veiksmų dėl įmonių, į kurias Vengrijos valdžios institucijos sistemingai orientuojasi, pateiktų skundų ir perduoti atitinkamas bylas ESTT;</w:t>
      </w:r>
    </w:p>
    <w:p w:rsidR="00AC7438" w:rsidRPr="00EC1058" w:rsidRDefault="00AC7438" w:rsidP="00AC7438">
      <w:pPr>
        <w:pStyle w:val="NormalHanging12a"/>
        <w:rPr>
          <w:szCs w:val="24"/>
        </w:rPr>
      </w:pPr>
      <w:r w:rsidRPr="00EC1058">
        <w:t>12.</w:t>
      </w:r>
      <w:r w:rsidRPr="00EC1058">
        <w:tab/>
        <w:t>apgailestauja dėl to, kad Vengrija piktnaudžiavo veto teise Taryboje, neleisdama suteikti labai svarbios pagalbos Ukrainai ir taip pakenkdama strateginiams ES interesams; smerkia bendrą Vengrijos vyriausybės politiką Rusijos atžvilgiu;</w:t>
      </w:r>
    </w:p>
    <w:p w:rsidR="00AC7438" w:rsidRPr="00EC1058" w:rsidRDefault="00AC7438" w:rsidP="00AC7438">
      <w:pPr>
        <w:pStyle w:val="NormalHanging12a"/>
        <w:rPr>
          <w:szCs w:val="24"/>
        </w:rPr>
      </w:pPr>
      <w:r w:rsidRPr="00EC1058">
        <w:t>13.</w:t>
      </w:r>
      <w:r w:rsidRPr="00EC1058">
        <w:tab/>
        <w:t>pakartoja savo raginimą Komisijai užtikrinti, kad iš galutinių ES lėšų gavėjų arba naudos gavėjų nebūtų atimtos šios lėšos, kaip nustatyta Sąlygų reglamente; ragina Komisiją rasti būdų, kaip paskirstyti ES lėšas per vietos ir regionų valdžios institucijas ir pilietinę visuomenę, jei atitinkama vyriausybė nebendradarbiauja dėl teisinės valstybės principo įgyvendinimo trūkumų;</w:t>
      </w:r>
    </w:p>
    <w:p w:rsidR="00AC7438" w:rsidRPr="00EC1058" w:rsidRDefault="00AC7438" w:rsidP="00AC7438">
      <w:pPr>
        <w:pStyle w:val="NormalHanging12a"/>
        <w:rPr>
          <w:szCs w:val="24"/>
        </w:rPr>
      </w:pPr>
      <w:r w:rsidRPr="00EC1058">
        <w:t>14.</w:t>
      </w:r>
      <w:r w:rsidRPr="00EC1058">
        <w:tab/>
        <w:t>pabrėžia, kad Vengrijos valdžios institucijos turi užtikrinti skaidrumą ir lygias galimybes asmenims, įmonėms, pilietinei visuomenei, nevyriausybinėms organizacijoms ir vietos bei regionų valdžios institucijoms, norinčioms gauti ES finansavimą, ir užtikrinti nepriklausomą teisminę priežiūrą, taip pat nešališkus ir veiksmingus skundų nagrinėjimo mechanizmus; smerkia prieš akademinę bendruomenę, žurnalistus, politines partijas ir pilietinę visuomenę, taip pat tam tikrų sektorių įmones nukreiptą sisteminę diskriminacinę praktiką, apie kurią pranešta;</w:t>
      </w:r>
    </w:p>
    <w:p w:rsidR="00AC7438" w:rsidRPr="00EC1058" w:rsidRDefault="00AC7438" w:rsidP="00AC7438">
      <w:pPr>
        <w:pStyle w:val="NormalHanging12a"/>
        <w:rPr>
          <w:szCs w:val="24"/>
        </w:rPr>
      </w:pPr>
      <w:r w:rsidRPr="00EC1058">
        <w:t>15.</w:t>
      </w:r>
      <w:r w:rsidRPr="00EC1058">
        <w:tab/>
        <w:t>ragina Komisiją remti nepriklausomą pilietinę visuomenę Vengrijoje, kuri saugo ES sutarties 2 straipsnyje įtvirtintas vertybes, visų pirma pasitelkiant Piliečių, lygybės, teisių ir vertybių programą; dar kartą ragina Komisiją priimti išsamią pilietinės visuomenės strategiją, kuria siekiama ES saugoti ir plėtoti pilietinę erdvę, kurioje būtų integruotos visos esamos priemonės ir apibrėžtas konkrečių priemonių, kuriomis saugoma ir stiprinama pilietinė erdvė, rinkinys;</w:t>
      </w:r>
    </w:p>
    <w:p w:rsidR="00AC7438" w:rsidRPr="00EC1058" w:rsidRDefault="00AC7438" w:rsidP="00AC7438">
      <w:pPr>
        <w:pStyle w:val="NormalHanging12a"/>
        <w:rPr>
          <w:szCs w:val="24"/>
        </w:rPr>
      </w:pPr>
      <w:r w:rsidRPr="00EC1058">
        <w:t>16.</w:t>
      </w:r>
      <w:r w:rsidRPr="00EC1058">
        <w:tab/>
        <w:t xml:space="preserve">pakartoja raginimą Komisijai ir Tarybai nedelsiant pradėti derybas su Parlamentu dėl ES demokratijos, teisinės valstybės ir pagrindinių teisių mechanizmo </w:t>
      </w:r>
      <w:proofErr w:type="spellStart"/>
      <w:r w:rsidRPr="00EC1058">
        <w:t>tarpinstitucinio</w:t>
      </w:r>
      <w:proofErr w:type="spellEnd"/>
      <w:r w:rsidRPr="00EC1058">
        <w:t xml:space="preserve"> susitarimo forma ir dėl nuolatinio ES institucijų politikos ciklo įtraukimo;</w:t>
      </w:r>
    </w:p>
    <w:p w:rsidR="00E365E1" w:rsidRPr="00EC1058" w:rsidRDefault="00AC7438" w:rsidP="00FF6840">
      <w:pPr>
        <w:pStyle w:val="NormalHanging12a"/>
      </w:pPr>
      <w:r w:rsidRPr="00EC1058">
        <w:t>17.</w:t>
      </w:r>
      <w:r w:rsidRPr="00EC1058">
        <w:tab/>
        <w:t>paveda Pirmininkei perduoti šią rezoliuciją Tarybai, Komisijai, valstybių narių vyriausybėms ir parlamentams, Europos Tarybai, Europos saugumo ir bendradarbiavimo organizacijai ir Jungtinėms Tautoms.</w:t>
      </w:r>
      <w:bookmarkStart w:id="8" w:name="TextBodyEnd"/>
      <w:bookmarkEnd w:id="8"/>
    </w:p>
    <w:sectPr w:rsidR="00E365E1" w:rsidRPr="00EC1058" w:rsidSect="00EC105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91D" w:rsidRPr="00EC1058" w:rsidRDefault="0008491D">
      <w:r w:rsidRPr="00EC1058">
        <w:separator/>
      </w:r>
    </w:p>
  </w:endnote>
  <w:endnote w:type="continuationSeparator" w:id="0">
    <w:p w:rsidR="0008491D" w:rsidRPr="00EC1058" w:rsidRDefault="0008491D">
      <w:r w:rsidRPr="00EC10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0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0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0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91D" w:rsidRPr="00EC1058" w:rsidRDefault="0008491D">
      <w:r w:rsidRPr="00EC1058">
        <w:separator/>
      </w:r>
    </w:p>
  </w:footnote>
  <w:footnote w:type="continuationSeparator" w:id="0">
    <w:p w:rsidR="0008491D" w:rsidRPr="00EC1058" w:rsidRDefault="0008491D">
      <w:r w:rsidRPr="00EC1058">
        <w:continuationSeparator/>
      </w:r>
    </w:p>
  </w:footnote>
  <w:footnote w:id="1">
    <w:p w:rsidR="00AC7438" w:rsidRPr="00FF6840" w:rsidRDefault="00AC7438" w:rsidP="00EC1058">
      <w:pPr>
        <w:pStyle w:val="FootnoteText"/>
        <w:ind w:left="567" w:hanging="567"/>
        <w:rPr>
          <w:i/>
          <w:sz w:val="24"/>
          <w:lang w:val="lt-LT"/>
        </w:rPr>
      </w:pPr>
      <w:r w:rsidRPr="00EC1058">
        <w:rPr>
          <w:rStyle w:val="FootnoteReference"/>
          <w:sz w:val="24"/>
          <w:lang w:val="lt-LT"/>
        </w:rPr>
        <w:footnoteRef/>
      </w:r>
      <w:r w:rsidR="00EC1058" w:rsidRPr="00EC1058">
        <w:rPr>
          <w:rStyle w:val="Emphasis"/>
          <w:sz w:val="24"/>
          <w:shd w:val="clear" w:color="auto" w:fill="FFFFFF"/>
          <w:lang w:val="lt-LT"/>
        </w:rPr>
        <w:t xml:space="preserve"> </w:t>
      </w:r>
      <w:r w:rsidR="00EC1058" w:rsidRPr="00EC1058">
        <w:rPr>
          <w:rStyle w:val="Emphasis"/>
          <w:sz w:val="24"/>
          <w:shd w:val="clear" w:color="auto" w:fill="FFFFFF"/>
          <w:lang w:val="lt-LT"/>
        </w:rPr>
        <w:tab/>
      </w:r>
      <w:r w:rsidRPr="00FF6840">
        <w:rPr>
          <w:rStyle w:val="Emphasis"/>
          <w:i w:val="0"/>
          <w:sz w:val="24"/>
          <w:shd w:val="clear" w:color="auto" w:fill="FFFFFF"/>
          <w:lang w:val="lt-LT"/>
        </w:rPr>
        <w:t>OL C 433, 2019 12 23, p. 66.</w:t>
      </w:r>
    </w:p>
  </w:footnote>
  <w:footnote w:id="2">
    <w:p w:rsidR="00AC7438" w:rsidRPr="00EC1058" w:rsidRDefault="00AC7438" w:rsidP="00EC1058">
      <w:pPr>
        <w:pStyle w:val="FootnoteText"/>
        <w:ind w:left="567" w:hanging="567"/>
        <w:rPr>
          <w:sz w:val="24"/>
          <w:lang w:val="lt-LT"/>
        </w:rPr>
      </w:pPr>
      <w:r w:rsidRPr="00EC1058">
        <w:rPr>
          <w:rStyle w:val="FootnoteReference"/>
          <w:sz w:val="24"/>
          <w:lang w:val="lt-LT"/>
        </w:rPr>
        <w:footnoteRef/>
      </w:r>
      <w:r w:rsidR="00EC1058" w:rsidRPr="00EC1058">
        <w:rPr>
          <w:rStyle w:val="Emphasis"/>
          <w:sz w:val="24"/>
          <w:shd w:val="clear" w:color="auto" w:fill="FFFFFF"/>
          <w:lang w:val="lt-LT"/>
        </w:rPr>
        <w:t xml:space="preserve"> </w:t>
      </w:r>
      <w:r w:rsidR="00EC1058" w:rsidRPr="00EC1058">
        <w:rPr>
          <w:rStyle w:val="Emphasis"/>
          <w:sz w:val="24"/>
          <w:shd w:val="clear" w:color="auto" w:fill="FFFFFF"/>
          <w:lang w:val="lt-LT"/>
        </w:rPr>
        <w:tab/>
      </w:r>
      <w:r w:rsidRPr="00FF6840">
        <w:rPr>
          <w:rStyle w:val="Emphasis"/>
          <w:i w:val="0"/>
          <w:sz w:val="24"/>
          <w:shd w:val="clear" w:color="auto" w:fill="FFFFFF"/>
          <w:lang w:val="lt-LT"/>
        </w:rPr>
        <w:t>OL L 433</w:t>
      </w:r>
      <w:r w:rsidR="009749BE" w:rsidRPr="00FF6840">
        <w:rPr>
          <w:rStyle w:val="Emphasis"/>
          <w:i w:val="0"/>
          <w:sz w:val="24"/>
          <w:shd w:val="clear" w:color="auto" w:fill="FFFFFF"/>
          <w:lang w:val="lt-LT"/>
        </w:rPr>
        <w:t> </w:t>
      </w:r>
      <w:bookmarkStart w:id="7" w:name="_GoBack"/>
      <w:bookmarkEnd w:id="7"/>
      <w:r w:rsidRPr="00FF6840">
        <w:rPr>
          <w:rStyle w:val="Emphasis"/>
          <w:i w:val="0"/>
          <w:sz w:val="24"/>
          <w:shd w:val="clear" w:color="auto" w:fill="FFFFFF"/>
          <w:lang w:val="lt-LT"/>
        </w:rPr>
        <w:t>I, 2020 12 22, p. 1.</w:t>
      </w:r>
    </w:p>
  </w:footnote>
  <w:footnote w:id="3">
    <w:p w:rsidR="00AC7438" w:rsidRPr="00FF6840" w:rsidRDefault="00AC7438" w:rsidP="00EC1058">
      <w:pPr>
        <w:pStyle w:val="FootnoteText"/>
        <w:ind w:left="567" w:hanging="567"/>
        <w:rPr>
          <w:i/>
          <w:sz w:val="24"/>
          <w:lang w:val="lt-LT"/>
        </w:rPr>
      </w:pPr>
      <w:r w:rsidRPr="00EC1058">
        <w:rPr>
          <w:rStyle w:val="FootnoteReference"/>
          <w:sz w:val="24"/>
          <w:lang w:val="lt-LT"/>
        </w:rPr>
        <w:footnoteRef/>
      </w:r>
      <w:r w:rsidR="00EC1058" w:rsidRPr="00EC1058">
        <w:rPr>
          <w:rStyle w:val="Emphasis"/>
          <w:sz w:val="24"/>
          <w:shd w:val="clear" w:color="auto" w:fill="FFFFFF"/>
          <w:lang w:val="lt-LT"/>
        </w:rPr>
        <w:t xml:space="preserve"> </w:t>
      </w:r>
      <w:r w:rsidR="00EC1058" w:rsidRPr="00EC1058">
        <w:rPr>
          <w:rStyle w:val="Emphasis"/>
          <w:sz w:val="24"/>
          <w:shd w:val="clear" w:color="auto" w:fill="FFFFFF"/>
          <w:lang w:val="lt-LT"/>
        </w:rPr>
        <w:tab/>
      </w:r>
      <w:r w:rsidRPr="00FF6840">
        <w:rPr>
          <w:rStyle w:val="Emphasis"/>
          <w:i w:val="0"/>
          <w:sz w:val="24"/>
          <w:shd w:val="clear" w:color="auto" w:fill="FFFFFF"/>
          <w:lang w:val="lt-LT"/>
        </w:rPr>
        <w:t>OL C 125, 2023 4 5, p. 463.</w:t>
      </w:r>
    </w:p>
  </w:footnote>
  <w:footnote w:id="4">
    <w:p w:rsidR="00AC7438" w:rsidRPr="00FF6840" w:rsidRDefault="00AC7438" w:rsidP="00EC1058">
      <w:pPr>
        <w:pStyle w:val="FootnoteText"/>
        <w:ind w:left="567" w:hanging="567"/>
        <w:rPr>
          <w:i/>
          <w:sz w:val="24"/>
          <w:lang w:val="lt-LT"/>
        </w:rPr>
      </w:pPr>
      <w:r w:rsidRPr="00EC1058">
        <w:rPr>
          <w:rStyle w:val="FootnoteReference"/>
          <w:sz w:val="24"/>
          <w:lang w:val="lt-LT"/>
        </w:rPr>
        <w:footnoteRef/>
      </w:r>
      <w:r w:rsidR="00EC1058" w:rsidRPr="00EC1058">
        <w:rPr>
          <w:rStyle w:val="Emphasis"/>
          <w:sz w:val="24"/>
          <w:shd w:val="clear" w:color="auto" w:fill="FFFFFF"/>
          <w:lang w:val="lt-LT"/>
        </w:rPr>
        <w:t xml:space="preserve"> </w:t>
      </w:r>
      <w:r w:rsidR="00EC1058" w:rsidRPr="00EC1058">
        <w:rPr>
          <w:rStyle w:val="Emphasis"/>
          <w:sz w:val="24"/>
          <w:shd w:val="clear" w:color="auto" w:fill="FFFFFF"/>
          <w:lang w:val="lt-LT"/>
        </w:rPr>
        <w:tab/>
      </w:r>
      <w:r w:rsidRPr="00FF6840">
        <w:rPr>
          <w:rStyle w:val="Emphasis"/>
          <w:i w:val="0"/>
          <w:sz w:val="24"/>
          <w:shd w:val="clear" w:color="auto" w:fill="FFFFFF"/>
          <w:lang w:val="lt-LT"/>
        </w:rPr>
        <w:t>OL C 167, 2023 5 11, p. 74.</w:t>
      </w:r>
    </w:p>
  </w:footnote>
  <w:footnote w:id="5">
    <w:p w:rsidR="00AC7438" w:rsidRPr="00EC1058" w:rsidRDefault="00AC7438" w:rsidP="00FF6840">
      <w:pPr>
        <w:pStyle w:val="FootnoteText"/>
        <w:ind w:left="567" w:right="-2" w:hanging="567"/>
        <w:rPr>
          <w:sz w:val="24"/>
          <w:lang w:val="lt-LT"/>
        </w:rPr>
      </w:pPr>
      <w:r w:rsidRPr="00EC1058">
        <w:rPr>
          <w:rStyle w:val="FootnoteReference"/>
          <w:sz w:val="24"/>
          <w:lang w:val="lt-LT"/>
        </w:rPr>
        <w:footnoteRef/>
      </w:r>
      <w:r w:rsidR="00EC1058" w:rsidRPr="00EC1058">
        <w:rPr>
          <w:rStyle w:val="Emphasis"/>
          <w:sz w:val="24"/>
          <w:shd w:val="clear" w:color="auto" w:fill="FFFFFF"/>
          <w:lang w:val="lt-LT"/>
        </w:rPr>
        <w:t xml:space="preserve"> </w:t>
      </w:r>
      <w:r w:rsidR="00EC1058" w:rsidRPr="00EC1058">
        <w:rPr>
          <w:rStyle w:val="Emphasis"/>
          <w:sz w:val="24"/>
          <w:shd w:val="clear" w:color="auto" w:fill="FFFFFF"/>
          <w:lang w:val="lt-LT"/>
        </w:rPr>
        <w:tab/>
      </w:r>
      <w:r w:rsidRPr="00FF6840">
        <w:rPr>
          <w:rStyle w:val="Emphasis"/>
          <w:i w:val="0"/>
          <w:sz w:val="24"/>
          <w:shd w:val="clear" w:color="auto" w:fill="FFFFFF"/>
          <w:lang w:val="lt-LT"/>
        </w:rPr>
        <w:t>OL C, C/2023/1223, 2023 12 21,</w:t>
      </w:r>
      <w:r w:rsidR="00FF6840">
        <w:rPr>
          <w:rStyle w:val="Emphasis"/>
          <w:i w:val="0"/>
          <w:sz w:val="24"/>
          <w:shd w:val="clear" w:color="auto" w:fill="FFFFFF"/>
          <w:lang w:val="lt-LT"/>
        </w:rPr>
        <w:t xml:space="preserve"> ELI: </w:t>
      </w:r>
      <w:hyperlink r:id="rId1" w:history="1">
        <w:r w:rsidR="00FF6840">
          <w:rPr>
            <w:rStyle w:val="Hyperlink"/>
            <w:sz w:val="24"/>
            <w:shd w:val="clear" w:color="auto" w:fill="FFFFFF"/>
            <w:lang w:val="lt-LT"/>
          </w:rPr>
          <w:t>https://eur-lex.europa.eu/eli/C/2023/1223/oj?locale=lt</w:t>
        </w:r>
      </w:hyperlink>
      <w:r w:rsidRPr="00EC1058">
        <w:rPr>
          <w:rStyle w:val="Emphasis"/>
          <w:sz w:val="24"/>
          <w:shd w:val="clear" w:color="auto" w:fill="FFFFFF"/>
          <w:lang w:val="lt-LT"/>
        </w:rPr>
        <w:t>.</w:t>
      </w:r>
    </w:p>
  </w:footnote>
  <w:footnote w:id="6">
    <w:p w:rsidR="00AC7438" w:rsidRPr="00EC1058" w:rsidRDefault="00AC7438" w:rsidP="00EC1058">
      <w:pPr>
        <w:pStyle w:val="FootnoteText"/>
        <w:ind w:left="567" w:hanging="567"/>
        <w:rPr>
          <w:sz w:val="24"/>
          <w:lang w:val="lt-LT"/>
        </w:rPr>
      </w:pPr>
      <w:r w:rsidRPr="00EC1058">
        <w:rPr>
          <w:rStyle w:val="FootnoteReference"/>
          <w:sz w:val="24"/>
          <w:lang w:val="lt-LT"/>
        </w:rPr>
        <w:footnoteRef/>
      </w:r>
      <w:r w:rsidR="00EC1058" w:rsidRPr="00EC1058">
        <w:rPr>
          <w:sz w:val="24"/>
          <w:lang w:val="lt-LT"/>
        </w:rPr>
        <w:t xml:space="preserve"> </w:t>
      </w:r>
      <w:r w:rsidR="00EC1058" w:rsidRPr="00EC1058">
        <w:rPr>
          <w:sz w:val="24"/>
          <w:lang w:val="lt-LT"/>
        </w:rPr>
        <w:tab/>
      </w:r>
      <w:r w:rsidRPr="00EC1058">
        <w:rPr>
          <w:sz w:val="24"/>
          <w:lang w:val="lt-LT"/>
        </w:rPr>
        <w:t>Priimti tekstai, P9_TA(2024)0053.</w:t>
      </w:r>
    </w:p>
  </w:footnote>
  <w:footnote w:id="7">
    <w:p w:rsidR="00AC7438" w:rsidRPr="00EC1058" w:rsidRDefault="00AC7438" w:rsidP="00EC1058">
      <w:pPr>
        <w:pStyle w:val="FootnoteText"/>
        <w:ind w:left="567" w:hanging="567"/>
        <w:rPr>
          <w:sz w:val="24"/>
          <w:lang w:val="lt-LT"/>
        </w:rPr>
      </w:pPr>
      <w:r w:rsidRPr="00EC1058">
        <w:rPr>
          <w:rStyle w:val="FootnoteReference"/>
          <w:sz w:val="24"/>
          <w:lang w:val="lt-LT"/>
        </w:rPr>
        <w:footnoteRef/>
      </w:r>
      <w:r w:rsidR="00EC1058" w:rsidRPr="00EC1058">
        <w:rPr>
          <w:sz w:val="24"/>
          <w:lang w:val="lt-LT"/>
        </w:rPr>
        <w:t xml:space="preserve"> </w:t>
      </w:r>
      <w:r w:rsidR="00EC1058" w:rsidRPr="00EC1058">
        <w:rPr>
          <w:sz w:val="24"/>
          <w:lang w:val="lt-LT"/>
        </w:rPr>
        <w:tab/>
      </w:r>
      <w:r w:rsidRPr="00EC1058">
        <w:rPr>
          <w:sz w:val="24"/>
          <w:lang w:val="lt-LT"/>
        </w:rPr>
        <w:t xml:space="preserve">2023 m. birželio 22 d. Teisingumo Teismo sprendimas byloje </w:t>
      </w:r>
      <w:r w:rsidRPr="00EC1058">
        <w:rPr>
          <w:i/>
          <w:sz w:val="24"/>
          <w:lang w:val="lt-LT"/>
        </w:rPr>
        <w:t>Komisija</w:t>
      </w:r>
      <w:r w:rsidRPr="00EC1058">
        <w:rPr>
          <w:sz w:val="24"/>
          <w:lang w:val="lt-LT"/>
        </w:rPr>
        <w:t> / </w:t>
      </w:r>
      <w:r w:rsidRPr="00EC1058">
        <w:rPr>
          <w:i/>
          <w:sz w:val="24"/>
          <w:lang w:val="lt-LT"/>
        </w:rPr>
        <w:t>Vengrija</w:t>
      </w:r>
      <w:r w:rsidRPr="00EC1058">
        <w:rPr>
          <w:sz w:val="24"/>
          <w:lang w:val="lt-LT"/>
        </w:rPr>
        <w:t>, C-823/21, ECLI:EU:C:2023:504.</w:t>
      </w:r>
    </w:p>
  </w:footnote>
  <w:footnote w:id="8">
    <w:p w:rsidR="00AC7438" w:rsidRPr="00EC1058" w:rsidRDefault="00AC7438" w:rsidP="00EC1058">
      <w:pPr>
        <w:pStyle w:val="FootnoteText"/>
        <w:ind w:left="567" w:hanging="567"/>
        <w:rPr>
          <w:sz w:val="24"/>
          <w:lang w:val="lt-LT"/>
        </w:rPr>
      </w:pPr>
      <w:r w:rsidRPr="00EC1058">
        <w:rPr>
          <w:rStyle w:val="FootnoteReference"/>
          <w:sz w:val="24"/>
          <w:lang w:val="lt-LT"/>
        </w:rPr>
        <w:footnoteRef/>
      </w:r>
      <w:r w:rsidR="00EC1058" w:rsidRPr="00EC1058">
        <w:rPr>
          <w:sz w:val="24"/>
          <w:lang w:val="lt-LT"/>
        </w:rPr>
        <w:t xml:space="preserve"> </w:t>
      </w:r>
      <w:r w:rsidR="00EC1058" w:rsidRPr="00EC1058">
        <w:rPr>
          <w:sz w:val="24"/>
          <w:lang w:val="lt-LT"/>
        </w:rPr>
        <w:tab/>
      </w:r>
      <w:r w:rsidRPr="00EC1058">
        <w:rPr>
          <w:sz w:val="24"/>
          <w:lang w:val="lt-LT"/>
        </w:rPr>
        <w:t xml:space="preserve">2016 m. sausio 12 d. EŽTT sprendimas, kuris tapo galutinis 2016 m. birželio 6 d., byloje </w:t>
      </w:r>
      <w:proofErr w:type="spellStart"/>
      <w:r w:rsidRPr="00EC1058">
        <w:rPr>
          <w:i/>
          <w:sz w:val="24"/>
          <w:lang w:val="lt-LT"/>
        </w:rPr>
        <w:t>Szabó</w:t>
      </w:r>
      <w:proofErr w:type="spellEnd"/>
      <w:r w:rsidRPr="00EC1058">
        <w:rPr>
          <w:i/>
          <w:sz w:val="24"/>
          <w:lang w:val="lt-LT"/>
        </w:rPr>
        <w:t xml:space="preserve"> ir </w:t>
      </w:r>
      <w:proofErr w:type="spellStart"/>
      <w:r w:rsidRPr="00EC1058">
        <w:rPr>
          <w:i/>
          <w:sz w:val="24"/>
          <w:lang w:val="lt-LT"/>
        </w:rPr>
        <w:t>Vissy</w:t>
      </w:r>
      <w:proofErr w:type="spellEnd"/>
      <w:r w:rsidRPr="00EC1058">
        <w:rPr>
          <w:i/>
          <w:sz w:val="24"/>
          <w:lang w:val="lt-LT"/>
        </w:rPr>
        <w:t xml:space="preserve"> </w:t>
      </w:r>
      <w:r w:rsidRPr="00EC1058">
        <w:rPr>
          <w:sz w:val="24"/>
          <w:lang w:val="lt-LT"/>
        </w:rPr>
        <w:t>prieš</w:t>
      </w:r>
      <w:r w:rsidRPr="00EC1058">
        <w:rPr>
          <w:i/>
          <w:sz w:val="24"/>
          <w:lang w:val="lt-LT"/>
        </w:rPr>
        <w:t xml:space="preserve"> Vengriją</w:t>
      </w:r>
      <w:r w:rsidRPr="00EC1058">
        <w:rPr>
          <w:sz w:val="24"/>
          <w:lang w:val="lt-LT"/>
        </w:rPr>
        <w:t>, 37148/14.</w:t>
      </w:r>
    </w:p>
  </w:footnote>
  <w:footnote w:id="9">
    <w:p w:rsidR="00AC7438" w:rsidRPr="00EC1058" w:rsidRDefault="00AC7438" w:rsidP="00EC1058">
      <w:pPr>
        <w:pStyle w:val="FootnoteText"/>
        <w:ind w:left="567" w:hanging="567"/>
        <w:rPr>
          <w:sz w:val="24"/>
          <w:lang w:val="lt-LT"/>
        </w:rPr>
      </w:pPr>
      <w:r w:rsidRPr="00EC1058">
        <w:rPr>
          <w:rStyle w:val="FootnoteReference"/>
          <w:sz w:val="24"/>
          <w:lang w:val="lt-LT"/>
        </w:rPr>
        <w:footnoteRef/>
      </w:r>
      <w:r w:rsidR="00EC1058" w:rsidRPr="00EC1058">
        <w:rPr>
          <w:sz w:val="24"/>
          <w:lang w:val="lt-LT"/>
        </w:rPr>
        <w:t xml:space="preserve"> </w:t>
      </w:r>
      <w:r w:rsidR="00EC1058" w:rsidRPr="00EC1058">
        <w:rPr>
          <w:sz w:val="24"/>
          <w:lang w:val="lt-LT"/>
        </w:rPr>
        <w:tab/>
      </w:r>
      <w:r w:rsidRPr="00EC1058">
        <w:rPr>
          <w:sz w:val="24"/>
          <w:lang w:val="lt-LT"/>
        </w:rPr>
        <w:t xml:space="preserve">2016 m. liepos 16 d. EŽTT sprendimas, kuris tapo galutinis 2015 m. spalio 16 d., byloje </w:t>
      </w:r>
      <w:proofErr w:type="spellStart"/>
      <w:r w:rsidRPr="00EC1058">
        <w:rPr>
          <w:i/>
          <w:sz w:val="24"/>
          <w:lang w:val="lt-LT"/>
        </w:rPr>
        <w:t>Gazsó</w:t>
      </w:r>
      <w:proofErr w:type="spellEnd"/>
      <w:r w:rsidRPr="00EC1058">
        <w:rPr>
          <w:i/>
          <w:sz w:val="24"/>
          <w:lang w:val="lt-LT"/>
        </w:rPr>
        <w:t xml:space="preserve"> </w:t>
      </w:r>
      <w:r w:rsidRPr="00EC1058">
        <w:rPr>
          <w:sz w:val="24"/>
          <w:lang w:val="lt-LT"/>
        </w:rPr>
        <w:t>prieš</w:t>
      </w:r>
      <w:r w:rsidRPr="00EC1058">
        <w:rPr>
          <w:i/>
          <w:sz w:val="24"/>
          <w:lang w:val="lt-LT"/>
        </w:rPr>
        <w:t xml:space="preserve"> Vengriją</w:t>
      </w:r>
      <w:r w:rsidRPr="00EC1058">
        <w:rPr>
          <w:sz w:val="24"/>
          <w:lang w:val="lt-LT"/>
        </w:rPr>
        <w:t>, 48322/12.</w:t>
      </w:r>
    </w:p>
  </w:footnote>
  <w:footnote w:id="10">
    <w:p w:rsidR="00AC7438" w:rsidRPr="00EC1058" w:rsidRDefault="00AC7438" w:rsidP="00EC1058">
      <w:pPr>
        <w:pStyle w:val="FootnoteText"/>
        <w:ind w:left="567" w:hanging="567"/>
        <w:rPr>
          <w:sz w:val="24"/>
          <w:lang w:val="lt-LT"/>
        </w:rPr>
      </w:pPr>
      <w:r w:rsidRPr="00EC1058">
        <w:rPr>
          <w:rStyle w:val="FootnoteReference"/>
          <w:sz w:val="24"/>
          <w:lang w:val="lt-LT"/>
        </w:rPr>
        <w:footnoteRef/>
      </w:r>
      <w:r w:rsidR="00EC1058" w:rsidRPr="00EC1058">
        <w:rPr>
          <w:sz w:val="24"/>
          <w:lang w:val="lt-LT"/>
        </w:rPr>
        <w:t xml:space="preserve"> </w:t>
      </w:r>
      <w:r w:rsidR="00EC1058" w:rsidRPr="00EC1058">
        <w:rPr>
          <w:sz w:val="24"/>
          <w:lang w:val="lt-LT"/>
        </w:rPr>
        <w:tab/>
      </w:r>
      <w:r w:rsidRPr="00EC1058">
        <w:rPr>
          <w:sz w:val="24"/>
          <w:lang w:val="lt-LT"/>
        </w:rPr>
        <w:t xml:space="preserve">2017 m. kovo 14 d. EŽTT sprendimas byloje </w:t>
      </w:r>
      <w:proofErr w:type="spellStart"/>
      <w:r w:rsidRPr="00EC1058">
        <w:rPr>
          <w:i/>
          <w:sz w:val="24"/>
          <w:lang w:val="lt-LT"/>
        </w:rPr>
        <w:t>Ilias</w:t>
      </w:r>
      <w:proofErr w:type="spellEnd"/>
      <w:r w:rsidRPr="00EC1058">
        <w:rPr>
          <w:i/>
          <w:sz w:val="24"/>
          <w:lang w:val="lt-LT"/>
        </w:rPr>
        <w:t xml:space="preserve"> ir </w:t>
      </w:r>
      <w:proofErr w:type="spellStart"/>
      <w:r w:rsidRPr="00EC1058">
        <w:rPr>
          <w:i/>
          <w:sz w:val="24"/>
          <w:lang w:val="lt-LT"/>
        </w:rPr>
        <w:t>Ahmed</w:t>
      </w:r>
      <w:proofErr w:type="spellEnd"/>
      <w:r w:rsidRPr="00EC1058">
        <w:rPr>
          <w:i/>
          <w:sz w:val="24"/>
          <w:lang w:val="lt-LT"/>
        </w:rPr>
        <w:t xml:space="preserve"> </w:t>
      </w:r>
      <w:r w:rsidRPr="00EC1058">
        <w:rPr>
          <w:sz w:val="24"/>
          <w:lang w:val="lt-LT"/>
        </w:rPr>
        <w:t>prieš</w:t>
      </w:r>
      <w:r w:rsidRPr="00EC1058">
        <w:rPr>
          <w:i/>
          <w:sz w:val="24"/>
          <w:lang w:val="lt-LT"/>
        </w:rPr>
        <w:t xml:space="preserve"> Vengriją</w:t>
      </w:r>
      <w:r w:rsidRPr="00EC1058">
        <w:rPr>
          <w:sz w:val="24"/>
          <w:lang w:val="lt-LT"/>
        </w:rPr>
        <w:t>, 47287/15.</w:t>
      </w:r>
    </w:p>
  </w:footnote>
  <w:footnote w:id="11">
    <w:p w:rsidR="00AC7438" w:rsidRPr="00EC1058" w:rsidRDefault="00AC7438" w:rsidP="00EC1058">
      <w:pPr>
        <w:pStyle w:val="FootnoteText"/>
        <w:ind w:left="567" w:hanging="567"/>
        <w:rPr>
          <w:sz w:val="24"/>
          <w:lang w:val="lt-LT"/>
        </w:rPr>
      </w:pPr>
      <w:r w:rsidRPr="00EC1058">
        <w:rPr>
          <w:rStyle w:val="FootnoteReference"/>
          <w:sz w:val="24"/>
          <w:lang w:val="lt-LT"/>
        </w:rPr>
        <w:footnoteRef/>
      </w:r>
      <w:r w:rsidR="00EC1058" w:rsidRPr="00EC1058">
        <w:rPr>
          <w:sz w:val="24"/>
          <w:lang w:val="lt-LT"/>
        </w:rPr>
        <w:t xml:space="preserve"> </w:t>
      </w:r>
      <w:r w:rsidR="00EC1058" w:rsidRPr="00EC1058">
        <w:rPr>
          <w:sz w:val="24"/>
          <w:lang w:val="lt-LT"/>
        </w:rPr>
        <w:tab/>
      </w:r>
      <w:r w:rsidRPr="00EC1058">
        <w:rPr>
          <w:sz w:val="24"/>
          <w:lang w:val="lt-LT"/>
        </w:rPr>
        <w:t xml:space="preserve">2016 m. birželio 23 d. EŽTT sprendimas byloje </w:t>
      </w:r>
      <w:proofErr w:type="spellStart"/>
      <w:r w:rsidRPr="00EC1058">
        <w:rPr>
          <w:i/>
          <w:sz w:val="24"/>
          <w:lang w:val="lt-LT"/>
        </w:rPr>
        <w:t>Baka</w:t>
      </w:r>
      <w:proofErr w:type="spellEnd"/>
      <w:r w:rsidRPr="00EC1058">
        <w:rPr>
          <w:i/>
          <w:sz w:val="24"/>
          <w:lang w:val="lt-LT"/>
        </w:rPr>
        <w:t xml:space="preserve"> </w:t>
      </w:r>
      <w:r w:rsidRPr="00EC1058">
        <w:rPr>
          <w:sz w:val="24"/>
          <w:lang w:val="lt-LT"/>
        </w:rPr>
        <w:t>prieš</w:t>
      </w:r>
      <w:r w:rsidRPr="00EC1058">
        <w:rPr>
          <w:i/>
          <w:sz w:val="24"/>
          <w:lang w:val="lt-LT"/>
        </w:rPr>
        <w:t xml:space="preserve"> Vengriją</w:t>
      </w:r>
      <w:r w:rsidRPr="00EC1058">
        <w:rPr>
          <w:sz w:val="24"/>
          <w:lang w:val="lt-LT"/>
        </w:rPr>
        <w:t>, 20261/12.</w:t>
      </w:r>
    </w:p>
  </w:footnote>
  <w:footnote w:id="12">
    <w:p w:rsidR="00AC7438" w:rsidRPr="00EC1058" w:rsidRDefault="00AC7438" w:rsidP="00EC1058">
      <w:pPr>
        <w:pStyle w:val="FootnoteText"/>
        <w:ind w:left="567" w:hanging="567"/>
        <w:rPr>
          <w:sz w:val="24"/>
          <w:lang w:val="lt-LT"/>
        </w:rPr>
      </w:pPr>
      <w:r w:rsidRPr="00EC1058">
        <w:rPr>
          <w:rStyle w:val="FootnoteReference"/>
          <w:sz w:val="24"/>
          <w:lang w:val="lt-LT"/>
        </w:rPr>
        <w:footnoteRef/>
      </w:r>
      <w:r w:rsidR="00EC1058" w:rsidRPr="00EC1058">
        <w:rPr>
          <w:sz w:val="24"/>
          <w:shd w:val="clear" w:color="auto" w:fill="FFFFFF"/>
          <w:lang w:val="lt-LT"/>
        </w:rPr>
        <w:t xml:space="preserve"> </w:t>
      </w:r>
      <w:r w:rsidR="00EC1058" w:rsidRPr="00EC1058">
        <w:rPr>
          <w:sz w:val="24"/>
          <w:shd w:val="clear" w:color="auto" w:fill="FFFFFF"/>
          <w:lang w:val="lt-LT"/>
        </w:rPr>
        <w:tab/>
      </w:r>
      <w:r w:rsidRPr="00EC1058">
        <w:rPr>
          <w:sz w:val="24"/>
          <w:shd w:val="clear" w:color="auto" w:fill="FFFFFF"/>
          <w:lang w:val="lt-LT"/>
        </w:rPr>
        <w:t xml:space="preserve">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w:t>
      </w:r>
      <w:r w:rsidR="00FF6840">
        <w:rPr>
          <w:sz w:val="24"/>
          <w:shd w:val="clear" w:color="auto" w:fill="FFFFFF"/>
          <w:lang w:val="lt-LT"/>
        </w:rPr>
        <w:t>(</w:t>
      </w:r>
      <w:r w:rsidRPr="00FF6840">
        <w:rPr>
          <w:rStyle w:val="Emphasis"/>
          <w:i w:val="0"/>
          <w:sz w:val="24"/>
          <w:shd w:val="clear" w:color="auto" w:fill="FFFFFF"/>
          <w:lang w:val="lt-LT"/>
        </w:rPr>
        <w:t>OL L 231, 2021 6 30, p. 159</w:t>
      </w:r>
      <w:r w:rsidR="00FF6840">
        <w:rPr>
          <w:rStyle w:val="Emphasis"/>
          <w:i w:val="0"/>
          <w:sz w:val="24"/>
          <w:shd w:val="clear" w:color="auto" w:fill="FFFFFF"/>
          <w:lang w:val="lt-LT"/>
        </w:rPr>
        <w:t>)</w:t>
      </w:r>
      <w:r w:rsidRPr="00EC1058">
        <w:rPr>
          <w:rStyle w:val="Emphasis"/>
          <w:sz w:val="24"/>
          <w:shd w:val="clear" w:color="auto" w:fill="FFFFFF"/>
          <w:lang w:val="lt-LT"/>
        </w:rPr>
        <w:t>.</w:t>
      </w:r>
    </w:p>
  </w:footnote>
  <w:footnote w:id="13">
    <w:p w:rsidR="00AC7438" w:rsidRPr="00EC1058" w:rsidRDefault="00AC7438" w:rsidP="00FF6840">
      <w:pPr>
        <w:pStyle w:val="title-bold"/>
        <w:shd w:val="clear" w:color="auto" w:fill="FFFFFF"/>
        <w:spacing w:before="0" w:beforeAutospacing="0" w:after="75" w:afterAutospacing="0"/>
        <w:ind w:left="567" w:hanging="567"/>
      </w:pPr>
      <w:r w:rsidRPr="00EC1058">
        <w:rPr>
          <w:rStyle w:val="FootnoteReference"/>
          <w:szCs w:val="20"/>
        </w:rPr>
        <w:footnoteRef/>
      </w:r>
      <w:r w:rsidR="00EC1058" w:rsidRPr="00EC1058">
        <w:t xml:space="preserve"> </w:t>
      </w:r>
      <w:r w:rsidR="00EC1058" w:rsidRPr="00EC1058">
        <w:tab/>
      </w:r>
      <w:r w:rsidRPr="00EC1058">
        <w:t xml:space="preserve">2021 m. vasario 12 d. Europos Parlamento ir Tarybos reglamentas (ES) 2021/241, kuriuo nustatoma ekonomikos gaivinimo ir atsparumo didinimo priemonė </w:t>
      </w:r>
      <w:r w:rsidR="00FF6840">
        <w:t>(</w:t>
      </w:r>
      <w:r w:rsidRPr="00FF6840">
        <w:rPr>
          <w:rStyle w:val="Emphasis"/>
          <w:i w:val="0"/>
        </w:rPr>
        <w:t>OL L 57, 2021 2 18, p. 17</w:t>
      </w:r>
      <w:r w:rsidR="00FF6840">
        <w:rPr>
          <w:rStyle w:val="Emphasis"/>
          <w:i w:val="0"/>
        </w:rPr>
        <w:t>)</w:t>
      </w:r>
      <w:r w:rsidRPr="00EC1058">
        <w:rPr>
          <w:rStyle w:val="Emphasi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0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0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0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LT"/>
    <w:docVar w:name="dvnumam" w:val="0"/>
    <w:docVar w:name="dvpe" w:val="760.687"/>
    <w:docVar w:name="dvtitre" w:val="Europos Parlamento rezoliucija dėl pagal ES sutarties 7 straipsnio 1 dalį vykstančių klausymų dėl Vengrijos teisinės valstybės stiprinimo ir susijusio poveikio biudžetui (2024/2683(RSP))"/>
  </w:docVars>
  <w:rsids>
    <w:rsidRoot w:val="0008491D"/>
    <w:rsid w:val="00002272"/>
    <w:rsid w:val="00064002"/>
    <w:rsid w:val="000677B9"/>
    <w:rsid w:val="000831BA"/>
    <w:rsid w:val="0008491D"/>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2C2E"/>
    <w:rsid w:val="00471C19"/>
    <w:rsid w:val="004867E3"/>
    <w:rsid w:val="00494A28"/>
    <w:rsid w:val="004C0004"/>
    <w:rsid w:val="004C5D52"/>
    <w:rsid w:val="0050519A"/>
    <w:rsid w:val="005072A1"/>
    <w:rsid w:val="00514517"/>
    <w:rsid w:val="00545827"/>
    <w:rsid w:val="00560270"/>
    <w:rsid w:val="00563B5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2626"/>
    <w:rsid w:val="00817416"/>
    <w:rsid w:val="00842779"/>
    <w:rsid w:val="00865F67"/>
    <w:rsid w:val="00881A7B"/>
    <w:rsid w:val="008840E5"/>
    <w:rsid w:val="00887B3E"/>
    <w:rsid w:val="008C2AC6"/>
    <w:rsid w:val="0090297D"/>
    <w:rsid w:val="00930C23"/>
    <w:rsid w:val="0093193B"/>
    <w:rsid w:val="009509D8"/>
    <w:rsid w:val="00950B64"/>
    <w:rsid w:val="009749BE"/>
    <w:rsid w:val="00981893"/>
    <w:rsid w:val="00A1687D"/>
    <w:rsid w:val="00A3511D"/>
    <w:rsid w:val="00A43E52"/>
    <w:rsid w:val="00A4678D"/>
    <w:rsid w:val="00A778C7"/>
    <w:rsid w:val="00AB441E"/>
    <w:rsid w:val="00AB6293"/>
    <w:rsid w:val="00AC743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058"/>
    <w:rsid w:val="00ED169E"/>
    <w:rsid w:val="00ED4235"/>
    <w:rsid w:val="00F04346"/>
    <w:rsid w:val="00F075DC"/>
    <w:rsid w:val="00F149E9"/>
    <w:rsid w:val="00F5134D"/>
    <w:rsid w:val="00F74202"/>
    <w:rsid w:val="00F87713"/>
    <w:rsid w:val="00FA56B0"/>
    <w:rsid w:val="00FB4360"/>
    <w:rsid w:val="00FD0C70"/>
    <w:rsid w:val="00FF684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0F3563-D428-4209-A90B-092BF07DB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C7438"/>
    <w:pPr>
      <w:spacing w:after="240"/>
      <w:ind w:left="567" w:hanging="567"/>
    </w:pPr>
  </w:style>
  <w:style w:type="character" w:styleId="Emphasis">
    <w:name w:val="Emphasis"/>
    <w:basedOn w:val="DefaultParagraphFont"/>
    <w:uiPriority w:val="20"/>
    <w:qFormat/>
    <w:rsid w:val="00AC7438"/>
    <w:rPr>
      <w:i/>
      <w:iCs/>
    </w:rPr>
  </w:style>
  <w:style w:type="character" w:styleId="Hyperlink">
    <w:name w:val="Hyperlink"/>
    <w:basedOn w:val="DefaultParagraphFont"/>
    <w:uiPriority w:val="99"/>
    <w:unhideWhenUsed/>
    <w:rsid w:val="00AC7438"/>
    <w:rPr>
      <w:color w:val="0000FF"/>
      <w:u w:val="single"/>
    </w:rPr>
  </w:style>
  <w:style w:type="character" w:customStyle="1" w:styleId="textcolumn">
    <w:name w:val="textcolumn"/>
    <w:basedOn w:val="DefaultParagraphFont"/>
    <w:rsid w:val="00AC7438"/>
  </w:style>
  <w:style w:type="paragraph" w:customStyle="1" w:styleId="title-bold">
    <w:name w:val="title-bold"/>
    <w:basedOn w:val="Normal"/>
    <w:rsid w:val="00AC7438"/>
    <w:pPr>
      <w:widowControl/>
      <w:spacing w:before="100" w:beforeAutospacing="1" w:after="100" w:afterAutospacing="1"/>
    </w:pPr>
    <w:rPr>
      <w:szCs w:val="24"/>
    </w:rPr>
  </w:style>
  <w:style w:type="character" w:styleId="FollowedHyperlink">
    <w:name w:val="FollowedHyperlink"/>
    <w:basedOn w:val="DefaultParagraphFont"/>
    <w:rsid w:val="00FF6840"/>
    <w:rPr>
      <w:color w:val="954F72" w:themeColor="followedHyperlink"/>
      <w:u w:val="single"/>
    </w:rPr>
  </w:style>
  <w:style w:type="paragraph" w:styleId="BalloonText">
    <w:name w:val="Balloon Text"/>
    <w:basedOn w:val="Normal"/>
    <w:link w:val="BalloonTextChar"/>
    <w:rsid w:val="00A3511D"/>
    <w:rPr>
      <w:rFonts w:ascii="Segoe UI" w:hAnsi="Segoe UI" w:cs="Segoe UI"/>
      <w:sz w:val="18"/>
      <w:szCs w:val="18"/>
    </w:rPr>
  </w:style>
  <w:style w:type="character" w:customStyle="1" w:styleId="BalloonTextChar">
    <w:name w:val="Balloon Text Char"/>
    <w:basedOn w:val="DefaultParagraphFont"/>
    <w:link w:val="BalloonText"/>
    <w:rsid w:val="00A3511D"/>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1223/oj?loc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F0542-7E20-4DFB-B99B-9E49DC5DA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4367</Words>
  <Characters>26202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2024-06-13T12:49:00Z</dcterms:created>
  <dcterms:modified xsi:type="dcterms:W3CDTF">2024-10-16T12:14:00Z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B9-0223/2024</vt:lpwstr>
  </property>
  <property fmtid="{D5CDD505-2E9C-101B-9397-08002B2CF9AE}" pid="4" name="&lt;Type&gt;">
    <vt:lpwstr>RR</vt:lpwstr>
  </property>
</Properties>
</file>