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0728" w:rsidTr="0010095E">
        <w:trPr>
          <w:trHeight w:hRule="exact" w:val="1418"/>
        </w:trPr>
        <w:tc>
          <w:tcPr>
            <w:tcW w:w="6804" w:type="dxa"/>
            <w:shd w:val="clear" w:color="auto" w:fill="auto"/>
            <w:vAlign w:val="center"/>
          </w:tcPr>
          <w:p w:rsidR="00751A4A" w:rsidRPr="00110728" w:rsidRDefault="0079722A" w:rsidP="0010095E">
            <w:pPr>
              <w:pStyle w:val="EPName"/>
            </w:pPr>
            <w:bookmarkStart w:id="0" w:name="_GoBack"/>
            <w:bookmarkEnd w:id="0"/>
            <w:r w:rsidRPr="00110728">
              <w:t>Eiropas Parlaments</w:t>
            </w:r>
          </w:p>
          <w:p w:rsidR="00751A4A" w:rsidRPr="00110728" w:rsidRDefault="00817416" w:rsidP="00756632">
            <w:pPr>
              <w:pStyle w:val="EPTerm"/>
              <w:rPr>
                <w:rStyle w:val="HideTWBExt"/>
                <w:noProof w:val="0"/>
                <w:vanish w:val="0"/>
                <w:color w:val="auto"/>
              </w:rPr>
            </w:pPr>
            <w:r w:rsidRPr="00110728">
              <w:t>2019-2024</w:t>
            </w:r>
          </w:p>
        </w:tc>
        <w:tc>
          <w:tcPr>
            <w:tcW w:w="2268" w:type="dxa"/>
            <w:shd w:val="clear" w:color="auto" w:fill="auto"/>
          </w:tcPr>
          <w:p w:rsidR="00751A4A" w:rsidRPr="00110728" w:rsidRDefault="00187494" w:rsidP="0010095E">
            <w:pPr>
              <w:pStyle w:val="EPLogo"/>
            </w:pPr>
            <w:r w:rsidRPr="0011072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10728" w:rsidRDefault="00D058B8" w:rsidP="004C5D52">
      <w:pPr>
        <w:pStyle w:val="LineTop"/>
      </w:pPr>
    </w:p>
    <w:p w:rsidR="00680577" w:rsidRPr="00110728" w:rsidRDefault="0079722A" w:rsidP="00680577">
      <w:pPr>
        <w:pStyle w:val="EPBodyTA1"/>
      </w:pPr>
      <w:r w:rsidRPr="00110728">
        <w:t>PIEŅEMTIE TEKSTI</w:t>
      </w:r>
    </w:p>
    <w:p w:rsidR="00D058B8" w:rsidRPr="00110728" w:rsidRDefault="00D058B8" w:rsidP="00D058B8">
      <w:pPr>
        <w:pStyle w:val="LineBottom"/>
      </w:pPr>
    </w:p>
    <w:p w:rsidR="0079722A" w:rsidRPr="00110728" w:rsidRDefault="0079722A" w:rsidP="0079722A">
      <w:pPr>
        <w:pStyle w:val="ATHeading1"/>
      </w:pPr>
      <w:bookmarkStart w:id="1" w:name="TANumber"/>
      <w:r w:rsidRPr="00110728">
        <w:t>P9_TA(2024)0</w:t>
      </w:r>
      <w:bookmarkEnd w:id="1"/>
      <w:r w:rsidR="008B547C">
        <w:t>367</w:t>
      </w:r>
    </w:p>
    <w:p w:rsidR="0079722A" w:rsidRPr="00110728" w:rsidRDefault="0079722A" w:rsidP="0079722A">
      <w:pPr>
        <w:pStyle w:val="ATHeading2"/>
      </w:pPr>
      <w:bookmarkStart w:id="2" w:name="title"/>
      <w:r w:rsidRPr="00110728">
        <w:t>Uzklausīšanas, kas saskaņā ar LES 7. panta 1. punktu turpinās attiecībā uz Ungāriju par tiesiskuma</w:t>
      </w:r>
      <w:r w:rsidR="00E37FAF">
        <w:t xml:space="preserve"> </w:t>
      </w:r>
      <w:r w:rsidRPr="00110728">
        <w:t>stiprināšanu un attiecīgo ietekmi uz budžetu</w:t>
      </w:r>
      <w:bookmarkEnd w:id="2"/>
    </w:p>
    <w:p w:rsidR="0079722A" w:rsidRPr="00110728" w:rsidRDefault="0079722A" w:rsidP="0079722A">
      <w:pPr>
        <w:rPr>
          <w:i/>
          <w:vanish/>
        </w:rPr>
      </w:pPr>
      <w:r w:rsidRPr="00110728">
        <w:rPr>
          <w:i/>
        </w:rPr>
        <w:fldChar w:fldCharType="begin"/>
      </w:r>
      <w:r w:rsidRPr="00110728">
        <w:rPr>
          <w:i/>
        </w:rPr>
        <w:instrText xml:space="preserve"> TC"(</w:instrText>
      </w:r>
      <w:bookmarkStart w:id="3" w:name="DocNumber"/>
      <w:r w:rsidRPr="00110728">
        <w:rPr>
          <w:i/>
        </w:rPr>
        <w:instrText>B9-0223/2024</w:instrText>
      </w:r>
      <w:bookmarkEnd w:id="3"/>
      <w:r w:rsidRPr="00110728">
        <w:rPr>
          <w:i/>
        </w:rPr>
        <w:instrText xml:space="preserve">)"\l3 \n&gt; \* MERGEFORMAT </w:instrText>
      </w:r>
      <w:r w:rsidRPr="00110728">
        <w:rPr>
          <w:i/>
        </w:rPr>
        <w:fldChar w:fldCharType="end"/>
      </w:r>
    </w:p>
    <w:p w:rsidR="0079722A" w:rsidRPr="00110728" w:rsidRDefault="0079722A" w:rsidP="0079722A">
      <w:pPr>
        <w:rPr>
          <w:vanish/>
        </w:rPr>
      </w:pPr>
      <w:bookmarkStart w:id="4" w:name="PE"/>
      <w:r w:rsidRPr="00110728">
        <w:rPr>
          <w:vanish/>
        </w:rPr>
        <w:t>PE760.687</w:t>
      </w:r>
      <w:bookmarkEnd w:id="4"/>
    </w:p>
    <w:p w:rsidR="0079722A" w:rsidRPr="00110728" w:rsidRDefault="0079722A" w:rsidP="0079722A">
      <w:pPr>
        <w:pStyle w:val="ATHeading3"/>
      </w:pPr>
      <w:bookmarkStart w:id="5" w:name="Sujet"/>
      <w:r w:rsidRPr="00110728">
        <w:t xml:space="preserve">Eiropas Parlamenta 2024. gada </w:t>
      </w:r>
      <w:r w:rsidR="00E37FAF">
        <w:t>24</w:t>
      </w:r>
      <w:r w:rsidRPr="00110728">
        <w:t xml:space="preserve">. </w:t>
      </w:r>
      <w:r w:rsidR="00E37FAF">
        <w:t>aprīļa</w:t>
      </w:r>
      <w:r w:rsidRPr="00110728">
        <w:t xml:space="preserve"> rezolūcija par uzklausīšanām, kas saskaņā ar LES 7. panta 1. punktu turpinās attiecībā uz Ungāriju par tiesiskuma stiprināšanu un attiecīgo ietekmi uz budžetu </w:t>
      </w:r>
      <w:bookmarkEnd w:id="5"/>
      <w:r w:rsidRPr="00110728">
        <w:t xml:space="preserve"> </w:t>
      </w:r>
      <w:bookmarkStart w:id="6" w:name="References"/>
      <w:r w:rsidRPr="00110728">
        <w:t>(2024/2683(RSP))</w:t>
      </w:r>
      <w:bookmarkEnd w:id="6"/>
    </w:p>
    <w:p w:rsidR="00B1409C" w:rsidRPr="00110728" w:rsidRDefault="00B1409C" w:rsidP="00E37FAF">
      <w:pPr>
        <w:pStyle w:val="NormalHanging12a"/>
        <w:ind w:left="0" w:firstLine="0"/>
      </w:pPr>
      <w:bookmarkStart w:id="7" w:name="TextBodyBegin"/>
      <w:bookmarkEnd w:id="7"/>
    </w:p>
    <w:p w:rsidR="00B1409C" w:rsidRPr="00110728" w:rsidRDefault="00B1409C" w:rsidP="00B1409C">
      <w:pPr>
        <w:pStyle w:val="NormalHanging12a"/>
      </w:pPr>
      <w:r w:rsidRPr="00110728">
        <w:rPr>
          <w:i/>
        </w:rPr>
        <w:t>Eiropas Parlaments</w:t>
      </w:r>
      <w:r w:rsidRPr="00110728">
        <w:t>,</w:t>
      </w:r>
    </w:p>
    <w:p w:rsidR="00B1409C" w:rsidRPr="00110728" w:rsidRDefault="00B1409C" w:rsidP="00B1409C">
      <w:pPr>
        <w:pStyle w:val="NormalHanging12a"/>
        <w:rPr>
          <w:szCs w:val="24"/>
        </w:rPr>
      </w:pPr>
      <w:r w:rsidRPr="00110728">
        <w:t>–</w:t>
      </w:r>
      <w:r w:rsidRPr="00110728">
        <w:tab/>
        <w:t>ņemot vērā Līgumu par Eiropas Savienību (LES), jo īpaši tā 2. pantu, 4. panta 3. punktu un 7. panta 1. punktu,</w:t>
      </w:r>
    </w:p>
    <w:p w:rsidR="00B1409C" w:rsidRPr="00110728" w:rsidRDefault="00B1409C" w:rsidP="00B1409C">
      <w:pPr>
        <w:pStyle w:val="NormalHanging12a"/>
        <w:rPr>
          <w:szCs w:val="24"/>
        </w:rPr>
      </w:pPr>
      <w:r w:rsidRPr="00110728">
        <w:t>–</w:t>
      </w:r>
      <w:r w:rsidRPr="00110728">
        <w:tab/>
        <w:t xml:space="preserve">ņemot vērā Eiropas Savienības </w:t>
      </w:r>
      <w:proofErr w:type="spellStart"/>
      <w:r w:rsidRPr="00110728">
        <w:t>Pamattiesību</w:t>
      </w:r>
      <w:proofErr w:type="spellEnd"/>
      <w:r w:rsidRPr="00110728">
        <w:t xml:space="preserve"> hartu (turpmāk tekstā —"Harta"),</w:t>
      </w:r>
    </w:p>
    <w:p w:rsidR="00B1409C" w:rsidRPr="00110728" w:rsidRDefault="00B1409C" w:rsidP="00B1409C">
      <w:pPr>
        <w:pStyle w:val="NormalHanging12a"/>
        <w:rPr>
          <w:szCs w:val="24"/>
        </w:rPr>
      </w:pPr>
      <w:r w:rsidRPr="00110728">
        <w:t>–</w:t>
      </w:r>
      <w:r w:rsidRPr="00110728">
        <w:tab/>
        <w:t>ņemot vērā Eiropas Cilvēktiesību konvenciju un tās protokolus,</w:t>
      </w:r>
    </w:p>
    <w:p w:rsidR="00B1409C" w:rsidRPr="00110728" w:rsidRDefault="00B1409C" w:rsidP="00B1409C">
      <w:pPr>
        <w:pStyle w:val="NormalHanging12a"/>
        <w:rPr>
          <w:szCs w:val="24"/>
        </w:rPr>
      </w:pPr>
      <w:r w:rsidRPr="00110728">
        <w:t>–</w:t>
      </w:r>
      <w:r w:rsidRPr="00110728">
        <w:tab/>
        <w:t>ņemot vērā Vispārējo cilvēktiesību deklarāciju,</w:t>
      </w:r>
    </w:p>
    <w:p w:rsidR="00B1409C" w:rsidRPr="00110728" w:rsidRDefault="00B1409C" w:rsidP="00B1409C">
      <w:pPr>
        <w:pStyle w:val="NormalHanging12a"/>
        <w:rPr>
          <w:szCs w:val="24"/>
        </w:rPr>
      </w:pPr>
      <w:r w:rsidRPr="00110728">
        <w:t>–</w:t>
      </w:r>
      <w:r w:rsidRPr="00110728">
        <w:tab/>
        <w:t>ņemot vērā Apvienoto Nāciju Organizācijas un Eiropas Padomes starptautiskos cilvēktiesību līgumus,</w:t>
      </w:r>
    </w:p>
    <w:p w:rsidR="00B1409C" w:rsidRPr="00110728" w:rsidRDefault="00B1409C" w:rsidP="00B1409C">
      <w:pPr>
        <w:pStyle w:val="NormalHanging12a"/>
        <w:rPr>
          <w:szCs w:val="24"/>
        </w:rPr>
      </w:pPr>
      <w:r w:rsidRPr="00110728">
        <w:t>–</w:t>
      </w:r>
      <w:r w:rsidRPr="00110728">
        <w:tab/>
        <w:t>ņemot vērā tiesiskuma kontrolsarakstu, ko Venēcijas komisija pieņēma savā 106. plenārsesijā Venēcijā 2016. gada 11. un 12. martā,</w:t>
      </w:r>
    </w:p>
    <w:p w:rsidR="00B1409C" w:rsidRPr="00110728" w:rsidRDefault="00B1409C" w:rsidP="00B1409C">
      <w:pPr>
        <w:pStyle w:val="NormalHanging12a"/>
        <w:rPr>
          <w:szCs w:val="24"/>
        </w:rPr>
      </w:pPr>
      <w:r w:rsidRPr="00110728">
        <w:t>–</w:t>
      </w:r>
      <w:r w:rsidRPr="00110728">
        <w:tab/>
        <w:t>ņemot vērā 2018. gada 12. septembra rezolūciju par priekšlikumu, kurā Padome tiek aicināta saskaņā ar Līguma par Eiropas Savienību 7. panta 1. punktu konstatēt, ka ir droša varbūtība, ka Ungārija varētu nopietni pārkāpt vērtības, uz kuru pamata ir dibināta Savienība</w:t>
      </w:r>
      <w:r w:rsidRPr="00110728">
        <w:rPr>
          <w:rStyle w:val="FootnoteReference"/>
          <w:szCs w:val="24"/>
        </w:rPr>
        <w:footnoteReference w:id="1"/>
      </w:r>
      <w:r w:rsidRPr="00110728">
        <w:t>,</w:t>
      </w:r>
    </w:p>
    <w:p w:rsidR="00B1409C" w:rsidRPr="00110728" w:rsidRDefault="00B1409C" w:rsidP="00B1409C">
      <w:pPr>
        <w:pStyle w:val="NormalHanging12a"/>
        <w:rPr>
          <w:szCs w:val="24"/>
        </w:rPr>
      </w:pPr>
      <w:r w:rsidRPr="00110728">
        <w:t>–</w:t>
      </w:r>
      <w:r w:rsidRPr="00110728">
        <w:tab/>
        <w:t>ņemot vērā Eiropas Parlamenta un Padomes 2020. gada 16. decembra Regulu (ES, Euratom) 2020/2092 par vispārēju nosacītības režīmu Savienības budžeta aizsardzībai</w:t>
      </w:r>
      <w:r w:rsidRPr="00110728">
        <w:rPr>
          <w:rStyle w:val="FootnoteReference"/>
          <w:szCs w:val="24"/>
        </w:rPr>
        <w:footnoteReference w:id="2"/>
      </w:r>
      <w:r w:rsidRPr="00110728">
        <w:t xml:space="preserve"> (Tiesiskuma regula),</w:t>
      </w:r>
    </w:p>
    <w:p w:rsidR="00B1409C" w:rsidRPr="00110728" w:rsidRDefault="00B1409C" w:rsidP="00B1409C">
      <w:pPr>
        <w:pStyle w:val="NormalHanging12a"/>
        <w:rPr>
          <w:szCs w:val="24"/>
        </w:rPr>
      </w:pPr>
      <w:r w:rsidRPr="00110728">
        <w:t>–</w:t>
      </w:r>
      <w:r w:rsidRPr="00110728">
        <w:tab/>
        <w:t xml:space="preserve">ņemot vērā Komisijas 2023. gada 13. decembra Lēmumu C(2023) 8999 par to, lai pēc Komisijas iniciatīvas sāktu Regulas (ES, </w:t>
      </w:r>
      <w:r w:rsidRPr="0010658D">
        <w:rPr>
          <w:i/>
        </w:rPr>
        <w:t>Euratom</w:t>
      </w:r>
      <w:r w:rsidRPr="00110728">
        <w:t xml:space="preserve">) 2020/2092 4. panta nosacījumu </w:t>
      </w:r>
      <w:r w:rsidRPr="00110728">
        <w:lastRenderedPageBreak/>
        <w:t>izpildes atkārtotu novērtēšanu, pēc tam, kad 2022. gada 15. decembrī tika pieņemts Padomes Īstenošanas lēmums (ES) 2022/2506 attiecībā uz Ungāriju,</w:t>
      </w:r>
    </w:p>
    <w:p w:rsidR="00B1409C" w:rsidRPr="00110728" w:rsidRDefault="00B1409C" w:rsidP="00B1409C">
      <w:pPr>
        <w:pStyle w:val="NormalHanging12a"/>
        <w:rPr>
          <w:szCs w:val="24"/>
        </w:rPr>
      </w:pPr>
      <w:r w:rsidRPr="00110728">
        <w:t>–</w:t>
      </w:r>
      <w:r w:rsidRPr="00110728">
        <w:tab/>
        <w:t>ņemot vērā 2022. gada 15. septembra rezolūciju par priekšlikumu Padomes lēmumam, ar kuru saskaņā ar Līguma par Eiropas Savienību 7. panta 1. punktu tiek konstatēta droša varbūtība, ka Ungārija varētu nopietni pārkāpt vērtības, uz kuru pamata ir dibināta Savienība</w:t>
      </w:r>
      <w:r w:rsidRPr="00110728">
        <w:rPr>
          <w:rStyle w:val="FootnoteReference"/>
          <w:szCs w:val="24"/>
        </w:rPr>
        <w:footnoteReference w:id="3"/>
      </w:r>
      <w:r w:rsidRPr="00110728">
        <w:t>,</w:t>
      </w:r>
    </w:p>
    <w:p w:rsidR="00B1409C" w:rsidRPr="00110728" w:rsidRDefault="00B1409C" w:rsidP="00B1409C">
      <w:pPr>
        <w:pStyle w:val="NormalHanging12a"/>
        <w:rPr>
          <w:szCs w:val="24"/>
        </w:rPr>
      </w:pPr>
      <w:r w:rsidRPr="00110728">
        <w:t>–</w:t>
      </w:r>
      <w:r w:rsidRPr="00110728">
        <w:tab/>
        <w:t>ņemot vērā Parlamenta 2022. gada 24. novembra rezolūciju par stāvokli Komisijas un Ungārijas valdības sarunās saistībā ar Nosacītības regulu un atveseļošanas un noturības plānu</w:t>
      </w:r>
      <w:r w:rsidRPr="00110728">
        <w:rPr>
          <w:rStyle w:val="FootnoteReference"/>
          <w:szCs w:val="24"/>
        </w:rPr>
        <w:footnoteReference w:id="4"/>
      </w:r>
      <w:r w:rsidRPr="00110728">
        <w:t>,</w:t>
      </w:r>
    </w:p>
    <w:p w:rsidR="00B1409C" w:rsidRPr="00110728" w:rsidRDefault="00B1409C" w:rsidP="00B1409C">
      <w:pPr>
        <w:pStyle w:val="NormalHanging12a"/>
        <w:rPr>
          <w:szCs w:val="24"/>
        </w:rPr>
      </w:pPr>
      <w:r w:rsidRPr="00110728">
        <w:t>–</w:t>
      </w:r>
      <w:r w:rsidRPr="00110728">
        <w:tab/>
        <w:t xml:space="preserve">ņemot vērā Parlamenta 2023. gada 1. jūnija rezolūciju par tiesiskuma un </w:t>
      </w:r>
      <w:proofErr w:type="spellStart"/>
      <w:r w:rsidRPr="00110728">
        <w:t>pamattiesību</w:t>
      </w:r>
      <w:proofErr w:type="spellEnd"/>
      <w:r w:rsidRPr="00110728">
        <w:t xml:space="preserve"> pārkāpumiem Ungārijā un ES līdzekļu iesaldēšanu</w:t>
      </w:r>
      <w:r w:rsidRPr="00110728">
        <w:rPr>
          <w:rStyle w:val="FootnoteReference"/>
          <w:szCs w:val="24"/>
        </w:rPr>
        <w:footnoteReference w:id="5"/>
      </w:r>
      <w:r w:rsidRPr="00110728">
        <w:t>,</w:t>
      </w:r>
    </w:p>
    <w:p w:rsidR="00B1409C" w:rsidRPr="00110728" w:rsidRDefault="00B1409C" w:rsidP="00B1409C">
      <w:pPr>
        <w:pStyle w:val="NormalHanging12a"/>
        <w:rPr>
          <w:szCs w:val="24"/>
        </w:rPr>
      </w:pPr>
      <w:r w:rsidRPr="00110728">
        <w:t>–</w:t>
      </w:r>
      <w:r w:rsidRPr="00110728">
        <w:tab/>
        <w:t>ņemot vērā 2024. gada 18. janvāra rezolūciju par situāciju Ungārijā un iesaldētiem ES līdzekļiem</w:t>
      </w:r>
      <w:r w:rsidRPr="00110728">
        <w:rPr>
          <w:rStyle w:val="FootnoteReference"/>
          <w:szCs w:val="24"/>
        </w:rPr>
        <w:footnoteReference w:id="6"/>
      </w:r>
      <w:r w:rsidRPr="00110728">
        <w:t>,</w:t>
      </w:r>
    </w:p>
    <w:p w:rsidR="00B1409C" w:rsidRPr="00110728" w:rsidRDefault="00B1409C" w:rsidP="00B1409C">
      <w:pPr>
        <w:pStyle w:val="NormalHanging12a"/>
        <w:rPr>
          <w:szCs w:val="24"/>
        </w:rPr>
      </w:pPr>
      <w:r w:rsidRPr="00110728">
        <w:t>–</w:t>
      </w:r>
      <w:r w:rsidRPr="00110728">
        <w:tab/>
        <w:t>ņemot vērā Komisijas ikgadējo ziņojumu par tiesiskumu sadaļas par Ungāriju,</w:t>
      </w:r>
    </w:p>
    <w:p w:rsidR="00B1409C" w:rsidRPr="00110728" w:rsidRDefault="00B1409C" w:rsidP="00B1409C">
      <w:pPr>
        <w:pStyle w:val="NormalHanging12a"/>
        <w:rPr>
          <w:szCs w:val="24"/>
        </w:rPr>
      </w:pPr>
      <w:r w:rsidRPr="00110728">
        <w:t>–</w:t>
      </w:r>
      <w:r w:rsidRPr="00110728">
        <w:tab/>
        <w:t>ņemot vērā Venēcijas komisijas tās 138. plenārsēdē (2024. gada 15. un 16. martā Venēcijā) pieņemto atzinumu par Ungārijas 2023. gada Likumu LXXXVIII par nacionālās suverenitātes aizsardzību,</w:t>
      </w:r>
    </w:p>
    <w:p w:rsidR="00B1409C" w:rsidRPr="00110728" w:rsidRDefault="00B1409C" w:rsidP="00B1409C">
      <w:pPr>
        <w:pStyle w:val="NormalHanging12a"/>
        <w:rPr>
          <w:szCs w:val="24"/>
        </w:rPr>
      </w:pPr>
      <w:r w:rsidRPr="00110728">
        <w:t>–</w:t>
      </w:r>
      <w:r w:rsidRPr="00110728">
        <w:tab/>
        <w:t>ņemot vērā Reglamenta 132. panta 2. punktu,</w:t>
      </w:r>
    </w:p>
    <w:p w:rsidR="00B1409C" w:rsidRPr="00110728" w:rsidRDefault="00B1409C" w:rsidP="00B1409C">
      <w:pPr>
        <w:pStyle w:val="NormalHanging12a"/>
        <w:rPr>
          <w:szCs w:val="24"/>
        </w:rPr>
      </w:pPr>
      <w:r w:rsidRPr="00110728">
        <w:t>A.</w:t>
      </w:r>
      <w:r w:rsidRPr="00110728">
        <w:tab/>
        <w:t>tā kā Savienība ir dibināta, pamatojoties uz vērtībām, ar kurām respektē cilvēka cieņu, brīvību, demokrātiju, līdztiesību, tiesiskumu un cilvēktiesību, tostarp ievēro pie minoritātēm piederošu personu tiesības, kā tas ir paredzēts LES 2. pantā, atspoguļots Hartā un nostiprināts starptautiskajos cilvēktiesību līgumos; tā kā šīs vērtības, kas ir kopīgas dalībvalstīm, ir ES iedzīvotāju tiesību pamats;</w:t>
      </w:r>
    </w:p>
    <w:p w:rsidR="00B1409C" w:rsidRPr="00110728" w:rsidRDefault="00B1409C" w:rsidP="00B1409C">
      <w:pPr>
        <w:pStyle w:val="NormalHanging12a"/>
        <w:rPr>
          <w:szCs w:val="24"/>
        </w:rPr>
      </w:pPr>
      <w:r w:rsidRPr="00110728">
        <w:t>B.</w:t>
      </w:r>
      <w:r w:rsidRPr="00110728">
        <w:tab/>
        <w:t xml:space="preserve">tā kā jebkāds nepārprotams risks, ka kāda dalībvalsts varētu nopietni pārkāpt LES 2. pantā minētās vērtības, skar ne tikai konkrēto dalībvalsti, kurā šis risks ir īstenojusies, bet ietekmē arī citas dalībvalstis, to savstarpējo uzticēšanos, pašus ES pamatprincipus un tās iedzīvotāju </w:t>
      </w:r>
      <w:proofErr w:type="spellStart"/>
      <w:r w:rsidRPr="00110728">
        <w:t>pamattiesības</w:t>
      </w:r>
      <w:proofErr w:type="spellEnd"/>
      <w:r w:rsidRPr="00110728">
        <w:t>, kas tiem tiek garantētas ar ES tiesību aktiem;</w:t>
      </w:r>
    </w:p>
    <w:p w:rsidR="00B1409C" w:rsidRPr="00110728" w:rsidRDefault="00B1409C" w:rsidP="00B1409C">
      <w:pPr>
        <w:pStyle w:val="NormalHanging12a"/>
        <w:rPr>
          <w:szCs w:val="24"/>
        </w:rPr>
      </w:pPr>
      <w:r w:rsidRPr="00110728">
        <w:t>C.</w:t>
      </w:r>
      <w:r w:rsidRPr="00110728">
        <w:tab/>
        <w:t>tā kā LES 7. panta darbības joma neaprobežojas tikai ar pienākumiem, kas izriet no Līgumiem, atšķirībā no Līguma par Eiropas Savienības darbību 258. panta, un tā kā ES var novērtēt, vai pastāv nepārprotams risks, ka varētu tikt nopietni pārkāptas kopējās vērtības jomās, kas ir dalībvalstu kompetencē;</w:t>
      </w:r>
    </w:p>
    <w:p w:rsidR="00B1409C" w:rsidRPr="00110728" w:rsidRDefault="00B1409C" w:rsidP="00B1409C">
      <w:pPr>
        <w:pStyle w:val="NormalHanging12a"/>
        <w:rPr>
          <w:szCs w:val="24"/>
        </w:rPr>
      </w:pPr>
      <w:r w:rsidRPr="00110728">
        <w:t>D.</w:t>
      </w:r>
      <w:r w:rsidRPr="00110728">
        <w:tab/>
        <w:t xml:space="preserve">tā kā 2018. gadā pēc Eiropas Parlamenta priekšlikuma Padome sāka LES 7. panta 1. punktā paredzēto procedūru, lai novērstu nepārprotamu risku, ka Ungārija varētu nopietni pārkāpt LES 2. pantā minētās vērtības; tā kā kopš minētās procedūras sākuma Padomē ir notikušas sešas uzklausīšanas par stāvokli Ungārijā saskaņā ar LES 7. panta 1. punkta procedūru, bet Padome vēl nav mēģinājusi noteikt, vai šāds risks pastāv, un </w:t>
      </w:r>
      <w:r w:rsidRPr="00110728">
        <w:lastRenderedPageBreak/>
        <w:t>nav sniegusi Ungārijas valdībai nekādus ieteikumus;</w:t>
      </w:r>
    </w:p>
    <w:p w:rsidR="00B1409C" w:rsidRPr="00110728" w:rsidRDefault="00B1409C" w:rsidP="00B1409C">
      <w:pPr>
        <w:pStyle w:val="NormalHanging12a"/>
        <w:rPr>
          <w:szCs w:val="24"/>
        </w:rPr>
      </w:pPr>
      <w:r w:rsidRPr="00110728">
        <w:t>E.</w:t>
      </w:r>
      <w:r w:rsidRPr="00110728">
        <w:tab/>
        <w:t>tā kā Tiesiskuma regula ir ārkārtīgi svarīga, jo tā ir instruments, kas ļauj efektīvi aizsargāt ES līdzekļus;</w:t>
      </w:r>
    </w:p>
    <w:p w:rsidR="00B1409C" w:rsidRPr="00110728" w:rsidRDefault="00B1409C" w:rsidP="00B1409C">
      <w:pPr>
        <w:pStyle w:val="NormalHanging12a"/>
        <w:rPr>
          <w:szCs w:val="24"/>
        </w:rPr>
      </w:pPr>
      <w:r w:rsidRPr="00110728">
        <w:t>F.</w:t>
      </w:r>
      <w:r w:rsidRPr="00110728">
        <w:tab/>
        <w:t xml:space="preserve">tā kā Komisija saskaņā ar </w:t>
      </w:r>
      <w:proofErr w:type="spellStart"/>
      <w:r w:rsidRPr="00110728">
        <w:rPr>
          <w:i/>
        </w:rPr>
        <w:t>REPowerEU</w:t>
      </w:r>
      <w:proofErr w:type="spellEnd"/>
      <w:r w:rsidRPr="00110728">
        <w:t xml:space="preserve"> plānu nolēma piešķirt Ungārijai </w:t>
      </w:r>
      <w:proofErr w:type="spellStart"/>
      <w:r w:rsidRPr="00110728">
        <w:t>priekšfinansējumu</w:t>
      </w:r>
      <w:proofErr w:type="spellEnd"/>
      <w:r w:rsidRPr="00110728">
        <w:t xml:space="preserve"> 0,9 miljardu EUR apmērā; tā kā šādu </w:t>
      </w:r>
      <w:proofErr w:type="spellStart"/>
      <w:r w:rsidRPr="00110728">
        <w:t>priekšfinansējumu</w:t>
      </w:r>
      <w:proofErr w:type="spellEnd"/>
      <w:r w:rsidRPr="00110728">
        <w:t xml:space="preserve"> var piešķirt bez nosacījumiem, bet ne bez pārbaudēm;</w:t>
      </w:r>
    </w:p>
    <w:p w:rsidR="00B1409C" w:rsidRPr="00110728" w:rsidRDefault="00B1409C" w:rsidP="00B1409C">
      <w:pPr>
        <w:pStyle w:val="NormalHanging12a"/>
        <w:rPr>
          <w:bCs/>
          <w:szCs w:val="24"/>
        </w:rPr>
      </w:pPr>
      <w:r w:rsidRPr="00110728">
        <w:t>G.</w:t>
      </w:r>
      <w:r w:rsidRPr="00110728">
        <w:tab/>
        <w:t>tā kā Parlaments 2022. gada 15. septembra rezolūcijā secināja, ka kopš LES 7. panta 1. punktā paredzētās procedūras sākšanas ir saglabājušās vai būtiski pastiprinājušās daudzas bažas par Ungārijas atbilstību LES 2. pantā noteiktajām vērtībām, tostarp attiecībā uz tiesu iestāžu neatkarību, korupcijas un, interešu konfliktu nepieļaujamību, mediju neatkarību un plurālismu, konstitucionālās un vēlēšanu sistēmas darbību un pilsonisko telpu;</w:t>
      </w:r>
    </w:p>
    <w:p w:rsidR="00B1409C" w:rsidRPr="00110728" w:rsidRDefault="00B1409C" w:rsidP="00B1409C">
      <w:pPr>
        <w:pStyle w:val="NormalHanging12a"/>
        <w:rPr>
          <w:szCs w:val="24"/>
        </w:rPr>
      </w:pPr>
      <w:r w:rsidRPr="00110728">
        <w:t>H.</w:t>
      </w:r>
      <w:r w:rsidRPr="00110728">
        <w:tab/>
        <w:t>tā kā kopš šīs rezolūcijas pieņemšanas situācija dažās no šīm jomām nav būtiski uzlabojusies, lielākajā daļā jomu tā joprojām ir satraucoša, bet dažās ir vēl vairāk pasliktinājusies; tā kā Ungārijas valdības rīcības rezultātā ir radušās jaunas nopietnas problēmas;</w:t>
      </w:r>
    </w:p>
    <w:p w:rsidR="00B1409C" w:rsidRPr="00110728" w:rsidRDefault="00B1409C" w:rsidP="00B1409C">
      <w:pPr>
        <w:pStyle w:val="NormalHanging12a"/>
        <w:rPr>
          <w:szCs w:val="24"/>
        </w:rPr>
      </w:pPr>
      <w:r w:rsidRPr="00110728">
        <w:t>I.</w:t>
      </w:r>
      <w:r w:rsidRPr="00110728">
        <w:tab/>
        <w:t>tā kā 2024. gada aprīlī desmitiem tūkstošu Ungārijas iedzīvotāju izgāja ielās, lai protestētu pret valsts nozagšanu un korupciju;</w:t>
      </w:r>
    </w:p>
    <w:p w:rsidR="00B1409C" w:rsidRPr="00110728" w:rsidRDefault="00B1409C" w:rsidP="00B1409C">
      <w:pPr>
        <w:pStyle w:val="NormalHanging12a"/>
        <w:rPr>
          <w:szCs w:val="24"/>
        </w:rPr>
      </w:pPr>
      <w:r w:rsidRPr="00110728">
        <w:t>J.</w:t>
      </w:r>
      <w:r w:rsidRPr="00110728">
        <w:tab/>
        <w:t>tā kā 2023. gadā Ungārijas valdība pieņēma tiesību aktu kopumu par tiesu iestāžu reformu, lai uzlabotu dažus tiesu iestāžu neatkarības aspektus, kas ietvēra Valsts tiesu padomes (VTP) neatkarības stiprināšanu; tā kā nepilnīgais saraksts, kurā uzskaitīti ar tiesiskumu tiesu sistēmā saitīti būtiski trūkumi, kas joprojām nav novērsti, ietver:</w:t>
      </w:r>
    </w:p>
    <w:p w:rsidR="00B1409C" w:rsidRPr="00110728" w:rsidRDefault="00E37FAF" w:rsidP="008B547C">
      <w:pPr>
        <w:pStyle w:val="NormalHanging12a"/>
        <w:widowControl/>
        <w:ind w:firstLine="0"/>
        <w:rPr>
          <w:szCs w:val="24"/>
        </w:rPr>
      </w:pPr>
      <w:r>
        <w:t>–</w:t>
      </w:r>
      <w:r>
        <w:tab/>
      </w:r>
      <w:r w:rsidR="00B1409C" w:rsidRPr="00110728">
        <w:t>noteikumus par pašreizējā Augstākās tiesas (</w:t>
      </w:r>
      <w:proofErr w:type="spellStart"/>
      <w:r w:rsidR="00B1409C" w:rsidRPr="00110728">
        <w:rPr>
          <w:i/>
        </w:rPr>
        <w:t>Curia</w:t>
      </w:r>
      <w:proofErr w:type="spellEnd"/>
      <w:r w:rsidR="00B1409C" w:rsidRPr="00110728">
        <w:t xml:space="preserve">) priekšsēdētāja </w:t>
      </w:r>
      <w:proofErr w:type="spellStart"/>
      <w:r w:rsidR="00B1409C" w:rsidRPr="00110728">
        <w:t>neatceļamību</w:t>
      </w:r>
      <w:proofErr w:type="spellEnd"/>
      <w:r w:rsidR="00B1409C" w:rsidRPr="00110728">
        <w:t>;</w:t>
      </w:r>
    </w:p>
    <w:p w:rsidR="00B1409C" w:rsidRPr="00110728" w:rsidRDefault="00B1409C" w:rsidP="008B547C">
      <w:pPr>
        <w:pStyle w:val="NormalHanging12a"/>
        <w:widowControl/>
        <w:ind w:left="1127" w:hanging="560"/>
        <w:rPr>
          <w:szCs w:val="24"/>
        </w:rPr>
      </w:pPr>
      <w:r w:rsidRPr="00110728">
        <w:t>–</w:t>
      </w:r>
      <w:r w:rsidRPr="00110728">
        <w:tab/>
        <w:t xml:space="preserve">jēgpilnu aizsardzības pasākumu un garantiju attiecībā uz </w:t>
      </w:r>
      <w:proofErr w:type="spellStart"/>
      <w:r w:rsidRPr="00110728">
        <w:rPr>
          <w:i/>
        </w:rPr>
        <w:t>Curia</w:t>
      </w:r>
      <w:proofErr w:type="spellEnd"/>
      <w:r w:rsidRPr="00110728">
        <w:t xml:space="preserve"> neatkarību trūkumu;</w:t>
      </w:r>
    </w:p>
    <w:p w:rsidR="00B1409C" w:rsidRPr="00110728" w:rsidRDefault="00B1409C" w:rsidP="008B547C">
      <w:pPr>
        <w:pStyle w:val="NormalHanging12a"/>
        <w:widowControl/>
        <w:ind w:left="1127" w:hanging="560"/>
        <w:rPr>
          <w:szCs w:val="24"/>
        </w:rPr>
      </w:pPr>
      <w:r w:rsidRPr="00110728">
        <w:t>–</w:t>
      </w:r>
      <w:r w:rsidRPr="00110728">
        <w:tab/>
      </w:r>
      <w:proofErr w:type="spellStart"/>
      <w:r w:rsidRPr="00110728">
        <w:rPr>
          <w:i/>
        </w:rPr>
        <w:t>Curia</w:t>
      </w:r>
      <w:proofErr w:type="spellEnd"/>
      <w:r w:rsidRPr="00110728">
        <w:t xml:space="preserve"> izskatāmo lietu sadales sistēmas </w:t>
      </w:r>
      <w:proofErr w:type="spellStart"/>
      <w:r w:rsidRPr="00110728">
        <w:t>pārredzamības</w:t>
      </w:r>
      <w:proofErr w:type="spellEnd"/>
      <w:r w:rsidRPr="00110728">
        <w:t xml:space="preserve"> un automatizācijas trūkumu un </w:t>
      </w:r>
      <w:proofErr w:type="spellStart"/>
      <w:r w:rsidRPr="00110728">
        <w:t>pārredzamības</w:t>
      </w:r>
      <w:proofErr w:type="spellEnd"/>
      <w:r w:rsidRPr="00110728">
        <w:t xml:space="preserve"> trūkumu noteikumos par tiesnešu sastāvu;</w:t>
      </w:r>
    </w:p>
    <w:p w:rsidR="00B1409C" w:rsidRPr="00110728" w:rsidRDefault="00B1409C" w:rsidP="008B547C">
      <w:pPr>
        <w:pStyle w:val="NormalHanging12a"/>
        <w:widowControl/>
        <w:ind w:left="1127" w:hanging="560"/>
        <w:rPr>
          <w:szCs w:val="24"/>
        </w:rPr>
      </w:pPr>
      <w:r w:rsidRPr="00110728">
        <w:t>–</w:t>
      </w:r>
      <w:r w:rsidRPr="00110728">
        <w:tab/>
        <w:t>politisko un administratīvo spiedienu uz VTP un tās locekļiem, cenšoties ierobežot to neatkarību, tostarp izmantojot nomelnošanas kampaņas;</w:t>
      </w:r>
    </w:p>
    <w:p w:rsidR="00B1409C" w:rsidRPr="00110728" w:rsidRDefault="00B1409C" w:rsidP="008B547C">
      <w:pPr>
        <w:pStyle w:val="NormalHanging12a"/>
        <w:widowControl/>
        <w:ind w:left="1127" w:hanging="560"/>
        <w:rPr>
          <w:szCs w:val="24"/>
        </w:rPr>
      </w:pPr>
      <w:r w:rsidRPr="00110728">
        <w:t>–</w:t>
      </w:r>
      <w:r w:rsidRPr="00110728">
        <w:tab/>
        <w:t xml:space="preserve">noteikumus par tiesnešu iecelšanu amatā, paaugstināšanu amatā un </w:t>
      </w:r>
      <w:proofErr w:type="spellStart"/>
      <w:r w:rsidRPr="00110728">
        <w:t>neatceļamību</w:t>
      </w:r>
      <w:proofErr w:type="spellEnd"/>
      <w:r w:rsidRPr="00110728">
        <w:t>;</w:t>
      </w:r>
    </w:p>
    <w:p w:rsidR="00B1409C" w:rsidRPr="00110728" w:rsidRDefault="00B1409C" w:rsidP="008B547C">
      <w:pPr>
        <w:pStyle w:val="NormalHanging12a"/>
        <w:widowControl/>
        <w:ind w:left="1127" w:hanging="560"/>
        <w:rPr>
          <w:szCs w:val="24"/>
        </w:rPr>
      </w:pPr>
      <w:r w:rsidRPr="00110728">
        <w:t>–</w:t>
      </w:r>
      <w:r w:rsidRPr="00110728">
        <w:tab/>
        <w:t>jēgpilnu aizsardzības pasākumu un garantiju trūkumu attiecībā uz to tiesnešu neatkarību, kuri pārskata administratīvos lēmumus;</w:t>
      </w:r>
    </w:p>
    <w:p w:rsidR="00B1409C" w:rsidRPr="00110728" w:rsidRDefault="00B1409C" w:rsidP="008B547C">
      <w:pPr>
        <w:pStyle w:val="NormalHanging12a"/>
        <w:widowControl/>
        <w:ind w:left="1127" w:hanging="560"/>
        <w:rPr>
          <w:szCs w:val="24"/>
        </w:rPr>
      </w:pPr>
      <w:r w:rsidRPr="00110728">
        <w:t>–</w:t>
      </w:r>
      <w:r w:rsidRPr="00110728">
        <w:tab/>
        <w:t>arvien lielāku skaitu šķēršļu, kas traucē vērsties Eiropas Savienības Tiesā (EST) ar lūgumu sniegt prejudiciālu nolēmumu;</w:t>
      </w:r>
    </w:p>
    <w:p w:rsidR="00B1409C" w:rsidRPr="00110728" w:rsidRDefault="00B1409C" w:rsidP="008B547C">
      <w:pPr>
        <w:pStyle w:val="NormalHanging12a"/>
        <w:widowControl/>
        <w:ind w:left="1127" w:hanging="560"/>
        <w:rPr>
          <w:szCs w:val="24"/>
        </w:rPr>
      </w:pPr>
      <w:r w:rsidRPr="00110728">
        <w:t>–</w:t>
      </w:r>
      <w:r w:rsidRPr="00110728">
        <w:tab/>
        <w:t>nepilnības noteikumos par imunitāti un pret prokuroriem un tiesnešiem ierosinātās disciplinārlietas;</w:t>
      </w:r>
    </w:p>
    <w:p w:rsidR="00B1409C" w:rsidRPr="00110728" w:rsidRDefault="00B1409C" w:rsidP="008B547C">
      <w:pPr>
        <w:pStyle w:val="NormalHanging12a"/>
        <w:widowControl/>
        <w:ind w:left="1127" w:hanging="560"/>
        <w:rPr>
          <w:szCs w:val="24"/>
        </w:rPr>
      </w:pPr>
      <w:r w:rsidRPr="00110728">
        <w:t>–</w:t>
      </w:r>
      <w:r w:rsidRPr="00110728">
        <w:tab/>
        <w:t>politisku iejaukšanos prokuratūras dienestu un atsevišķu prokuroru darbā;</w:t>
      </w:r>
    </w:p>
    <w:p w:rsidR="00B1409C" w:rsidRPr="00110728" w:rsidRDefault="00B1409C" w:rsidP="008B547C">
      <w:pPr>
        <w:pStyle w:val="NormalHanging12a"/>
        <w:widowControl/>
        <w:ind w:left="1127" w:hanging="560"/>
        <w:rPr>
          <w:szCs w:val="24"/>
        </w:rPr>
      </w:pPr>
      <w:r w:rsidRPr="00110728">
        <w:lastRenderedPageBreak/>
        <w:t>–</w:t>
      </w:r>
      <w:r w:rsidRPr="00110728">
        <w:tab/>
        <w:t>efektīvu atbalsta pakalpojumu trūkumu noziegumu upuriem,</w:t>
      </w:r>
    </w:p>
    <w:p w:rsidR="00B1409C" w:rsidRPr="00110728" w:rsidRDefault="00B1409C" w:rsidP="00B1409C">
      <w:pPr>
        <w:pStyle w:val="NormalHanging12a"/>
        <w:rPr>
          <w:szCs w:val="24"/>
        </w:rPr>
      </w:pPr>
      <w:r w:rsidRPr="00110728">
        <w:t>K.</w:t>
      </w:r>
      <w:r w:rsidRPr="00110728">
        <w:tab/>
        <w:t>tā kā nepilnīgais saraksts ar joprojām pastāvošajiem nopietnajiem trūkumiem, kas saistīti ar korupcijas apkarošanu un interešu konfliktiem, ietver:</w:t>
      </w:r>
    </w:p>
    <w:p w:rsidR="00B1409C" w:rsidRPr="00110728" w:rsidRDefault="00B1409C" w:rsidP="008B547C">
      <w:pPr>
        <w:pStyle w:val="NormalHanging12a"/>
        <w:widowControl/>
        <w:ind w:left="1127" w:hanging="560"/>
        <w:rPr>
          <w:szCs w:val="24"/>
        </w:rPr>
      </w:pPr>
      <w:r w:rsidRPr="00110728">
        <w:t>–</w:t>
      </w:r>
      <w:r w:rsidRPr="00110728">
        <w:tab/>
        <w:t>rezultātu trūkumu attiecībā uz izmeklēšanu, kriminālvajāšanu un galīgiem spriedumiem augsta līmeņa korupcijas lietās;</w:t>
      </w:r>
    </w:p>
    <w:p w:rsidR="00B1409C" w:rsidRPr="00110728" w:rsidRDefault="00B1409C" w:rsidP="008B547C">
      <w:pPr>
        <w:pStyle w:val="NormalHanging12a"/>
        <w:widowControl/>
        <w:ind w:left="1127" w:hanging="560"/>
        <w:rPr>
          <w:szCs w:val="24"/>
        </w:rPr>
      </w:pPr>
      <w:r w:rsidRPr="00110728">
        <w:t>–</w:t>
      </w:r>
      <w:r w:rsidRPr="00110728">
        <w:tab/>
        <w:t>stingru noteikumu par lobēšanu, virpuļdurvju efektu un aktīvu deklarāciju efektīvu uzraudzību trūkumu;</w:t>
      </w:r>
    </w:p>
    <w:p w:rsidR="00B1409C" w:rsidRPr="00110728" w:rsidRDefault="00B1409C" w:rsidP="008B547C">
      <w:pPr>
        <w:pStyle w:val="NormalHanging12a"/>
        <w:widowControl/>
        <w:ind w:left="1127" w:hanging="560"/>
        <w:rPr>
          <w:szCs w:val="24"/>
        </w:rPr>
      </w:pPr>
      <w:r w:rsidRPr="00110728">
        <w:t>–</w:t>
      </w:r>
      <w:r w:rsidRPr="00110728">
        <w:tab/>
        <w:t>pietiekamas kompetences, pilnvaru, piekļuves informācijai un pietiekamu resursu trūkumu Integritātes iestādē;</w:t>
      </w:r>
    </w:p>
    <w:p w:rsidR="00B1409C" w:rsidRPr="00110728" w:rsidRDefault="00B1409C" w:rsidP="008B547C">
      <w:pPr>
        <w:pStyle w:val="NormalHanging12a"/>
        <w:widowControl/>
        <w:ind w:left="1127" w:hanging="560"/>
        <w:rPr>
          <w:szCs w:val="24"/>
        </w:rPr>
      </w:pPr>
      <w:r w:rsidRPr="00110728">
        <w:t>–</w:t>
      </w:r>
      <w:r w:rsidRPr="00110728">
        <w:tab/>
        <w:t>korupcijas apkarošanas pasākumiem veltītas sabiedriskās apspriešanas un debašu trūkumu;</w:t>
      </w:r>
    </w:p>
    <w:p w:rsidR="00B1409C" w:rsidRPr="00110728" w:rsidRDefault="00B1409C" w:rsidP="008B547C">
      <w:pPr>
        <w:pStyle w:val="NormalHanging12a"/>
        <w:widowControl/>
        <w:ind w:left="1127" w:hanging="560"/>
        <w:rPr>
          <w:szCs w:val="24"/>
        </w:rPr>
      </w:pPr>
      <w:r w:rsidRPr="00110728">
        <w:t>–</w:t>
      </w:r>
      <w:r w:rsidRPr="00110728">
        <w:tab/>
        <w:t>prokuratūras dienestu atbildības trūkumu, tostarp nolaidības, pienākumu neizpildes un noziedzīgas rīcības gadījumos;</w:t>
      </w:r>
    </w:p>
    <w:p w:rsidR="00B1409C" w:rsidRPr="00110728" w:rsidRDefault="00B1409C" w:rsidP="008B547C">
      <w:pPr>
        <w:pStyle w:val="NormalHanging12a"/>
        <w:widowControl/>
        <w:ind w:left="1127" w:hanging="560"/>
        <w:rPr>
          <w:szCs w:val="24"/>
        </w:rPr>
      </w:pPr>
      <w:r w:rsidRPr="00110728">
        <w:t>–</w:t>
      </w:r>
      <w:r w:rsidRPr="00110728">
        <w:tab/>
        <w:t>politisku iejaukšanos to prokuratūras dienestu darbā, kuri izskata augsta līmeņa korupcijas gadījumus un krimināllietas,</w:t>
      </w:r>
    </w:p>
    <w:p w:rsidR="00B1409C" w:rsidRPr="00110728" w:rsidRDefault="00B1409C" w:rsidP="00B1409C">
      <w:pPr>
        <w:pStyle w:val="NormalHanging12a"/>
        <w:rPr>
          <w:szCs w:val="24"/>
        </w:rPr>
      </w:pPr>
      <w:r w:rsidRPr="00110728">
        <w:t>L.</w:t>
      </w:r>
      <w:r w:rsidRPr="00110728">
        <w:tab/>
        <w:t>tā kā nepilnīgais saraksts ar joprojām pastāvošajiem nopietnajiem trūkumiem, kas saistīti ar plašsaziņas līdzekļu brīvību un plurālismu, ietver:</w:t>
      </w:r>
    </w:p>
    <w:p w:rsidR="00B1409C" w:rsidRPr="00110728" w:rsidRDefault="00B1409C" w:rsidP="008B547C">
      <w:pPr>
        <w:pStyle w:val="NormalHanging12a"/>
        <w:widowControl/>
        <w:ind w:left="1127" w:hanging="560"/>
        <w:rPr>
          <w:szCs w:val="24"/>
        </w:rPr>
      </w:pPr>
      <w:r w:rsidRPr="00110728">
        <w:t>–</w:t>
      </w:r>
      <w:r w:rsidRPr="00110728">
        <w:tab/>
        <w:t>mediju iestādes un digitālo pakalpojumu koordinatora funkcionālās neatkarības trūkumu;</w:t>
      </w:r>
    </w:p>
    <w:p w:rsidR="00B1409C" w:rsidRPr="00110728" w:rsidRDefault="00B1409C" w:rsidP="008B547C">
      <w:pPr>
        <w:pStyle w:val="NormalHanging12a"/>
        <w:widowControl/>
        <w:ind w:left="1127" w:hanging="560"/>
        <w:rPr>
          <w:szCs w:val="24"/>
        </w:rPr>
      </w:pPr>
      <w:r w:rsidRPr="00110728">
        <w:t>–</w:t>
      </w:r>
      <w:r w:rsidRPr="00110728">
        <w:tab/>
        <w:t>sabiedrisko mediju redakcionālās un finansiālās neatkarības trūkumu un politisko uzskatu plurālisma trūkumu sabiedriskajos plašsaziņas līdzekļos, ko valdošais vairākums izmanto politiskajai propagandai;</w:t>
      </w:r>
    </w:p>
    <w:p w:rsidR="00B1409C" w:rsidRPr="00110728" w:rsidRDefault="00B1409C" w:rsidP="008B547C">
      <w:pPr>
        <w:pStyle w:val="NormalHanging12a"/>
        <w:widowControl/>
        <w:ind w:left="1127" w:hanging="560"/>
        <w:rPr>
          <w:szCs w:val="24"/>
        </w:rPr>
      </w:pPr>
      <w:r w:rsidRPr="00110728">
        <w:t>–</w:t>
      </w:r>
      <w:r w:rsidRPr="00110728">
        <w:tab/>
        <w:t xml:space="preserve">valsts reklāmas ļaunprātīgu izmantošanu valdību atbalstošos plašsaziņas līdzekļos un noteikumu un </w:t>
      </w:r>
      <w:proofErr w:type="spellStart"/>
      <w:r w:rsidRPr="00110728">
        <w:t>pārredzamības</w:t>
      </w:r>
      <w:proofErr w:type="spellEnd"/>
      <w:r w:rsidRPr="00110728">
        <w:t xml:space="preserve"> trūkumu šajā jautājumā;</w:t>
      </w:r>
    </w:p>
    <w:p w:rsidR="00B1409C" w:rsidRPr="00110728" w:rsidRDefault="00B1409C" w:rsidP="008B547C">
      <w:pPr>
        <w:pStyle w:val="NormalHanging12a"/>
        <w:widowControl/>
        <w:ind w:left="1127" w:hanging="560"/>
        <w:rPr>
          <w:szCs w:val="24"/>
        </w:rPr>
      </w:pPr>
      <w:r w:rsidRPr="00110728">
        <w:t>–</w:t>
      </w:r>
      <w:r w:rsidRPr="00110728">
        <w:tab/>
        <w:t>nomelnošanas kampaņas pret neatkarīgiem žurnālistiem un plašsaziņas līdzekļiem;</w:t>
      </w:r>
    </w:p>
    <w:p w:rsidR="00B1409C" w:rsidRPr="00110728" w:rsidRDefault="00B1409C" w:rsidP="008B547C">
      <w:pPr>
        <w:pStyle w:val="NormalHanging12a"/>
        <w:widowControl/>
        <w:ind w:left="1127" w:hanging="560"/>
        <w:rPr>
          <w:szCs w:val="24"/>
        </w:rPr>
      </w:pPr>
      <w:r w:rsidRPr="00110728">
        <w:t>–</w:t>
      </w:r>
      <w:r w:rsidRPr="00110728">
        <w:tab/>
        <w:t>arvien vairāk ierobežojumu attiecībā uz piekļuvi publiskai informācijai;</w:t>
      </w:r>
    </w:p>
    <w:p w:rsidR="00B1409C" w:rsidRPr="00110728" w:rsidRDefault="00B1409C" w:rsidP="008B547C">
      <w:pPr>
        <w:pStyle w:val="NormalHanging12a"/>
        <w:widowControl/>
        <w:ind w:left="1127" w:hanging="560"/>
        <w:rPr>
          <w:szCs w:val="24"/>
        </w:rPr>
      </w:pPr>
      <w:r w:rsidRPr="00110728">
        <w:t>–</w:t>
      </w:r>
      <w:r w:rsidRPr="00110728">
        <w:tab/>
        <w:t>jēgpilnas izmeklēšanas trūkums gadījumos, kad tiek izmantota spiegprogrammatūra, lai vērstos pret pētnieciskajiem žurnālistiem un mediju profesionāļiem;</w:t>
      </w:r>
    </w:p>
    <w:p w:rsidR="00B1409C" w:rsidRPr="00110728" w:rsidRDefault="00B1409C" w:rsidP="008B547C">
      <w:pPr>
        <w:pStyle w:val="NormalHanging12a"/>
        <w:widowControl/>
        <w:ind w:left="1127" w:hanging="560"/>
        <w:rPr>
          <w:szCs w:val="24"/>
        </w:rPr>
      </w:pPr>
      <w:r w:rsidRPr="00110728">
        <w:t>–</w:t>
      </w:r>
      <w:r w:rsidRPr="00110728">
        <w:tab/>
        <w:t xml:space="preserve">mediju tirgus koncentrācija un valdības pārmērīgu ietekmi uz plašsaziņas līdzekļu vidi (tostarp izmantojot </w:t>
      </w:r>
      <w:r w:rsidRPr="00110728">
        <w:rPr>
          <w:shd w:val="clear" w:color="auto" w:fill="FFFFFF"/>
        </w:rPr>
        <w:t>Centrāleiropas Preses un plašsaziņas līdzekļu fondu vai</w:t>
      </w:r>
      <w:r w:rsidRPr="00110728">
        <w:t xml:space="preserve"> </w:t>
      </w:r>
      <w:r w:rsidRPr="00110728">
        <w:rPr>
          <w:i/>
        </w:rPr>
        <w:t>KESMA</w:t>
      </w:r>
      <w:r w:rsidRPr="00110728">
        <w:t xml:space="preserve">, kas ir tā akronīms </w:t>
      </w:r>
      <w:r w:rsidRPr="00110728">
        <w:rPr>
          <w:shd w:val="clear" w:color="auto" w:fill="FFFFFF"/>
        </w:rPr>
        <w:t xml:space="preserve">ungāru valodā </w:t>
      </w:r>
      <w:r w:rsidRPr="00110728">
        <w:t>);</w:t>
      </w:r>
    </w:p>
    <w:p w:rsidR="00B1409C" w:rsidRPr="00110728" w:rsidRDefault="00B1409C" w:rsidP="008B547C">
      <w:pPr>
        <w:pStyle w:val="NormalHanging12a"/>
        <w:widowControl/>
        <w:ind w:left="1127" w:hanging="560"/>
        <w:rPr>
          <w:szCs w:val="24"/>
        </w:rPr>
      </w:pPr>
      <w:r w:rsidRPr="00110728">
        <w:t>–</w:t>
      </w:r>
      <w:r w:rsidRPr="00110728">
        <w:tab/>
        <w:t>iespējamu plašsaziņas līdzekļu un žurnālistu pakļaušanu izmeklēšanai, ko veic Suverenitātes aizsardzības birojs (</w:t>
      </w:r>
      <w:r w:rsidRPr="00110728">
        <w:rPr>
          <w:i/>
        </w:rPr>
        <w:t>SPO</w:t>
      </w:r>
      <w:r w:rsidRPr="00110728">
        <w:t>),</w:t>
      </w:r>
    </w:p>
    <w:p w:rsidR="00B1409C" w:rsidRPr="00110728" w:rsidRDefault="00B1409C" w:rsidP="00B1409C">
      <w:pPr>
        <w:pStyle w:val="NormalHanging12a"/>
        <w:rPr>
          <w:szCs w:val="24"/>
        </w:rPr>
      </w:pPr>
      <w:r w:rsidRPr="00110728">
        <w:t>M.</w:t>
      </w:r>
      <w:r w:rsidRPr="00110728">
        <w:tab/>
        <w:t xml:space="preserve">tā kā tā kā nepilnīgais saraksts ar joprojām pastāvošajiem nopietnajiem trūkumiem, kas </w:t>
      </w:r>
      <w:r w:rsidRPr="00110728">
        <w:lastRenderedPageBreak/>
        <w:t>saistīti ar konstitucionālo un vēlēšanu sistēmu, kā arī līdzsvara un atsvara sistēmu ietver:</w:t>
      </w:r>
    </w:p>
    <w:p w:rsidR="00B1409C" w:rsidRPr="00110728" w:rsidRDefault="00B1409C" w:rsidP="008B547C">
      <w:pPr>
        <w:pStyle w:val="NormalHanging12a"/>
        <w:widowControl/>
        <w:ind w:left="1127" w:hanging="560"/>
        <w:rPr>
          <w:szCs w:val="24"/>
        </w:rPr>
      </w:pPr>
      <w:r w:rsidRPr="00110728">
        <w:t>–</w:t>
      </w:r>
      <w:r w:rsidRPr="00110728">
        <w:tab/>
        <w:t>taisnīgu kampaņas apstākļu trūkumu vietējās un valsts līmeņa vēlēšanās un biežās izmaiņas vēlēšanu kodeksā;</w:t>
      </w:r>
    </w:p>
    <w:p w:rsidR="00B1409C" w:rsidRPr="00110728" w:rsidRDefault="00B1409C" w:rsidP="008B547C">
      <w:pPr>
        <w:pStyle w:val="NormalHanging12a"/>
        <w:widowControl/>
        <w:ind w:left="1127" w:hanging="560"/>
        <w:rPr>
          <w:szCs w:val="24"/>
        </w:rPr>
      </w:pPr>
      <w:r w:rsidRPr="00110728">
        <w:t>–</w:t>
      </w:r>
      <w:r w:rsidRPr="00110728">
        <w:tab/>
        <w:t xml:space="preserve">nepietiekamu </w:t>
      </w:r>
      <w:proofErr w:type="spellStart"/>
      <w:r w:rsidRPr="00110728">
        <w:t>pārredzamību</w:t>
      </w:r>
      <w:proofErr w:type="spellEnd"/>
      <w:r w:rsidRPr="00110728">
        <w:t xml:space="preserve"> un </w:t>
      </w:r>
      <w:proofErr w:type="spellStart"/>
      <w:r w:rsidRPr="00110728">
        <w:t>pārskatatbildību</w:t>
      </w:r>
      <w:proofErr w:type="spellEnd"/>
      <w:r w:rsidRPr="00110728">
        <w:t xml:space="preserve"> tiesību aktu sagatavošanas un ieviešanas procesā;</w:t>
      </w:r>
    </w:p>
    <w:p w:rsidR="00B1409C" w:rsidRPr="00110728" w:rsidRDefault="00B1409C" w:rsidP="008B547C">
      <w:pPr>
        <w:pStyle w:val="NormalHanging12a"/>
        <w:widowControl/>
        <w:ind w:left="1127" w:hanging="560"/>
        <w:rPr>
          <w:bCs/>
          <w:szCs w:val="24"/>
        </w:rPr>
      </w:pPr>
      <w:r w:rsidRPr="00110728">
        <w:t>–</w:t>
      </w:r>
      <w:r w:rsidRPr="00110728">
        <w:tab/>
        <w:t>oficiālā “apdraudējuma stāvokļa” turpināšanu, kas piešķir valdībai plašas ārkārtas pilnvaras un ļauj tai ar ārkārtas dekrētu palīdzību atcelt augstāka līmeņa likumus;</w:t>
      </w:r>
    </w:p>
    <w:p w:rsidR="00B1409C" w:rsidRPr="00110728" w:rsidRDefault="00B1409C" w:rsidP="008B547C">
      <w:pPr>
        <w:pStyle w:val="NormalHanging12a"/>
        <w:widowControl/>
        <w:ind w:left="1127" w:hanging="560"/>
        <w:rPr>
          <w:szCs w:val="24"/>
        </w:rPr>
      </w:pPr>
      <w:r w:rsidRPr="00110728">
        <w:t>–</w:t>
      </w:r>
      <w:r w:rsidRPr="00110728">
        <w:tab/>
        <w:t>jēgpilna sabiedriskās apspriešanas procesa trūkums attiecībā uz svarīgiem likumprojektiem;</w:t>
      </w:r>
    </w:p>
    <w:p w:rsidR="00B1409C" w:rsidRPr="00110728" w:rsidRDefault="00B1409C" w:rsidP="008B547C">
      <w:pPr>
        <w:pStyle w:val="NormalHanging12a"/>
        <w:widowControl/>
        <w:ind w:left="1127" w:hanging="560"/>
        <w:rPr>
          <w:szCs w:val="24"/>
        </w:rPr>
      </w:pPr>
      <w:r w:rsidRPr="00110728">
        <w:t>–</w:t>
      </w:r>
      <w:r w:rsidRPr="00110728">
        <w:tab/>
        <w:t>pilnvaru atņemšanu neatkarīgām struktūrām un spiedienu uz to neatkarību;</w:t>
      </w:r>
    </w:p>
    <w:p w:rsidR="00B1409C" w:rsidRPr="00110728" w:rsidRDefault="00B1409C" w:rsidP="008B547C">
      <w:pPr>
        <w:pStyle w:val="NormalHanging12a"/>
        <w:widowControl/>
        <w:ind w:left="1127" w:hanging="560"/>
        <w:rPr>
          <w:bCs/>
          <w:szCs w:val="24"/>
        </w:rPr>
      </w:pPr>
      <w:r w:rsidRPr="00110728">
        <w:t>–</w:t>
      </w:r>
      <w:r w:rsidRPr="00110728">
        <w:tab/>
        <w:t>visaptverošu likumprojektu izmantošanu, lai grozītu dažādus tiesību aktus;</w:t>
      </w:r>
    </w:p>
    <w:p w:rsidR="00B1409C" w:rsidRPr="00110728" w:rsidRDefault="00B1409C" w:rsidP="00B1409C">
      <w:pPr>
        <w:pStyle w:val="NormalHanging12a"/>
        <w:rPr>
          <w:szCs w:val="24"/>
        </w:rPr>
      </w:pPr>
      <w:r w:rsidRPr="00110728">
        <w:t>N.</w:t>
      </w:r>
      <w:r w:rsidRPr="00110728">
        <w:tab/>
        <w:t>tā kā nepilnīgais saraksts ar joprojām pastāvošajiem nopietnajiem trūkumiem, kas saistīti ar pilsoniskās sabiedrības darbību, ietver:</w:t>
      </w:r>
    </w:p>
    <w:p w:rsidR="00B1409C" w:rsidRPr="00110728" w:rsidRDefault="00B1409C" w:rsidP="008B547C">
      <w:pPr>
        <w:pStyle w:val="NormalHanging12a"/>
        <w:widowControl/>
        <w:ind w:left="1127" w:hanging="560"/>
        <w:rPr>
          <w:szCs w:val="24"/>
        </w:rPr>
      </w:pPr>
      <w:r w:rsidRPr="00110728">
        <w:t>–</w:t>
      </w:r>
      <w:r w:rsidRPr="00110728">
        <w:tab/>
        <w:t xml:space="preserve">atturošu ietekmi, ko rada dažādi tiesību akti, kuru mērķis ir ierobežot neatkarīgu pilsoniskās sabiedrības organizāciju pastāvēšanu un darbību, piemēram, likums par ārvalstu līdzekļus saņemošo organizāciju </w:t>
      </w:r>
      <w:proofErr w:type="spellStart"/>
      <w:r w:rsidRPr="00110728">
        <w:t>pārredzamību</w:t>
      </w:r>
      <w:proofErr w:type="spellEnd"/>
      <w:r w:rsidRPr="00110728">
        <w:t xml:space="preserve"> un likums par valsts suverenitātes aizsardzību;</w:t>
      </w:r>
    </w:p>
    <w:p w:rsidR="00B1409C" w:rsidRPr="00110728" w:rsidRDefault="00B1409C" w:rsidP="008B547C">
      <w:pPr>
        <w:pStyle w:val="NormalHanging12a"/>
        <w:widowControl/>
        <w:ind w:left="1127" w:hanging="560"/>
        <w:rPr>
          <w:szCs w:val="24"/>
        </w:rPr>
      </w:pPr>
      <w:r w:rsidRPr="00110728">
        <w:t>–</w:t>
      </w:r>
      <w:r w:rsidRPr="00110728">
        <w:tab/>
        <w:t>nomelnošanas kampaņas un pilsoniskās sabiedrības organizāciju pārstāvju aizskaršanu;</w:t>
      </w:r>
    </w:p>
    <w:p w:rsidR="00B1409C" w:rsidRPr="00110728" w:rsidRDefault="00B1409C" w:rsidP="008B547C">
      <w:pPr>
        <w:pStyle w:val="NormalHanging12a"/>
        <w:widowControl/>
        <w:ind w:left="1127" w:hanging="560"/>
        <w:rPr>
          <w:szCs w:val="24"/>
        </w:rPr>
      </w:pPr>
      <w:r w:rsidRPr="00110728">
        <w:t>–</w:t>
      </w:r>
      <w:r w:rsidRPr="00110728">
        <w:tab/>
        <w:t>publiskā finansējuma trūkumu neatkarīgām pilsoniskās sabiedrības organizācijām un finansiālu atbalstu valdību atbalstošām organizācijām vai ar valdību saistītām organizācijām;</w:t>
      </w:r>
    </w:p>
    <w:p w:rsidR="00B1409C" w:rsidRPr="00110728" w:rsidRDefault="00B1409C" w:rsidP="008B547C">
      <w:pPr>
        <w:pStyle w:val="NormalHanging12a"/>
        <w:widowControl/>
        <w:ind w:left="1127" w:hanging="560"/>
        <w:rPr>
          <w:szCs w:val="24"/>
        </w:rPr>
      </w:pPr>
      <w:r w:rsidRPr="00110728">
        <w:t>–</w:t>
      </w:r>
      <w:r w:rsidRPr="00110728">
        <w:tab/>
        <w:t xml:space="preserve">pilsoniskās sabiedrības organizāciju un to pārstāvju iespējamo pakļaušanu </w:t>
      </w:r>
      <w:r w:rsidRPr="00110728">
        <w:rPr>
          <w:i/>
        </w:rPr>
        <w:t>SPO</w:t>
      </w:r>
      <w:r w:rsidRPr="00110728">
        <w:t xml:space="preserve"> īstenotai uzraudzībai un izmeklēšanai,</w:t>
      </w:r>
    </w:p>
    <w:p w:rsidR="00B1409C" w:rsidRPr="00110728" w:rsidRDefault="00B1409C" w:rsidP="00B1409C">
      <w:pPr>
        <w:pStyle w:val="NormalHanging12a"/>
        <w:rPr>
          <w:szCs w:val="24"/>
        </w:rPr>
      </w:pPr>
      <w:r w:rsidRPr="00110728">
        <w:t>O.</w:t>
      </w:r>
      <w:r w:rsidRPr="00110728">
        <w:tab/>
        <w:t>tā kā nepilnīgais saraksts ar joprojām pastāvošajiem nopietnajiem trūkumiem, kas saistīti ar ES finanšu interešu aizsardzību ietver:</w:t>
      </w:r>
    </w:p>
    <w:p w:rsidR="00B1409C" w:rsidRPr="00110728" w:rsidRDefault="00B1409C" w:rsidP="008B547C">
      <w:pPr>
        <w:pStyle w:val="NormalHanging12a"/>
        <w:widowControl/>
        <w:ind w:left="1127" w:hanging="560"/>
        <w:rPr>
          <w:szCs w:val="24"/>
        </w:rPr>
      </w:pPr>
      <w:r w:rsidRPr="00110728">
        <w:t>–</w:t>
      </w:r>
      <w:r w:rsidRPr="00110728">
        <w:tab/>
        <w:t>to iestāžu darbību, kuras īsteno ES budžetu;</w:t>
      </w:r>
    </w:p>
    <w:p w:rsidR="00B1409C" w:rsidRPr="00110728" w:rsidRDefault="00B1409C" w:rsidP="008B547C">
      <w:pPr>
        <w:pStyle w:val="NormalHanging12a"/>
        <w:widowControl/>
        <w:ind w:left="1127" w:hanging="560"/>
        <w:rPr>
          <w:szCs w:val="24"/>
        </w:rPr>
      </w:pPr>
      <w:r w:rsidRPr="00110728">
        <w:t>–</w:t>
      </w:r>
      <w:r w:rsidRPr="00110728">
        <w:tab/>
        <w:t>sistemātiskus pārkāpumus, trūkumus un nepilnības publiskajā iepirkumā, tostarp lielu skaitu izsoles procedūru, kurās ir tikai viens piedāvājums, un konkurences trūkumu publiskā iepirkuma sistēmā;</w:t>
      </w:r>
    </w:p>
    <w:p w:rsidR="00B1409C" w:rsidRPr="00110728" w:rsidRDefault="00B1409C" w:rsidP="008B547C">
      <w:pPr>
        <w:pStyle w:val="NormalHanging12a"/>
        <w:widowControl/>
        <w:ind w:left="1127" w:hanging="560"/>
        <w:rPr>
          <w:szCs w:val="24"/>
        </w:rPr>
      </w:pPr>
      <w:r w:rsidRPr="00110728">
        <w:t>–</w:t>
      </w:r>
      <w:r w:rsidRPr="00110728">
        <w:tab/>
        <w:t>nepilnības revīzijas un kontroles mehānismos, kuru mērķis ir garantēt ES līdzekļu pareizu izmantošanu;</w:t>
      </w:r>
    </w:p>
    <w:p w:rsidR="00B1409C" w:rsidRPr="00110728" w:rsidRDefault="00B1409C" w:rsidP="008B547C">
      <w:pPr>
        <w:pStyle w:val="NormalHanging12a"/>
        <w:widowControl/>
        <w:ind w:left="1127" w:hanging="560"/>
        <w:rPr>
          <w:szCs w:val="24"/>
        </w:rPr>
      </w:pPr>
      <w:r w:rsidRPr="00110728">
        <w:t>–</w:t>
      </w:r>
      <w:r w:rsidRPr="00110728">
        <w:tab/>
        <w:t>nepietiekamas spējas novērst krāpšanos, korupciju vai citus Savienības tiesību aktu pārkāpumus saistībā ar ES budžeta izpildi vai ES finanšu interešu aizsardzību un piespriest pelnīto sodu;</w:t>
      </w:r>
    </w:p>
    <w:p w:rsidR="00B1409C" w:rsidRPr="00110728" w:rsidRDefault="00B1409C" w:rsidP="008B547C">
      <w:pPr>
        <w:pStyle w:val="NormalHanging12a"/>
        <w:widowControl/>
        <w:ind w:left="1127" w:hanging="560"/>
        <w:rPr>
          <w:szCs w:val="24"/>
        </w:rPr>
      </w:pPr>
      <w:r w:rsidRPr="00110728">
        <w:t>–</w:t>
      </w:r>
      <w:r w:rsidRPr="00110728">
        <w:tab/>
      </w:r>
      <w:r w:rsidRPr="00110728">
        <w:rPr>
          <w:i/>
        </w:rPr>
        <w:t>ARACHNE</w:t>
      </w:r>
      <w:r w:rsidRPr="00110728">
        <w:t xml:space="preserve"> instrumenta neatbilstošu piemērošanu;</w:t>
      </w:r>
    </w:p>
    <w:p w:rsidR="00B1409C" w:rsidRPr="00110728" w:rsidRDefault="00B1409C" w:rsidP="008B547C">
      <w:pPr>
        <w:pStyle w:val="NormalHanging12a"/>
        <w:widowControl/>
        <w:ind w:left="1127" w:hanging="560"/>
        <w:rPr>
          <w:szCs w:val="24"/>
        </w:rPr>
      </w:pPr>
      <w:r w:rsidRPr="00110728">
        <w:lastRenderedPageBreak/>
        <w:t>–</w:t>
      </w:r>
      <w:r w:rsidRPr="00110728">
        <w:tab/>
      </w:r>
      <w:proofErr w:type="spellStart"/>
      <w:r w:rsidRPr="00110728">
        <w:t>pārredzamības</w:t>
      </w:r>
      <w:proofErr w:type="spellEnd"/>
      <w:r w:rsidRPr="00110728">
        <w:t xml:space="preserve"> trūkumu attiecībā uz to, kā sabiedriskas nozīmes aktīvu pārvaldības fondi izmanto ES līdzekļus;</w:t>
      </w:r>
    </w:p>
    <w:p w:rsidR="00B1409C" w:rsidRPr="00110728" w:rsidRDefault="00B1409C" w:rsidP="008B547C">
      <w:pPr>
        <w:pStyle w:val="NormalHanging12a"/>
        <w:widowControl/>
        <w:ind w:left="1127" w:hanging="560"/>
        <w:rPr>
          <w:szCs w:val="24"/>
        </w:rPr>
      </w:pPr>
      <w:r w:rsidRPr="00110728">
        <w:t>–</w:t>
      </w:r>
      <w:r w:rsidRPr="00110728">
        <w:tab/>
        <w:t>Ungārijas nespēju iesaistītes Eiropas Prokuratūras (</w:t>
      </w:r>
      <w:r w:rsidRPr="00110728">
        <w:rPr>
          <w:i/>
        </w:rPr>
        <w:t>EPPO</w:t>
      </w:r>
      <w:r w:rsidRPr="00110728">
        <w:t>) darbā,</w:t>
      </w:r>
    </w:p>
    <w:p w:rsidR="00B1409C" w:rsidRPr="00110728" w:rsidRDefault="00B1409C" w:rsidP="00B1409C">
      <w:pPr>
        <w:pStyle w:val="NormalHanging12a"/>
        <w:rPr>
          <w:szCs w:val="24"/>
        </w:rPr>
      </w:pPr>
      <w:r w:rsidRPr="00110728">
        <w:t>P.</w:t>
      </w:r>
      <w:r w:rsidRPr="00110728">
        <w:tab/>
        <w:t>tā kā nepilnīgais saraksts ar joprojām pastāvošajiem nopietnajiem trūkumiem, kas saistīti ar atbilstību vienotā tirgus principiem un noteikumiem, ietver:</w:t>
      </w:r>
    </w:p>
    <w:p w:rsidR="00B1409C" w:rsidRPr="00110728" w:rsidRDefault="00B1409C" w:rsidP="008B547C">
      <w:pPr>
        <w:pStyle w:val="NormalHanging12a"/>
        <w:widowControl/>
        <w:ind w:left="1127" w:hanging="560"/>
        <w:rPr>
          <w:bCs/>
          <w:szCs w:val="24"/>
        </w:rPr>
      </w:pPr>
      <w:r w:rsidRPr="00110728">
        <w:t>–</w:t>
      </w:r>
      <w:r w:rsidRPr="00110728">
        <w:tab/>
        <w:t>diskriminējošu praksi pret uzņēmumiem, kas darbojas jomās, kuras Ungārijas valdībai ir stratēģiski nozīmīgas;</w:t>
      </w:r>
    </w:p>
    <w:p w:rsidR="00B1409C" w:rsidRPr="00110728" w:rsidRDefault="00B1409C" w:rsidP="008B547C">
      <w:pPr>
        <w:pStyle w:val="NormalHanging12a"/>
        <w:widowControl/>
        <w:ind w:left="1127" w:hanging="560"/>
        <w:rPr>
          <w:bCs/>
          <w:szCs w:val="24"/>
        </w:rPr>
      </w:pPr>
      <w:r w:rsidRPr="00110728">
        <w:t>–</w:t>
      </w:r>
      <w:r w:rsidRPr="00110728">
        <w:tab/>
        <w:t>valsts varas un likumdošanas varas ļaunprātīgu izmantošanu un iebiedēšanas metožu izmantošanu pret ekonomikas dalībniekiem, kas darbojas jomās, kuras Ungārijas valdībai ir stratēģiski nozīmīgas,</w:t>
      </w:r>
    </w:p>
    <w:p w:rsidR="00B1409C" w:rsidRPr="00110728" w:rsidRDefault="00B1409C" w:rsidP="00B1409C">
      <w:pPr>
        <w:pStyle w:val="NormalHanging12a"/>
        <w:rPr>
          <w:szCs w:val="24"/>
        </w:rPr>
      </w:pPr>
      <w:r w:rsidRPr="00110728">
        <w:t>Q.</w:t>
      </w:r>
      <w:r w:rsidRPr="00110728">
        <w:tab/>
        <w:t xml:space="preserve">tā kā Ungārijas valdība nav arī centusies novērst citas bažas, kas konstatētas Parlamenta 2022. gada 15. septembra rezolūcijā un attiecas uz </w:t>
      </w:r>
      <w:proofErr w:type="spellStart"/>
      <w:r w:rsidRPr="00110728">
        <w:t>pamattiesībām</w:t>
      </w:r>
      <w:proofErr w:type="spellEnd"/>
      <w:r w:rsidRPr="00110728">
        <w:t>, piemēram:</w:t>
      </w:r>
    </w:p>
    <w:p w:rsidR="00B1409C" w:rsidRPr="00110728" w:rsidRDefault="00B1409C" w:rsidP="008B547C">
      <w:pPr>
        <w:pStyle w:val="NormalHanging12a"/>
        <w:widowControl/>
        <w:ind w:left="1127" w:hanging="560"/>
        <w:rPr>
          <w:szCs w:val="24"/>
        </w:rPr>
      </w:pPr>
      <w:r w:rsidRPr="00110728">
        <w:t>–</w:t>
      </w:r>
      <w:r w:rsidRPr="00110728">
        <w:tab/>
        <w:t>akadēmisko brīvību;</w:t>
      </w:r>
    </w:p>
    <w:p w:rsidR="00B1409C" w:rsidRPr="00110728" w:rsidRDefault="00B1409C" w:rsidP="008B547C">
      <w:pPr>
        <w:pStyle w:val="NormalHanging12a"/>
        <w:widowControl/>
        <w:ind w:left="1127" w:hanging="560"/>
        <w:rPr>
          <w:szCs w:val="24"/>
        </w:rPr>
      </w:pPr>
      <w:r w:rsidRPr="00110728">
        <w:t>–</w:t>
      </w:r>
      <w:r w:rsidRPr="00110728">
        <w:tab/>
        <w:t>reliģiskās pārliecības brīvību; </w:t>
      </w:r>
    </w:p>
    <w:p w:rsidR="00B1409C" w:rsidRPr="00110728" w:rsidRDefault="00B1409C" w:rsidP="008B547C">
      <w:pPr>
        <w:pStyle w:val="NormalHanging12a"/>
        <w:widowControl/>
        <w:ind w:left="1127" w:hanging="560"/>
        <w:rPr>
          <w:szCs w:val="24"/>
        </w:rPr>
      </w:pPr>
      <w:r w:rsidRPr="00110728">
        <w:t>–</w:t>
      </w:r>
      <w:r w:rsidRPr="00110728">
        <w:tab/>
        <w:t xml:space="preserve">tiesībām uz vienlīdzīgu attieksmi, tostarp </w:t>
      </w:r>
      <w:r w:rsidRPr="00110728">
        <w:rPr>
          <w:i/>
        </w:rPr>
        <w:t>LGBTIK</w:t>
      </w:r>
      <w:r w:rsidRPr="00110728">
        <w:t xml:space="preserve"> tiesībām;</w:t>
      </w:r>
    </w:p>
    <w:p w:rsidR="00B1409C" w:rsidRPr="00110728" w:rsidRDefault="00B1409C" w:rsidP="008B547C">
      <w:pPr>
        <w:pStyle w:val="NormalHanging12a"/>
        <w:widowControl/>
        <w:ind w:left="1127" w:hanging="560"/>
        <w:rPr>
          <w:szCs w:val="24"/>
        </w:rPr>
      </w:pPr>
      <w:r w:rsidRPr="00110728">
        <w:t>–</w:t>
      </w:r>
      <w:r w:rsidRPr="00110728">
        <w:tab/>
        <w:t xml:space="preserve">minoritāšu, tostarp </w:t>
      </w:r>
      <w:proofErr w:type="spellStart"/>
      <w:r w:rsidRPr="00110728">
        <w:t>romu</w:t>
      </w:r>
      <w:proofErr w:type="spellEnd"/>
      <w:r w:rsidRPr="00110728">
        <w:t xml:space="preserve"> un ebreju, tiesībām; aizsardzību pret minoritātēm naidīgiem paziņojumiem;</w:t>
      </w:r>
    </w:p>
    <w:p w:rsidR="00B1409C" w:rsidRPr="00110728" w:rsidRDefault="00B1409C" w:rsidP="008B547C">
      <w:pPr>
        <w:pStyle w:val="NormalHanging12a"/>
        <w:widowControl/>
        <w:ind w:left="1127" w:hanging="560"/>
        <w:rPr>
          <w:szCs w:val="24"/>
        </w:rPr>
      </w:pPr>
      <w:r w:rsidRPr="00110728">
        <w:t>–</w:t>
      </w:r>
      <w:r w:rsidRPr="00110728">
        <w:tab/>
        <w:t xml:space="preserve">migrantu, patvēruma meklētāju un bēgļu </w:t>
      </w:r>
      <w:proofErr w:type="spellStart"/>
      <w:r w:rsidRPr="00110728">
        <w:t>pamattiesībām</w:t>
      </w:r>
      <w:proofErr w:type="spellEnd"/>
      <w:r w:rsidRPr="00110728">
        <w:t>;</w:t>
      </w:r>
    </w:p>
    <w:p w:rsidR="00B1409C" w:rsidRPr="00110728" w:rsidRDefault="00B1409C" w:rsidP="008B547C">
      <w:pPr>
        <w:pStyle w:val="NormalHanging12a"/>
        <w:widowControl/>
        <w:ind w:left="1127" w:hanging="560"/>
        <w:rPr>
          <w:szCs w:val="24"/>
        </w:rPr>
      </w:pPr>
      <w:r w:rsidRPr="00110728">
        <w:t>–</w:t>
      </w:r>
      <w:r w:rsidRPr="00110728">
        <w:tab/>
        <w:t>ekonomiskajām un sociālajām tiesībām,</w:t>
      </w:r>
    </w:p>
    <w:p w:rsidR="00B1409C" w:rsidRPr="00110728" w:rsidRDefault="00B1409C" w:rsidP="00B1409C">
      <w:pPr>
        <w:pStyle w:val="NormalHanging12a"/>
        <w:rPr>
          <w:szCs w:val="24"/>
        </w:rPr>
      </w:pPr>
      <w:r w:rsidRPr="00110728">
        <w:t>R.</w:t>
      </w:r>
      <w:r w:rsidRPr="00110728">
        <w:tab/>
        <w:t xml:space="preserve">tā kā 2023. gada 23. decembrī stājās spēkā Nacionālās suverenitātes aizsardzības likums; tā kā tā rezultātā tika izveidots jaunais </w:t>
      </w:r>
      <w:r w:rsidRPr="00110728">
        <w:rPr>
          <w:i/>
        </w:rPr>
        <w:t>SPO</w:t>
      </w:r>
      <w:r w:rsidRPr="00110728">
        <w:t xml:space="preserve"> un grozīts Kriminālkodekss, lai cita starpā paredzētu cietumsodu par ārvalstu finansējuma izmantošanu politiskām kampaņām; tā kā Eiropas Padomes cilvēktiesību komisāre 2023. gada 27. novembra paziņojumā norādīja, ka minētā likuma projekts rada būtisku risku cilvēktiesībām un no tā būtu jāatsakās; tā kā Venēcijas komisija 2024. gada 18. marta atzinumā norādīja, ka ierobežojumi attiecībā uz ārvalstu finansējumu politiskajām partijām un vēlēšanu kampaņām tiek bieži izmantoti un, principā, atbilst starptautiskai </w:t>
      </w:r>
      <w:proofErr w:type="spellStart"/>
      <w:r w:rsidRPr="00110728">
        <w:t>paraugpraksei</w:t>
      </w:r>
      <w:proofErr w:type="spellEnd"/>
      <w:r w:rsidRPr="00110728">
        <w:t xml:space="preserve"> un standartiem, taču tiesību aktu grozījumos nav skaidri noteikts, kāda veida kampaņas darbības ir aizliegtas un kā noteikt, ka tās ir finansētas no ārvalstu sniegtiem līdzekļiem; tā kā Venēcijas komisija savā atzinumā arī norādīja, ka grozījumos nav ņemta vērā politisko partiju sadarbība starptautiskā līmenī, netiek pieļauta starptautisko organizāciju veikta finansēšana un nav paredzēta starptautisko saistību ievērošana, tostarp saistības, kas izriet no dalības ES; tā kā 2024. gada 7. februārī Komisija nolēma sākt pārkāpuma procedūru pret Ungāriju, jo tā uzskatīja, ka tās tiesību akti pārkāpj vairākus ES primāro un sekundāro tiesību aktu noteikumus, tostarp ES demokrātiskās vērtības, demokrātijas principu un ES pilsoņu vēlēšanu tiesības, kā arī vairākas Hartā nostiprinātās </w:t>
      </w:r>
      <w:proofErr w:type="spellStart"/>
      <w:r w:rsidRPr="00110728">
        <w:t>pamattiesības</w:t>
      </w:r>
      <w:proofErr w:type="spellEnd"/>
      <w:r w:rsidRPr="00110728">
        <w:t xml:space="preserve">, piemēram, tiesības uz privātās un ģimenes dzīves neaizskaramību, tiesības uz personas datu aizsardzību, vārda un informācijas brīvību, biedrošanās brīvību, ES pilsoņu vēlēšanu tiesības, tiesības uz efektīvu tiesību aizsardzību un taisnīgu tiesu, tiesības neliecināt pret sevi un advokāta un klienta saziņas konfidencialitāti, ES tiesību aktu prasības attiecībā uz datu aizsardzību un vairākus </w:t>
      </w:r>
      <w:r w:rsidRPr="00110728">
        <w:lastRenderedPageBreak/>
        <w:t>vienotajā tirgū piemērojamus noteikumus;</w:t>
      </w:r>
    </w:p>
    <w:p w:rsidR="00B1409C" w:rsidRPr="00110728" w:rsidRDefault="00B1409C" w:rsidP="00B1409C">
      <w:pPr>
        <w:pStyle w:val="NormalHanging12a"/>
        <w:rPr>
          <w:szCs w:val="24"/>
        </w:rPr>
      </w:pPr>
      <w:r w:rsidRPr="00110728">
        <w:t>S.</w:t>
      </w:r>
      <w:r w:rsidRPr="00110728">
        <w:tab/>
        <w:t>tā kā kopš starpposma ziņojuma pieņemšanas EST spriedumā lietā C-823/21</w:t>
      </w:r>
      <w:r w:rsidRPr="00110728">
        <w:rPr>
          <w:rStyle w:val="FootnoteReference"/>
          <w:szCs w:val="24"/>
        </w:rPr>
        <w:footnoteReference w:id="7"/>
      </w:r>
      <w:r w:rsidRPr="00110728">
        <w:t xml:space="preserve"> Eiropas Komisija pret Ungāriju paziņoja, ka, sagatavot starptautiskās aizsardzības pieteikumu pakārtojot nosacījumam par iepriekšēju paziņojuma par nodomu iesniegšanu Ungārijas vēstniecībā, kas atrodas trešā valstī, Ungārija nav izpildījusi savus pienākumus saskaņā ar ES tiesību aktiem patvēruma jomā;</w:t>
      </w:r>
    </w:p>
    <w:p w:rsidR="00B1409C" w:rsidRPr="00110728" w:rsidRDefault="00B1409C" w:rsidP="00B1409C">
      <w:pPr>
        <w:pStyle w:val="NormalHanging12a"/>
        <w:rPr>
          <w:szCs w:val="24"/>
        </w:rPr>
      </w:pPr>
      <w:r w:rsidRPr="00110728">
        <w:t>T.</w:t>
      </w:r>
      <w:r w:rsidRPr="00110728">
        <w:tab/>
        <w:t xml:space="preserve">tā kā Eiropas Cilvēktiesību tiesas (ECT) 2022. gada 10. novembra spriedumā lietā </w:t>
      </w:r>
      <w:proofErr w:type="spellStart"/>
      <w:r w:rsidRPr="00110728">
        <w:rPr>
          <w:i/>
          <w:iCs/>
        </w:rPr>
        <w:t>Bakirdzi</w:t>
      </w:r>
      <w:proofErr w:type="spellEnd"/>
      <w:r w:rsidRPr="00110728">
        <w:t xml:space="preserve"> </w:t>
      </w:r>
      <w:r w:rsidRPr="00110728">
        <w:rPr>
          <w:i/>
          <w:iCs/>
        </w:rPr>
        <w:t>un EK pret Ungāriju</w:t>
      </w:r>
      <w:r w:rsidRPr="00110728">
        <w:t xml:space="preserve"> (</w:t>
      </w:r>
      <w:r w:rsidR="0010658D" w:rsidRPr="0010658D">
        <w:rPr>
          <w:shd w:val="clear" w:color="auto" w:fill="FFFFFF"/>
        </w:rPr>
        <w:t>49636/14</w:t>
      </w:r>
      <w:r w:rsidRPr="00110728">
        <w:t xml:space="preserve"> </w:t>
      </w:r>
      <w:r w:rsidRPr="00110728">
        <w:rPr>
          <w:shd w:val="clear" w:color="auto" w:fill="FFFFFF"/>
        </w:rPr>
        <w:t>un</w:t>
      </w:r>
      <w:r w:rsidRPr="00110728">
        <w:t xml:space="preserve"> </w:t>
      </w:r>
      <w:r w:rsidR="0010658D" w:rsidRPr="0010658D">
        <w:rPr>
          <w:shd w:val="clear" w:color="auto" w:fill="FFFFFF"/>
        </w:rPr>
        <w:t>65678/14</w:t>
      </w:r>
      <w:r w:rsidRPr="00110728">
        <w:t xml:space="preserve">), kas kļuva galīgs 2023. gada 3. aprīlī, un 2023. gada 30. marta spriedumā lietā </w:t>
      </w:r>
      <w:proofErr w:type="spellStart"/>
      <w:r w:rsidRPr="00110728">
        <w:rPr>
          <w:i/>
          <w:iCs/>
        </w:rPr>
        <w:t>Szolcsán</w:t>
      </w:r>
      <w:proofErr w:type="spellEnd"/>
      <w:r w:rsidRPr="00110728">
        <w:rPr>
          <w:i/>
          <w:iCs/>
        </w:rPr>
        <w:t xml:space="preserve"> pret Ungāriju</w:t>
      </w:r>
      <w:r w:rsidRPr="00110728">
        <w:t xml:space="preserve"> </w:t>
      </w:r>
      <w:r w:rsidRPr="00110728">
        <w:rPr>
          <w:rStyle w:val="textcolumn"/>
          <w:shd w:val="clear" w:color="auto" w:fill="FFFFFF"/>
        </w:rPr>
        <w:t>(24408/16)</w:t>
      </w:r>
      <w:r w:rsidRPr="00110728">
        <w:t xml:space="preserve">, kas kļuva galīgs 2023. gada 30. jūnijā, ECT konstatēja pārkāpumus saistībā ar nacionālo minoritāšu vēlētāju balsstiesībām un </w:t>
      </w:r>
      <w:proofErr w:type="spellStart"/>
      <w:r w:rsidRPr="00110728">
        <w:t>romu</w:t>
      </w:r>
      <w:proofErr w:type="spellEnd"/>
      <w:r w:rsidRPr="00110728">
        <w:t xml:space="preserve"> bērnu izglītošanu nošķirtās klasēs vai skolās, neveicot atbilstošus pasākumus nevienlīdzības novēršanai;</w:t>
      </w:r>
    </w:p>
    <w:p w:rsidR="00B1409C" w:rsidRPr="00110728" w:rsidRDefault="00B1409C" w:rsidP="00B1409C">
      <w:pPr>
        <w:pStyle w:val="NormalHanging12a"/>
        <w:rPr>
          <w:szCs w:val="24"/>
        </w:rPr>
      </w:pPr>
      <w:r w:rsidRPr="00110728">
        <w:t>U.</w:t>
      </w:r>
      <w:r w:rsidRPr="00110728">
        <w:tab/>
        <w:t xml:space="preserve">tā kā Eiropas Padomes Ministru komiteja savos lēmumos par ECT spriedumu izpildes pastiprinātu uzraudzību lietās un lietu grupās </w:t>
      </w:r>
      <w:proofErr w:type="spellStart"/>
      <w:r w:rsidRPr="00110728">
        <w:rPr>
          <w:i/>
          <w:iCs/>
        </w:rPr>
        <w:t>Szabó</w:t>
      </w:r>
      <w:proofErr w:type="spellEnd"/>
      <w:r w:rsidRPr="00110728">
        <w:rPr>
          <w:i/>
          <w:iCs/>
        </w:rPr>
        <w:t xml:space="preserve"> un </w:t>
      </w:r>
      <w:proofErr w:type="spellStart"/>
      <w:r w:rsidRPr="00110728">
        <w:rPr>
          <w:i/>
          <w:iCs/>
        </w:rPr>
        <w:t>Vissy</w:t>
      </w:r>
      <w:proofErr w:type="spellEnd"/>
      <w:r w:rsidRPr="00110728">
        <w:rPr>
          <w:i/>
          <w:iCs/>
        </w:rPr>
        <w:t xml:space="preserve"> pret Ungāriju</w:t>
      </w:r>
      <w:r w:rsidRPr="00110728">
        <w:rPr>
          <w:rStyle w:val="FootnoteReference"/>
          <w:i/>
          <w:szCs w:val="24"/>
        </w:rPr>
        <w:footnoteReference w:id="8"/>
      </w:r>
      <w:r w:rsidRPr="00110728">
        <w:t xml:space="preserve">, </w:t>
      </w:r>
      <w:proofErr w:type="spellStart"/>
      <w:r w:rsidRPr="00110728">
        <w:rPr>
          <w:i/>
        </w:rPr>
        <w:t>Gazsó</w:t>
      </w:r>
      <w:proofErr w:type="spellEnd"/>
      <w:r w:rsidRPr="00110728">
        <w:t xml:space="preserve"> </w:t>
      </w:r>
      <w:r w:rsidRPr="00110728">
        <w:rPr>
          <w:i/>
          <w:iCs/>
        </w:rPr>
        <w:t>pret Ungāriju</w:t>
      </w:r>
      <w:r w:rsidRPr="00110728">
        <w:rPr>
          <w:rStyle w:val="FootnoteReference"/>
          <w:i/>
          <w:szCs w:val="24"/>
        </w:rPr>
        <w:footnoteReference w:id="9"/>
      </w:r>
      <w:r w:rsidRPr="00110728">
        <w:t xml:space="preserve">, </w:t>
      </w:r>
      <w:proofErr w:type="spellStart"/>
      <w:r w:rsidRPr="00110728">
        <w:rPr>
          <w:i/>
          <w:iCs/>
        </w:rPr>
        <w:t>Ilias</w:t>
      </w:r>
      <w:proofErr w:type="spellEnd"/>
      <w:r w:rsidRPr="00110728">
        <w:rPr>
          <w:i/>
          <w:iCs/>
        </w:rPr>
        <w:t xml:space="preserve"> un Ahmed pret Ungāriju</w:t>
      </w:r>
      <w:r w:rsidRPr="00110728">
        <w:rPr>
          <w:rStyle w:val="FootnoteReference"/>
          <w:i/>
          <w:szCs w:val="24"/>
        </w:rPr>
        <w:footnoteReference w:id="10"/>
      </w:r>
      <w:r w:rsidRPr="00110728">
        <w:t xml:space="preserve"> un </w:t>
      </w:r>
      <w:r w:rsidRPr="00110728">
        <w:rPr>
          <w:i/>
          <w:iCs/>
        </w:rPr>
        <w:t>Baka pret Ungāriju</w:t>
      </w:r>
      <w:r w:rsidRPr="00110728">
        <w:rPr>
          <w:rStyle w:val="FootnoteReference"/>
          <w:i/>
          <w:szCs w:val="24"/>
        </w:rPr>
        <w:footnoteReference w:id="11"/>
      </w:r>
      <w:r w:rsidRPr="00110728">
        <w:t xml:space="preserve"> atkārtoti pauda bažas par šo spriedumu neizpildi;</w:t>
      </w:r>
    </w:p>
    <w:p w:rsidR="00B1409C" w:rsidRPr="00110728" w:rsidRDefault="00B1409C" w:rsidP="00B1409C">
      <w:pPr>
        <w:pStyle w:val="NormalHanging12a"/>
        <w:rPr>
          <w:szCs w:val="24"/>
        </w:rPr>
      </w:pPr>
      <w:r w:rsidRPr="00110728">
        <w:t>V.</w:t>
      </w:r>
      <w:r w:rsidRPr="00110728">
        <w:tab/>
        <w:t xml:space="preserve">tā kā piektās novērtēšanas kārtas novērtējuma ziņojumā par </w:t>
      </w:r>
      <w:r w:rsidRPr="00110728">
        <w:rPr>
          <w:shd w:val="clear" w:color="auto" w:fill="FFFFFF"/>
        </w:rPr>
        <w:t>Ungāriju Pretkorupcijas starpvalstu grupa</w:t>
      </w:r>
      <w:r w:rsidRPr="00110728">
        <w:t xml:space="preserve"> (</w:t>
      </w:r>
      <w:r w:rsidRPr="00110728">
        <w:rPr>
          <w:i/>
        </w:rPr>
        <w:t>GRECO</w:t>
      </w:r>
      <w:r w:rsidRPr="00110728">
        <w:t xml:space="preserve">) pauda daudzas bažas par to, cik efektīvs ir Ungārijā ieviestais regulējums, lai novērstu korupciju starp augstākā līmeņa vadītājiem un Ungārijas Valsts policijas un Valsts aizsardzības dienesta darbiniekiem; tā kā </w:t>
      </w:r>
      <w:r w:rsidRPr="00110728">
        <w:rPr>
          <w:i/>
        </w:rPr>
        <w:t>GRECO</w:t>
      </w:r>
      <w:r w:rsidRPr="00110728">
        <w:t xml:space="preserve"> norādīja, ka Ungārijas valsts pārvaldes un tiesībaizsardzības iestāžu kopīga un vispārēja iezīme ir tā, ka lielākā daļa integritātes un korupcijas novēršanas pasākumu ir vērsti uz zema un vidēja līmeņa amatpersonām, bet integritātes regulējums, ko piemēro personām ar augstākām izpildvaras funkcijām, ir ļoti vājš un ka nosacījumi augstākā līmeņa vadītāju iecelšanai policijā un Valsts aizsardzības dienestā rada politizācijas risku;</w:t>
      </w:r>
    </w:p>
    <w:p w:rsidR="00B1409C" w:rsidRPr="00110728" w:rsidRDefault="00B1409C" w:rsidP="00B1409C">
      <w:pPr>
        <w:pStyle w:val="NormalHanging12a"/>
        <w:rPr>
          <w:szCs w:val="24"/>
        </w:rPr>
      </w:pPr>
      <w:r w:rsidRPr="00110728">
        <w:t>W.</w:t>
      </w:r>
      <w:r w:rsidRPr="00110728">
        <w:tab/>
        <w:t xml:space="preserve">tā kā Eiropas Komisija pret rasismu un neiecietību savā ziņojumā atzinīgi novērtēja dažas pozitīvas tendences Ungārijā, bet pauda bažas par Vienlīdzīgas attieksmes iestādes likvidēšanu, par to studentu, piemēram, </w:t>
      </w:r>
      <w:proofErr w:type="spellStart"/>
      <w:r w:rsidRPr="00110728">
        <w:t>romu</w:t>
      </w:r>
      <w:proofErr w:type="spellEnd"/>
      <w:r w:rsidRPr="00110728">
        <w:t xml:space="preserve"> studentu, </w:t>
      </w:r>
      <w:proofErr w:type="spellStart"/>
      <w:r w:rsidRPr="00110728">
        <w:t>stigmatizāciju</w:t>
      </w:r>
      <w:proofErr w:type="spellEnd"/>
      <w:r w:rsidRPr="00110728">
        <w:t xml:space="preserve">, kuri nāk no nepietiekami priviliģētas vides un ģimenēm ar zemiem ienākumiem, par LGBTI cilvēktiesību būtisko pasliktināšanos, arvien plašāko </w:t>
      </w:r>
      <w:proofErr w:type="spellStart"/>
      <w:r w:rsidRPr="00110728">
        <w:t>ksenofobisku</w:t>
      </w:r>
      <w:proofErr w:type="spellEnd"/>
      <w:r w:rsidRPr="00110728">
        <w:t xml:space="preserve"> publisko diskursu un politiķu runām, jo īpaši attiecībā uz bēgļiem, patvēruma meklētājiem un migrantiem, musulmaņiem un LGBTI personām, ārkārtīgi ierobežoto tiesiskā regulējuma efektivitāti saistībā ar naida runu, valsts sociālās iekļaušanas stratēģiju neīstenošanu, valsts integrācijas atbalsta izbeigšanu bēgļiem un personām, kurām piešķirta alternatīvā aizsardzība, un ierobežotajām iespējām rast patvērumam šajā valstī;</w:t>
      </w:r>
    </w:p>
    <w:p w:rsidR="00B1409C" w:rsidRPr="00110728" w:rsidRDefault="00B1409C" w:rsidP="00B1409C">
      <w:pPr>
        <w:pStyle w:val="NormalHanging12a"/>
        <w:rPr>
          <w:szCs w:val="24"/>
        </w:rPr>
      </w:pPr>
      <w:r w:rsidRPr="00110728">
        <w:t>X.</w:t>
      </w:r>
      <w:r w:rsidRPr="00110728">
        <w:tab/>
        <w:t xml:space="preserve">tā kā ANO Sieviešu diskriminācijas izskaušanas komiteja savos noslēguma apsvērumos pauda bažas par seksuālo un reproduktīvo veselību un ar tām saistītajām tiesībām, kā arī par to, ka Ungārijas līdztiesības politika balstās tikai ģimenes jēdzienu un uzskatu, ka </w:t>
      </w:r>
      <w:r w:rsidRPr="00110728">
        <w:lastRenderedPageBreak/>
        <w:t>sievietes galvenā loma ir būt sievai un mātei, un ieteica Ungārijai veikt pasākumus, lai publiskajā diskursā vērstos pret dzimumu līdztiesību noliegumu;</w:t>
      </w:r>
    </w:p>
    <w:p w:rsidR="00B1409C" w:rsidRPr="00110728" w:rsidRDefault="00B1409C" w:rsidP="00B1409C">
      <w:pPr>
        <w:pStyle w:val="NormalHanging12a"/>
        <w:rPr>
          <w:szCs w:val="24"/>
        </w:rPr>
      </w:pPr>
      <w:r w:rsidRPr="00110728">
        <w:t>Y.</w:t>
      </w:r>
      <w:r w:rsidRPr="00110728">
        <w:tab/>
        <w:t>tā kā</w:t>
      </w:r>
      <w:r w:rsidRPr="00110728">
        <w:rPr>
          <w:shd w:val="clear" w:color="auto" w:fill="FFFFFF"/>
        </w:rPr>
        <w:t xml:space="preserve"> Eiropas Drošības un sadarbības organizācijas</w:t>
      </w:r>
      <w:r w:rsidRPr="00110728">
        <w:t xml:space="preserve"> pārstāve plašsaziņas līdzekļu brīvības jautājumos savā paziņojumā pēc oficiālas vizītes Ungārijā norādīja, ka, aplūkojot plašsaziņas līdzekļu brīvības situāciju Ungārijā, rodas iespaids par sistēmisku pieeju, saskaņā ar kuru dažus viedokļus nevar paust tik brīvi kā citus;</w:t>
      </w:r>
    </w:p>
    <w:p w:rsidR="00B1409C" w:rsidRPr="00110728" w:rsidRDefault="00B1409C" w:rsidP="00B1409C">
      <w:pPr>
        <w:pStyle w:val="NormalHanging12a"/>
        <w:rPr>
          <w:szCs w:val="24"/>
        </w:rPr>
      </w:pPr>
      <w:r w:rsidRPr="00110728">
        <w:t>Z.</w:t>
      </w:r>
      <w:r w:rsidRPr="00110728">
        <w:tab/>
        <w:t>tā kā ieteikumā par Ungārijas 2023. gada valsts reformu programmu un ar ko sniedz Padomes atzinumu par Ungārijas 2023. gada konverģences programmu (COM(2023)0617) Padome ieteica Ungārijai rīkoties, lai uzlabotu sociālās palīdzības sistēmas atbilstību, uzlabotu piekļuvi efektīviem aktīva darba tirgus pasākumiem, nodrošinātu efektīvu sociālo dialogu un uzlabotu tiesisko regulējumu un konkurenci pakalpojumu jomā saskaņā ar vienotā tirgus un tiesiskuma principiem;</w:t>
      </w:r>
    </w:p>
    <w:p w:rsidR="00B1409C" w:rsidRPr="00110728" w:rsidRDefault="00B1409C" w:rsidP="00B1409C">
      <w:pPr>
        <w:pStyle w:val="NormalHanging12a"/>
        <w:rPr>
          <w:szCs w:val="24"/>
        </w:rPr>
      </w:pPr>
      <w:r w:rsidRPr="00110728">
        <w:t>AA.</w:t>
      </w:r>
      <w:r w:rsidRPr="00110728">
        <w:tab/>
        <w:t xml:space="preserve">tā kā Ungārijas valdība nav īstenojusi vairākus Ungārijas Konstitucionālās tiesas, EST un ECT spriedumus saistībā ar Ungārijas izdarītajiem LES 2. pantā noteikto vērtību pārkāpumiem un nav veikusi turpmākus pasākumus saistībā ar lielāko daļu ieteikumu, kas ietverti Komisijas 2023. gada ziņojumā par tiesiskumu, vai citu starptautisku struktūru, piemēram, </w:t>
      </w:r>
      <w:r w:rsidRPr="00110728">
        <w:rPr>
          <w:i/>
        </w:rPr>
        <w:t>GRECO</w:t>
      </w:r>
      <w:r w:rsidRPr="00110728">
        <w:t>, Venēcijas komisijas u. c. ieteikumiem;</w:t>
      </w:r>
    </w:p>
    <w:p w:rsidR="00B1409C" w:rsidRPr="00110728" w:rsidRDefault="00B1409C" w:rsidP="00B1409C">
      <w:pPr>
        <w:pStyle w:val="NormalHanging12a"/>
        <w:rPr>
          <w:szCs w:val="24"/>
        </w:rPr>
      </w:pPr>
      <w:r w:rsidRPr="00110728">
        <w:t>1.</w:t>
      </w:r>
      <w:r w:rsidRPr="00110728">
        <w:tab/>
        <w:t xml:space="preserve">pauž sašutumu par pastāvīgajiem sistēmiskajiem un tīšajiem demokrātijas, tiesiskuma un </w:t>
      </w:r>
      <w:proofErr w:type="spellStart"/>
      <w:r w:rsidRPr="00110728">
        <w:t>pamattiesību</w:t>
      </w:r>
      <w:proofErr w:type="spellEnd"/>
      <w:r w:rsidRPr="00110728">
        <w:t xml:space="preserve"> pārkāpumiem Ungārijā, par kuriem ir atbildīga Ungārijas valdība;</w:t>
      </w:r>
    </w:p>
    <w:p w:rsidR="00B1409C" w:rsidRPr="00110728" w:rsidRDefault="00B1409C" w:rsidP="00B1409C">
      <w:pPr>
        <w:pStyle w:val="NormalHanging12a"/>
        <w:rPr>
          <w:szCs w:val="24"/>
        </w:rPr>
      </w:pPr>
      <w:r w:rsidRPr="00110728">
        <w:t>2.</w:t>
      </w:r>
      <w:r w:rsidRPr="00110728">
        <w:tab/>
        <w:t xml:space="preserve">uzsver, ka LES 2. pantā noteikto vērtību ievērošana Ungārijā kopš LES 7. panta 1. punkta iedarbināšanas ir būtiski pasliktinājusies, un pauž dziļu nožēlu par to, ka saskaņā ar attiecīgajiem rādītājiem Komisijas un Padomes izlēmīgas rīcības trūkums ir veicinājis demokrātijas, tiesiskuma un </w:t>
      </w:r>
      <w:proofErr w:type="spellStart"/>
      <w:r w:rsidRPr="00110728">
        <w:t>pamattiesību</w:t>
      </w:r>
      <w:proofErr w:type="spellEnd"/>
      <w:r w:rsidRPr="00110728">
        <w:t xml:space="preserve"> sabrukumu šajā valstī, pārveidojot to par </w:t>
      </w:r>
      <w:proofErr w:type="spellStart"/>
      <w:r w:rsidRPr="00110728">
        <w:t>elektorālas</w:t>
      </w:r>
      <w:proofErr w:type="spellEnd"/>
      <w:r w:rsidRPr="00110728">
        <w:t xml:space="preserve"> autokrātijas </w:t>
      </w:r>
      <w:proofErr w:type="spellStart"/>
      <w:r w:rsidRPr="00110728">
        <w:t>hibrīdrežīmu</w:t>
      </w:r>
      <w:proofErr w:type="spellEnd"/>
      <w:r w:rsidRPr="00110728">
        <w:t>;</w:t>
      </w:r>
    </w:p>
    <w:p w:rsidR="00B1409C" w:rsidRPr="00110728" w:rsidRDefault="00B1409C" w:rsidP="00B1409C">
      <w:pPr>
        <w:pStyle w:val="NormalHanging12a"/>
        <w:rPr>
          <w:szCs w:val="24"/>
        </w:rPr>
      </w:pPr>
      <w:r w:rsidRPr="00110728">
        <w:t>3.</w:t>
      </w:r>
      <w:r w:rsidRPr="00110728">
        <w:tab/>
        <w:t xml:space="preserve">nosoda Nacionālās suverenitātes aizsardzības likuma pieņemšanu un </w:t>
      </w:r>
      <w:r w:rsidRPr="00110728">
        <w:rPr>
          <w:i/>
          <w:iCs/>
        </w:rPr>
        <w:t>SPO</w:t>
      </w:r>
      <w:r w:rsidRPr="00110728">
        <w:t xml:space="preserve"> izveidi, piešķirot tam plašas pilnvaras un ieviešot stingru uzraudzības un sankciju sistēmu, jo šis likums fundamentāli pārkāpj demokrātijas standartus, piemēram, brīvu un godīgu vēlēšanu principu, tiesiskumu un </w:t>
      </w:r>
      <w:proofErr w:type="spellStart"/>
      <w:r w:rsidRPr="00110728">
        <w:t>pamattiesības</w:t>
      </w:r>
      <w:proofErr w:type="spellEnd"/>
      <w:r w:rsidRPr="00110728">
        <w:t>, un pārkāpj vairākus ES tiesību aktus; atzinīgi vērtē Komisijas uzsākto pārkāpuma procedūru pret Ungāriju šajā jautājumā; aicina Ungārijas valdību nekavējoties atcelt šo likumu;</w:t>
      </w:r>
      <w:r w:rsidR="00B7682A">
        <w:t xml:space="preserve"> </w:t>
      </w:r>
      <w:r w:rsidR="00B7682A" w:rsidRPr="00B7682A">
        <w:t>aicina Komisiju lūgt EST kā pagaidu pasākumu nekavējoties apturēt iepriekš minētā likuma piemērošanu, jo šis likums ietekmē brīvu un godīgu vēlēšanu principu;</w:t>
      </w:r>
    </w:p>
    <w:p w:rsidR="00B1409C" w:rsidRPr="00110728" w:rsidRDefault="00B1409C" w:rsidP="00B1409C">
      <w:pPr>
        <w:pStyle w:val="NormalHanging12a"/>
        <w:rPr>
          <w:szCs w:val="24"/>
        </w:rPr>
      </w:pPr>
      <w:r w:rsidRPr="00110728">
        <w:t>4.</w:t>
      </w:r>
      <w:r w:rsidRPr="00110728">
        <w:tab/>
        <w:t xml:space="preserve">pauž nožēlu par Padomes nespēju panākt jēgpilnu progresu saskaņā ar LES 7. panta 1. punktu īstenotajā procedūrā un atkārtoti aicina uzlabot pastāvošo situāciju, rīkojot regulāras uzklausīšanas, ātri risinot ilgstošas un jaunas problēmas, kas ietekmē tiesiskumu, demokrātiju un </w:t>
      </w:r>
      <w:proofErr w:type="spellStart"/>
      <w:r w:rsidRPr="00110728">
        <w:t>pamattiesības</w:t>
      </w:r>
      <w:proofErr w:type="spellEnd"/>
      <w:r w:rsidRPr="00110728">
        <w:t xml:space="preserve">, un sniedzot konkrētus ieteikumus ar īstenošanas termiņiem; aicina Padomi pēc katras uzklausīšanas publicēt visaptverošu protokolu un secinājumus; uzstāj, ka visās procedūrās, kas saistītas ar LES 7. pantu, Parlamentam vajadzētu būt iespējai iesniegt Padomei pamatotu priekšlikumu, apmeklēt LES 7. pantā paredzētās uzklausīšanas un saņemt tūlītēju un pilnīgu informāciju visos procedūras posmos; aicina Komisiju un dalībvalstis sākt LES 7. panta 2. punktā paredzēto procedūru un aicina Eiropadomi noteikt, vai Ungārija ir nopietni un pastāvīgi pārkāpusi LES 7. panta 2. punktā minētās ES vērtības, ja līdz Beļģijas prezidentūras beigām </w:t>
      </w:r>
      <w:proofErr w:type="spellStart"/>
      <w:r w:rsidRPr="00110728">
        <w:t>šjā</w:t>
      </w:r>
      <w:proofErr w:type="spellEnd"/>
      <w:r w:rsidRPr="00110728">
        <w:t xml:space="preserve"> jomā netiks panākts progress; uzsver, ka Padome ir līdzatbildīga par LES 2. pantā noteikto vērtību aizsardzību un, ja tā neaizsargās šīs vērtības, tam var būt </w:t>
      </w:r>
      <w:r w:rsidRPr="00110728">
        <w:lastRenderedPageBreak/>
        <w:t>ilgstošas un potenciāli kaitīgas sekas;</w:t>
      </w:r>
    </w:p>
    <w:p w:rsidR="00B1409C" w:rsidRPr="00110728" w:rsidRDefault="00B1409C" w:rsidP="00B1409C">
      <w:pPr>
        <w:pStyle w:val="NormalHanging12a"/>
        <w:rPr>
          <w:szCs w:val="24"/>
        </w:rPr>
      </w:pPr>
      <w:r w:rsidRPr="00110728">
        <w:t>5.</w:t>
      </w:r>
      <w:r w:rsidRPr="00110728">
        <w:tab/>
        <w:t xml:space="preserve">uzsver Padomes prezidentvalsts svarīgo lomu, virzot Padomes darbu pie ES tiesību aktu izstrādes, nodrošinot ES darba kārtības nepārtrauktību un pārstāvot Padomi attiecībās ar citām ES iestādēm; atkārtoti pauž bažas par to, vai Ungārijas valdība 2024. gadā spēs ticami izpildīt šo uzdevumu, ņemot vērā to, ka tā neievēro ES tiesību aktus un LES 2. pantā noteiktās vērtības, kā arī lojālas sadarbības principu; pauž nožēlu par to, ka Padome vēl nav atrisinājusi šo problēmu un ka Ungārijas valdības pārstāvji vadīs Padomes sanāksmes, kurās tiks spriests par demokrātiju, tiesiskumu un </w:t>
      </w:r>
      <w:proofErr w:type="spellStart"/>
      <w:r w:rsidRPr="00110728">
        <w:t>pamattiesībām</w:t>
      </w:r>
      <w:proofErr w:type="spellEnd"/>
      <w:r w:rsidRPr="00110728">
        <w:t xml:space="preserve">, tostarp sanāksmes saistībā ar ES finanšu interešu un budžeta aizsardzību; uzsver, ka šī problēma ir jārisina tik izšķirošā brīdī, kad notiek Eiropas Parlamenta vēlēšanas un tiek veidota Komisija; pauž nožēlu par nespēju rast risinājumu un atkārtoti pauž gatavību veikt pasākumus, lai attiecībā uz sadarbību ar Padomi saglabātu pārliecību, ka Savienība ievēro LES 2. pantā noteiktās vērtības; </w:t>
      </w:r>
    </w:p>
    <w:p w:rsidR="00B1409C" w:rsidRPr="00110728" w:rsidRDefault="00B1409C" w:rsidP="00B1409C">
      <w:pPr>
        <w:pStyle w:val="NormalHanging12a"/>
        <w:rPr>
          <w:szCs w:val="24"/>
        </w:rPr>
      </w:pPr>
      <w:r w:rsidRPr="00110728">
        <w:t>6.</w:t>
      </w:r>
      <w:r w:rsidRPr="00110728">
        <w:tab/>
        <w:t>aicina Padomi un Komisiju pievērst lielāku uzmanību pasākumiem, kas vērsti pret sistēmisku tiesiskuma likvidēšanu, kā arī saiknei starp dažādajiem Parlamenta rezolūcijās konstatētajiem vērtību pārkāpumiem; uzsver, ka ES ar vienādu apņēmību būtu jāaizstāv visas LES 2. pantā noteiktās vērtības, jo pretējā gadījumā būs apdraudētas demokrātiskās institūcijas un galu galā — ietekmētas ikviena cilvēka cilvēktiesības un dzīve valstīs, kurās šīs vērtības tiek pārkāptas;</w:t>
      </w:r>
    </w:p>
    <w:p w:rsidR="00B1409C" w:rsidRPr="00110728" w:rsidRDefault="00B1409C" w:rsidP="00B1409C">
      <w:pPr>
        <w:pStyle w:val="NormalHanging12a"/>
        <w:rPr>
          <w:szCs w:val="24"/>
        </w:rPr>
      </w:pPr>
      <w:r w:rsidRPr="00110728">
        <w:t>7.</w:t>
      </w:r>
      <w:r w:rsidRPr="00110728">
        <w:tab/>
        <w:t>atkārtoti aicina Komisiju pilnībā izmantot pieejamos instrumentus, lai novērstu drošo varbūtību, ka Ungārija varētu nopietni pārkāpt ES pamatvērtības, jo īpaši izmantojot paātrinātas pārkāpuma procedūras, pieteikumus EST par pagaidu pasākumiem un darbības saistībā ar EST spriedumu neizpildi; atgādina, cik svarīga ir Tiesiskuma regula, un atzinīgi vērtē Komisijas 2023. gada 13. decembra lēmumu, ar ko apstiprina, ka risks Savienības budžetam kopš 2022. gada decembra nav mainījies, kā rezultātā tiek pagarināti saskaņā ar minēto regulu pieņemtie pasākumi; aicina Komisiju nekavējoties rīkoties saskaņā ar minēto regulu attiecībā uz citiem tiesiskuma pārkāpumiem;</w:t>
      </w:r>
    </w:p>
    <w:p w:rsidR="00B1409C" w:rsidRPr="00110728" w:rsidRDefault="00B1409C" w:rsidP="00B1409C">
      <w:pPr>
        <w:pStyle w:val="NormalHanging12a"/>
        <w:rPr>
          <w:szCs w:val="24"/>
        </w:rPr>
      </w:pPr>
      <w:r w:rsidRPr="00110728">
        <w:t>8.</w:t>
      </w:r>
      <w:r w:rsidRPr="00110728">
        <w:tab/>
      </w:r>
      <w:r w:rsidR="00901C32" w:rsidRPr="00901C32">
        <w:t xml:space="preserve">šajā sakarībā atkārtoti uzsver nopietnas bažas par lēmumu, kurā atzīts, ka Hartā paredzētais horizontālais veicinošais nosacījums ir izpildīts attiecībā uz tiesu iestāžu neatkarību, jo tas ļauj Ungārijas iestādēm iesniegt atmaksas pieprasījumus līdz pat 10,2 miljardu EUR apmērā bez atbilstošiem kontroles mehānismiem vai publiskā iepirkuma procedūrām, kas garantētu pareizu finanšu pārvaldību vai ES budžeta aizsardzību; atgādina par 2024. gada 25. martā iesniegto Parlamenta pieteikumu, lai EST saskaņā ar LESD 263. pantu pārskatītu Lēmuma C(2023) 9014 likumību; cer, ka šis jautājums tiks ātri atrisināts; atkārtoti aicina Komisiju atsaukt savu lēmumu, jo īpaši ņemot vērā pasākumus, ko Ungārija veikusi kopš tā pieņemšanas, un Ungārijas bijušā tieslietu ministra izteikumus, kas liecina par prokuratūras neatkarības trūkumu un politisku iejaukšanos kriminālprocesos; aicina Komisiju iesaldēt šos līdzekļus, kamēr nav pilnībā īstenoti visi attiecīgie tiesību akti, pieņemtie pasākumi nav praksē apliecinājuši savu efektivitāti un Ungārija ir īstenojusi visus attiecīgos EST un ECT spriedumus; lūdz Komisijai rūpīgi kontrolēt </w:t>
      </w:r>
      <w:proofErr w:type="spellStart"/>
      <w:r w:rsidR="00901C32" w:rsidRPr="00901C32">
        <w:t>priekšfinansējumu</w:t>
      </w:r>
      <w:proofErr w:type="spellEnd"/>
      <w:r w:rsidR="00901C32" w:rsidRPr="00901C32">
        <w:t>, kas piešķirts no ES finansējuma, lai nodrošinātu, ka līdzekļi tiek izmantoti saskaņā ar attiecīgo tiesību aktu mērķiem; atkārtoti aicina Ungāriju steidzami pievienoties EPPO;</w:t>
      </w:r>
      <w:r w:rsidR="00901C32">
        <w:t xml:space="preserve"> </w:t>
      </w:r>
      <w:r w:rsidR="00901C32" w:rsidRPr="00901C32">
        <w:t>aicina Komisiju mudināt Ungāriju piedalīties EPPO;</w:t>
      </w:r>
    </w:p>
    <w:p w:rsidR="00B1409C" w:rsidRPr="00110728" w:rsidRDefault="00B1409C" w:rsidP="00B1409C">
      <w:pPr>
        <w:pStyle w:val="NormalHanging12a"/>
        <w:rPr>
          <w:szCs w:val="24"/>
        </w:rPr>
      </w:pPr>
      <w:r w:rsidRPr="00110728">
        <w:t>9.</w:t>
      </w:r>
      <w:r w:rsidRPr="00110728">
        <w:tab/>
        <w:t xml:space="preserve">uzstāj, ka pasākumi, kas nepieciešami ES finansējuma piešķiršanai, kā noteikts </w:t>
      </w:r>
      <w:r w:rsidRPr="00110728">
        <w:lastRenderedPageBreak/>
        <w:t>attiecīgajos lēmumos, kuri pieņemti saskaņā ar Kopīgo noteikumu regulu</w:t>
      </w:r>
      <w:r w:rsidRPr="00110728">
        <w:rPr>
          <w:rStyle w:val="FootnoteReference"/>
          <w:szCs w:val="24"/>
        </w:rPr>
        <w:footnoteReference w:id="12"/>
      </w:r>
      <w:r w:rsidRPr="00110728">
        <w:t xml:space="preserve"> (KNR), Atveseļošanas un noturības mehānisma (ANM) regulu</w:t>
      </w:r>
      <w:r w:rsidRPr="00110728">
        <w:rPr>
          <w:rStyle w:val="FootnoteReference"/>
          <w:szCs w:val="24"/>
        </w:rPr>
        <w:footnoteReference w:id="13"/>
      </w:r>
      <w:r w:rsidRPr="00110728">
        <w:t xml:space="preserve"> un Tiesiskuma regulu, ir saskaņoti jānovērtē kā neatņemama pakete un ka maksājumi nebūtu jāveic pat tad, ja vienā vai vairākās jomās ir panākts progress, bet citā jomā trūkumi joprojām pastāv; uzsver, ka nav saprotams, kā var piešķirt līdzekļus saskaņā ar KNR, atsaucoties uz uzlabojumiem tiesu iestāžu neatkarības jomā, kad savukārt ANM un nosacījumu mehānisma līdzekļi joprojām ir bloķēti, jo joprojām pastāv trūkumi saistībā ar tiesu iestāžu neatkarību;</w:t>
      </w:r>
    </w:p>
    <w:p w:rsidR="00B1409C" w:rsidRPr="00110728" w:rsidRDefault="00B1409C" w:rsidP="00B1409C">
      <w:pPr>
        <w:pStyle w:val="NormalHanging12a"/>
        <w:rPr>
          <w:szCs w:val="24"/>
        </w:rPr>
      </w:pPr>
      <w:r w:rsidRPr="00110728">
        <w:t>10.</w:t>
      </w:r>
      <w:r w:rsidRPr="00110728">
        <w:tab/>
        <w:t>pieņem zināšanai Integritātes iestādes izveidi kā vienu no korektīvajiem pasākumiem, kas jāīsteno saskaņā ar Tiesiskuma regulu; uzskata, ka minētās iestādes izveidi vien nevar uzskatīt par pietiekamu, lai kliedētu pašreizējās bažas, un uzskata, ka attiecīgo korektīvo pasākumu izpilde būtu jāvērtē, pamatojoties uz šīs iestādes darbību praksē; uzskata, ka Integritātes iestādei, ja tai tiks pienācīgas prerogatīvas un īstenošanas pilnvaras, ir potenciāls risināt dažas problēmas, kas saistītas ar tiesiskuma situāciju Ungārijā, jo īpaši korupcijas apkarošanu; tomēr pauž bažas par to, ka praksē tai trūkst kompetences un prerogatīvu, lai pienācīgi pildītu savus uzdevumus, kā tas tika apliecināts pirmajā šīs iestādes darbības gadā; uzstāj, ka tai jāpiešķir papildu pilnvaras un ka jābūt iespējām šīs pilnvaras īstenot, jo īpaši piešķirot tai pienācīgu piekļuvi attiecīgajām datubāzēm, stiprinot izmeklēšanas pilnvaras un nosakot, ka tās ieteikumu pieņemšana ir obligāta;</w:t>
      </w:r>
    </w:p>
    <w:p w:rsidR="00B1409C" w:rsidRPr="00110728" w:rsidRDefault="00B1409C" w:rsidP="00B1409C">
      <w:pPr>
        <w:pStyle w:val="NormalHanging12a"/>
        <w:rPr>
          <w:szCs w:val="24"/>
        </w:rPr>
      </w:pPr>
      <w:r w:rsidRPr="00110728">
        <w:t>11.</w:t>
      </w:r>
      <w:r w:rsidRPr="00110728">
        <w:tab/>
        <w:t xml:space="preserve">uzsver, ka atbilstība ES tiesību aktiem, tostarp vienotā tirgus noteikumiem, ir viens no tiesiskuma principa stūrakmeņiem; aicina Komisiju tiesiskuma situācijas novērtējumā, vērtējot to katrā atsevišķā dalībvalstī, iekļaut vienotā tirgus situācijas novērtējumu; pauž bažas par varas ļaunprātīgu izmantošanu un sistēmiski diskriminējošu praksi, ko Ungārijas iestādes piemēro uzņēmumiem, kuri darbojas jomās, kas noteiktas kā Ungārijas valdības un oligarhu stratēģiskas intereses; uzsver, ka tas ir radījis diskriminācijas un baiļu vidi, kas ir pretrunā vienotā tirgus pīlāriem, nopietni apdraud dažus uzņēmumus un to likumīgās uzņēmējdarbības intereses un </w:t>
      </w:r>
      <w:proofErr w:type="spellStart"/>
      <w:r w:rsidRPr="00110728">
        <w:rPr>
          <w:i/>
        </w:rPr>
        <w:t>de</w:t>
      </w:r>
      <w:proofErr w:type="spellEnd"/>
      <w:r w:rsidRPr="00110728">
        <w:rPr>
          <w:i/>
        </w:rPr>
        <w:t xml:space="preserve"> </w:t>
      </w:r>
      <w:proofErr w:type="spellStart"/>
      <w:r w:rsidRPr="00110728">
        <w:rPr>
          <w:i/>
        </w:rPr>
        <w:t>facto</w:t>
      </w:r>
      <w:proofErr w:type="spellEnd"/>
      <w:r w:rsidRPr="00110728">
        <w:t xml:space="preserve"> izspiež tos no Ungārijas tirgus; aicina Komisiju, novērtējot tiesiskuma situāciju Ungārijā, īpašu uzmanību pievērst vienotā tirgus noteikumu ievērošanai; aicina Komisiju pārbaudīt, vai tiesību akti, kas attiecas uz Ungārijas valdības stratēģiskajām interesēm, atbilst spēkā esošajiem Eiropas tiesību aktiem; uzsver, ka Komisijai ir pienākums ātri izskatīt sūdzības, ko iesnieguši uzņēmumi, kuri pakļauti sistemātiskam Ungārijas iestāžu izdarītam spiedienam, un attiecīgās lietas iesniegt izskatīšanai EST;</w:t>
      </w:r>
    </w:p>
    <w:p w:rsidR="00B1409C" w:rsidRPr="00110728" w:rsidRDefault="00B1409C" w:rsidP="00B1409C">
      <w:pPr>
        <w:pStyle w:val="NormalHanging12a"/>
        <w:rPr>
          <w:szCs w:val="24"/>
        </w:rPr>
      </w:pPr>
      <w:r w:rsidRPr="00110728">
        <w:t>12.</w:t>
      </w:r>
      <w:r w:rsidRPr="00110728">
        <w:tab/>
        <w:t>pauž nožēlu par to, ka Ungārija ir ļaunprātīgi izmantojusi savas veto tiesības Padomē, liedzot piešķirt būtisku palīdzību Ukrainai, tādējādi apdraudot ES stratēģiskās intereses; nosoda Ungārijas valdības vispārējo politiku attiecībā uz Krieviju;</w:t>
      </w:r>
    </w:p>
    <w:p w:rsidR="00B1409C" w:rsidRPr="00110728" w:rsidRDefault="00B1409C" w:rsidP="00B1409C">
      <w:pPr>
        <w:pStyle w:val="NormalHanging12a"/>
        <w:rPr>
          <w:szCs w:val="24"/>
        </w:rPr>
      </w:pPr>
      <w:r w:rsidRPr="00110728">
        <w:t>13.</w:t>
      </w:r>
      <w:r w:rsidRPr="00110728">
        <w:tab/>
        <w:t xml:space="preserve">atkārtoti aicina Komisiju nodrošināt, ka ES līdzekļu </w:t>
      </w:r>
      <w:proofErr w:type="spellStart"/>
      <w:r w:rsidRPr="00110728">
        <w:t>galasaņēmējiem</w:t>
      </w:r>
      <w:proofErr w:type="spellEnd"/>
      <w:r w:rsidRPr="00110728">
        <w:t xml:space="preserve"> vai saņēmējiem </w:t>
      </w:r>
      <w:r w:rsidRPr="00110728">
        <w:lastRenderedPageBreak/>
        <w:t>netiktu liegts saņemt šos līdzekļus, kā noteikts Tiesiskuma regulā; aicina Komisiju rast veidus, kā sadalīt ES līdzekļus ar vietējo un reģionālo pašvaldību un pilsoniskās sabiedrības starpniecību, ja konkrētā valdība nesadarbojas saistībā ar tiesiskuma īstenošanā konstatēto nepilnību novēršanu;</w:t>
      </w:r>
    </w:p>
    <w:p w:rsidR="00B1409C" w:rsidRPr="00110728" w:rsidRDefault="00B1409C" w:rsidP="00B1409C">
      <w:pPr>
        <w:pStyle w:val="NormalHanging12a"/>
        <w:rPr>
          <w:szCs w:val="24"/>
        </w:rPr>
      </w:pPr>
      <w:r w:rsidRPr="00110728">
        <w:t>14.</w:t>
      </w:r>
      <w:r w:rsidRPr="00110728">
        <w:tab/>
        <w:t xml:space="preserve">uzsver, ka Ungārijas iestādēm ir jāgarantē </w:t>
      </w:r>
      <w:proofErr w:type="spellStart"/>
      <w:r w:rsidRPr="00110728">
        <w:t>pārredzamība</w:t>
      </w:r>
      <w:proofErr w:type="spellEnd"/>
      <w:r w:rsidRPr="00110728">
        <w:t xml:space="preserve"> un vienlīdzīgas iespējas privātpersonām, uzņēmumiem, pilsoniskajai sabiedrībai, nevalstiskajām organizācijām un vietējām un reģionālajām pašvaldībām, kas vēlas piekļūt ES finansējumam, un jānodrošina neatkarīga tiesu iestāžu uzraudzība, kā arī objektīvi un efektīvi sūdzību izskatīšanas mehānismi; nosoda sistēmisko diskriminējošo praksi, par ko tiek ziņots un ko vērš pret akadēmiskajām aprindām, žurnālistiem, politiskajām partijām un pilsonisko sabiedrību, kā arī atsevišķu nozaru uzņēmumiem;</w:t>
      </w:r>
    </w:p>
    <w:p w:rsidR="00B1409C" w:rsidRPr="00110728" w:rsidRDefault="00B1409C" w:rsidP="00B1409C">
      <w:pPr>
        <w:pStyle w:val="NormalHanging12a"/>
        <w:rPr>
          <w:szCs w:val="24"/>
        </w:rPr>
      </w:pPr>
      <w:r w:rsidRPr="00110728">
        <w:t>15.</w:t>
      </w:r>
      <w:r w:rsidRPr="00110728">
        <w:tab/>
        <w:t>aicina Komisiju atbalstīt Ungārijas neatkarīgo pilsonisko sabiedrību, kas aizsargā LES 2. pantā noteiktās vērtības, jo īpaši izmantojot programmu „Pilsoņi, vienlīdzība, tiesības un vērtības”; atkārtoti aicina Komisiju pieņemt visaptverošu pilsoniskās sabiedrības stratēģiju pilsoniskās telpas aizsardzībai un attīstībai ES, kurā būtu integrēti visi esošie instrumenti un izklāstīts konkrētu pasākumu kopums pilsoniskās telpas aizsardzībai un stiprināšanai;</w:t>
      </w:r>
    </w:p>
    <w:p w:rsidR="00B1409C" w:rsidRPr="00110728" w:rsidRDefault="00B1409C" w:rsidP="00B1409C">
      <w:pPr>
        <w:pStyle w:val="NormalHanging12a"/>
        <w:rPr>
          <w:szCs w:val="24"/>
        </w:rPr>
      </w:pPr>
      <w:r w:rsidRPr="00110728">
        <w:t>16.</w:t>
      </w:r>
      <w:r w:rsidRPr="00110728">
        <w:tab/>
        <w:t xml:space="preserve">atkārtoti aicina Komisiju un Padomi nekavējoties sākt sarunas ar Parlamentu par ES mehānismu demokrātijai, tiesiskumam un </w:t>
      </w:r>
      <w:proofErr w:type="spellStart"/>
      <w:r w:rsidRPr="00110728">
        <w:t>pamattiesībām</w:t>
      </w:r>
      <w:proofErr w:type="spellEnd"/>
      <w:r w:rsidRPr="00110728">
        <w:t xml:space="preserve"> iestāžu nolīguma veidā un par pastāvīgu politikas ciklu starp ES iestādēm;</w:t>
      </w:r>
    </w:p>
    <w:p w:rsidR="00B1409C" w:rsidRPr="00110728" w:rsidRDefault="00B1409C" w:rsidP="00B1409C">
      <w:pPr>
        <w:pStyle w:val="NormalHanging12a"/>
      </w:pPr>
      <w:r w:rsidRPr="00110728">
        <w:t>17.</w:t>
      </w:r>
      <w:r w:rsidRPr="00110728">
        <w:tab/>
        <w:t>uzdod priekšsēdētājai šo rezolūciju nosūtīt Padomei, Komisijai, dalībvalstu valdībām un parlamentiem, Eiropas Padomei, Eiropas Drošības un sadarbības organizācijai un Apvienoto Nāciju Organizācijai.</w:t>
      </w:r>
    </w:p>
    <w:p w:rsidR="00B1409C" w:rsidRPr="00110728" w:rsidRDefault="00B1409C" w:rsidP="00B1409C"/>
    <w:p w:rsidR="00E365E1" w:rsidRPr="00110728" w:rsidRDefault="00E365E1" w:rsidP="008B547C">
      <w:pPr>
        <w:pStyle w:val="NormalHanging12a"/>
        <w:widowControl/>
        <w:ind w:left="0" w:firstLine="0"/>
      </w:pPr>
      <w:bookmarkStart w:id="8" w:name="TextBodyEnd"/>
      <w:bookmarkEnd w:id="8"/>
    </w:p>
    <w:sectPr w:rsidR="00E365E1" w:rsidRPr="00110728" w:rsidSect="0011072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722A" w:rsidRPr="00110728" w:rsidRDefault="0079722A">
      <w:r w:rsidRPr="00110728">
        <w:separator/>
      </w:r>
    </w:p>
  </w:endnote>
  <w:endnote w:type="continuationSeparator" w:id="0">
    <w:p w:rsidR="0079722A" w:rsidRPr="00110728" w:rsidRDefault="0079722A">
      <w:r w:rsidRPr="001107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722A" w:rsidRPr="00110728" w:rsidRDefault="0079722A">
      <w:r w:rsidRPr="00110728">
        <w:separator/>
      </w:r>
    </w:p>
  </w:footnote>
  <w:footnote w:type="continuationSeparator" w:id="0">
    <w:p w:rsidR="0079722A" w:rsidRPr="00110728" w:rsidRDefault="0079722A">
      <w:r w:rsidRPr="00110728">
        <w:continuationSeparator/>
      </w:r>
    </w:p>
  </w:footnote>
  <w:footnote w:id="1">
    <w:p w:rsidR="00B1409C" w:rsidRPr="00E37FAF" w:rsidRDefault="00B1409C" w:rsidP="00110728">
      <w:pPr>
        <w:pStyle w:val="FootnoteText"/>
        <w:ind w:left="567" w:hanging="567"/>
        <w:rPr>
          <w:sz w:val="24"/>
          <w:lang w:val="lv-LV"/>
        </w:rPr>
      </w:pPr>
      <w:r w:rsidRPr="00110728">
        <w:rPr>
          <w:rStyle w:val="FootnoteReference"/>
          <w:sz w:val="24"/>
          <w:lang w:val="lv-LV"/>
        </w:rPr>
        <w:footnoteRef/>
      </w:r>
      <w:r w:rsidR="00110728" w:rsidRPr="00110728">
        <w:rPr>
          <w:rStyle w:val="Emphasis"/>
          <w:sz w:val="24"/>
          <w:shd w:val="clear" w:color="auto" w:fill="FFFFFF"/>
          <w:lang w:val="lv-LV"/>
        </w:rPr>
        <w:t xml:space="preserve"> </w:t>
      </w:r>
      <w:r w:rsidR="00110728" w:rsidRPr="00110728">
        <w:rPr>
          <w:rStyle w:val="Emphasis"/>
          <w:sz w:val="24"/>
          <w:shd w:val="clear" w:color="auto" w:fill="FFFFFF"/>
          <w:lang w:val="lv-LV"/>
        </w:rPr>
        <w:tab/>
      </w:r>
      <w:r w:rsidRPr="00E37FAF">
        <w:rPr>
          <w:rStyle w:val="Emphasis"/>
          <w:i w:val="0"/>
          <w:sz w:val="24"/>
          <w:shd w:val="clear" w:color="auto" w:fill="FFFFFF"/>
          <w:lang w:val="lv-LV"/>
        </w:rPr>
        <w:t>OV C 433, 23.12.2019., 66. lpp.</w:t>
      </w:r>
    </w:p>
  </w:footnote>
  <w:footnote w:id="2">
    <w:p w:rsidR="00B1409C" w:rsidRPr="00E37FAF" w:rsidRDefault="00B1409C" w:rsidP="00110728">
      <w:pPr>
        <w:pStyle w:val="FootnoteText"/>
        <w:ind w:left="567" w:hanging="567"/>
        <w:rPr>
          <w:sz w:val="24"/>
          <w:lang w:val="lv-LV"/>
        </w:rPr>
      </w:pPr>
      <w:r w:rsidRPr="00E37FAF">
        <w:rPr>
          <w:rStyle w:val="FootnoteReference"/>
          <w:sz w:val="24"/>
          <w:lang w:val="lv-LV"/>
        </w:rPr>
        <w:footnoteRef/>
      </w:r>
      <w:r w:rsidR="00110728" w:rsidRPr="00E37FAF">
        <w:rPr>
          <w:rStyle w:val="Emphasis"/>
          <w:i w:val="0"/>
          <w:sz w:val="24"/>
          <w:shd w:val="clear" w:color="auto" w:fill="FFFFFF"/>
          <w:lang w:val="lv-LV"/>
        </w:rPr>
        <w:t xml:space="preserve"> </w:t>
      </w:r>
      <w:r w:rsidR="00110728" w:rsidRPr="00E37FAF">
        <w:rPr>
          <w:rStyle w:val="Emphasis"/>
          <w:i w:val="0"/>
          <w:sz w:val="24"/>
          <w:shd w:val="clear" w:color="auto" w:fill="FFFFFF"/>
          <w:lang w:val="lv-LV"/>
        </w:rPr>
        <w:tab/>
      </w:r>
      <w:r w:rsidRPr="00E37FAF">
        <w:rPr>
          <w:rStyle w:val="Emphasis"/>
          <w:i w:val="0"/>
          <w:sz w:val="24"/>
          <w:shd w:val="clear" w:color="auto" w:fill="FFFFFF"/>
          <w:lang w:val="lv-LV"/>
        </w:rPr>
        <w:t>OV L 433 I, 22.12.2020., 1. lpp.</w:t>
      </w:r>
    </w:p>
  </w:footnote>
  <w:footnote w:id="3">
    <w:p w:rsidR="00B1409C" w:rsidRPr="00E37FAF" w:rsidRDefault="00B1409C" w:rsidP="00110728">
      <w:pPr>
        <w:pStyle w:val="FootnoteText"/>
        <w:ind w:left="567" w:hanging="567"/>
        <w:rPr>
          <w:sz w:val="24"/>
          <w:lang w:val="lv-LV"/>
        </w:rPr>
      </w:pPr>
      <w:r w:rsidRPr="00110728">
        <w:rPr>
          <w:rStyle w:val="FootnoteReference"/>
          <w:sz w:val="24"/>
          <w:lang w:val="lv-LV"/>
        </w:rPr>
        <w:footnoteRef/>
      </w:r>
      <w:r w:rsidR="00110728" w:rsidRPr="00110728">
        <w:rPr>
          <w:rStyle w:val="Emphasis"/>
          <w:sz w:val="24"/>
          <w:shd w:val="clear" w:color="auto" w:fill="FFFFFF"/>
          <w:lang w:val="lv-LV"/>
        </w:rPr>
        <w:t xml:space="preserve"> </w:t>
      </w:r>
      <w:r w:rsidR="00110728" w:rsidRPr="00110728">
        <w:rPr>
          <w:rStyle w:val="Emphasis"/>
          <w:sz w:val="24"/>
          <w:shd w:val="clear" w:color="auto" w:fill="FFFFFF"/>
          <w:lang w:val="lv-LV"/>
        </w:rPr>
        <w:tab/>
      </w:r>
      <w:r w:rsidRPr="00E37FAF">
        <w:rPr>
          <w:rStyle w:val="Emphasis"/>
          <w:i w:val="0"/>
          <w:sz w:val="24"/>
          <w:shd w:val="clear" w:color="auto" w:fill="FFFFFF"/>
          <w:lang w:val="lv-LV"/>
        </w:rPr>
        <w:t>OV C 125, 5.4.2023., 463. lpp.</w:t>
      </w:r>
    </w:p>
  </w:footnote>
  <w:footnote w:id="4">
    <w:p w:rsidR="00B1409C" w:rsidRPr="00E37FAF" w:rsidRDefault="00B1409C" w:rsidP="00110728">
      <w:pPr>
        <w:pStyle w:val="FootnoteText"/>
        <w:ind w:left="567" w:hanging="567"/>
        <w:rPr>
          <w:sz w:val="24"/>
          <w:lang w:val="lv-LV"/>
        </w:rPr>
      </w:pPr>
      <w:r w:rsidRPr="00E37FAF">
        <w:rPr>
          <w:rStyle w:val="FootnoteReference"/>
          <w:sz w:val="24"/>
          <w:lang w:val="lv-LV"/>
        </w:rPr>
        <w:footnoteRef/>
      </w:r>
      <w:r w:rsidR="00110728" w:rsidRPr="00E37FAF">
        <w:rPr>
          <w:rStyle w:val="Emphasis"/>
          <w:i w:val="0"/>
          <w:sz w:val="24"/>
          <w:shd w:val="clear" w:color="auto" w:fill="FFFFFF"/>
          <w:lang w:val="lv-LV"/>
        </w:rPr>
        <w:t xml:space="preserve"> </w:t>
      </w:r>
      <w:r w:rsidR="00110728" w:rsidRPr="00E37FAF">
        <w:rPr>
          <w:rStyle w:val="Emphasis"/>
          <w:i w:val="0"/>
          <w:sz w:val="24"/>
          <w:shd w:val="clear" w:color="auto" w:fill="FFFFFF"/>
          <w:lang w:val="lv-LV"/>
        </w:rPr>
        <w:tab/>
      </w:r>
      <w:r w:rsidRPr="00E37FAF">
        <w:rPr>
          <w:rStyle w:val="Emphasis"/>
          <w:i w:val="0"/>
          <w:sz w:val="24"/>
          <w:shd w:val="clear" w:color="auto" w:fill="FFFFFF"/>
          <w:lang w:val="lv-LV"/>
        </w:rPr>
        <w:t>OV C 167, 11.5.2023., 74. lpp.</w:t>
      </w:r>
    </w:p>
  </w:footnote>
  <w:footnote w:id="5">
    <w:p w:rsidR="00B1409C" w:rsidRPr="00E37FAF" w:rsidRDefault="00B1409C" w:rsidP="00110728">
      <w:pPr>
        <w:pStyle w:val="FootnoteText"/>
        <w:ind w:left="567" w:hanging="567"/>
        <w:rPr>
          <w:sz w:val="24"/>
          <w:lang w:val="lv-LV"/>
        </w:rPr>
      </w:pPr>
      <w:r w:rsidRPr="00E37FAF">
        <w:rPr>
          <w:rStyle w:val="FootnoteReference"/>
          <w:sz w:val="24"/>
          <w:lang w:val="lv-LV"/>
        </w:rPr>
        <w:footnoteRef/>
      </w:r>
      <w:r w:rsidR="00110728" w:rsidRPr="00E37FAF">
        <w:rPr>
          <w:rStyle w:val="Emphasis"/>
          <w:i w:val="0"/>
          <w:sz w:val="24"/>
          <w:shd w:val="clear" w:color="auto" w:fill="FFFFFF"/>
          <w:lang w:val="lv-LV"/>
        </w:rPr>
        <w:t xml:space="preserve"> </w:t>
      </w:r>
      <w:r w:rsidR="00110728" w:rsidRPr="00E37FAF">
        <w:rPr>
          <w:rStyle w:val="Emphasis"/>
          <w:i w:val="0"/>
          <w:sz w:val="24"/>
          <w:shd w:val="clear" w:color="auto" w:fill="FFFFFF"/>
          <w:lang w:val="lv-LV"/>
        </w:rPr>
        <w:tab/>
      </w:r>
      <w:r w:rsidRPr="00E37FAF">
        <w:rPr>
          <w:rStyle w:val="Emphasis"/>
          <w:i w:val="0"/>
          <w:sz w:val="24"/>
          <w:shd w:val="clear" w:color="auto" w:fill="FFFFFF"/>
          <w:lang w:val="lv-LV"/>
        </w:rPr>
        <w:t>OV C, C/2023/1223, 21.12.2023., ELI: http://data.europa.eu/eli/C/2023/1223/oj.</w:t>
      </w:r>
    </w:p>
  </w:footnote>
  <w:footnote w:id="6">
    <w:p w:rsidR="00B1409C" w:rsidRPr="00110728" w:rsidRDefault="00B1409C" w:rsidP="00110728">
      <w:pPr>
        <w:pStyle w:val="FootnoteText"/>
        <w:ind w:left="567" w:hanging="567"/>
        <w:rPr>
          <w:sz w:val="24"/>
          <w:lang w:val="lv-LV"/>
        </w:rPr>
      </w:pPr>
      <w:r w:rsidRPr="00110728">
        <w:rPr>
          <w:rStyle w:val="FootnoteReference"/>
          <w:sz w:val="24"/>
          <w:lang w:val="lv-LV"/>
        </w:rPr>
        <w:footnoteRef/>
      </w:r>
      <w:r w:rsidR="00110728" w:rsidRPr="00110728">
        <w:rPr>
          <w:sz w:val="24"/>
          <w:lang w:val="lv-LV"/>
        </w:rPr>
        <w:t xml:space="preserve"> </w:t>
      </w:r>
      <w:r w:rsidR="00110728" w:rsidRPr="00110728">
        <w:rPr>
          <w:sz w:val="24"/>
          <w:lang w:val="lv-LV"/>
        </w:rPr>
        <w:tab/>
      </w:r>
      <w:r w:rsidRPr="00110728">
        <w:rPr>
          <w:sz w:val="24"/>
          <w:lang w:val="lv-LV"/>
        </w:rPr>
        <w:t>Pieņemtie teksti, P9_TA(2024)0053.</w:t>
      </w:r>
    </w:p>
  </w:footnote>
  <w:footnote w:id="7">
    <w:p w:rsidR="00B1409C" w:rsidRPr="00110728" w:rsidRDefault="00B1409C" w:rsidP="00110728">
      <w:pPr>
        <w:pStyle w:val="FootnoteText"/>
        <w:ind w:left="567" w:hanging="567"/>
        <w:rPr>
          <w:sz w:val="24"/>
          <w:lang w:val="lv-LV"/>
        </w:rPr>
      </w:pPr>
      <w:r w:rsidRPr="00110728">
        <w:rPr>
          <w:rStyle w:val="FootnoteReference"/>
          <w:sz w:val="24"/>
          <w:lang w:val="lv-LV"/>
        </w:rPr>
        <w:footnoteRef/>
      </w:r>
      <w:r w:rsidR="00110728" w:rsidRPr="00110728">
        <w:rPr>
          <w:sz w:val="24"/>
          <w:lang w:val="lv-LV"/>
        </w:rPr>
        <w:t xml:space="preserve"> </w:t>
      </w:r>
      <w:r w:rsidR="00110728" w:rsidRPr="00110728">
        <w:rPr>
          <w:sz w:val="24"/>
          <w:lang w:val="lv-LV"/>
        </w:rPr>
        <w:tab/>
      </w:r>
      <w:r w:rsidRPr="00110728">
        <w:rPr>
          <w:sz w:val="24"/>
          <w:lang w:val="lv-LV"/>
        </w:rPr>
        <w:t xml:space="preserve">Tiesas 2023. gada 22. jūnija spriedums lietā C-823/21 </w:t>
      </w:r>
      <w:r w:rsidRPr="00110728">
        <w:rPr>
          <w:i/>
          <w:iCs/>
          <w:sz w:val="24"/>
          <w:lang w:val="lv-LV"/>
        </w:rPr>
        <w:t>Eiropas Komisija pret Ungāriju</w:t>
      </w:r>
      <w:r w:rsidRPr="00110728">
        <w:rPr>
          <w:sz w:val="24"/>
          <w:lang w:val="lv-LV"/>
        </w:rPr>
        <w:t>, ECLI:EU:C:2023:504.</w:t>
      </w:r>
    </w:p>
  </w:footnote>
  <w:footnote w:id="8">
    <w:p w:rsidR="00B1409C" w:rsidRPr="00110728" w:rsidRDefault="00B1409C" w:rsidP="00110728">
      <w:pPr>
        <w:pStyle w:val="FootnoteText"/>
        <w:ind w:left="567" w:hanging="567"/>
        <w:rPr>
          <w:sz w:val="24"/>
          <w:lang w:val="lv-LV"/>
        </w:rPr>
      </w:pPr>
      <w:r w:rsidRPr="00110728">
        <w:rPr>
          <w:rStyle w:val="FootnoteReference"/>
          <w:sz w:val="24"/>
          <w:lang w:val="lv-LV"/>
        </w:rPr>
        <w:footnoteRef/>
      </w:r>
      <w:r w:rsidR="00110728" w:rsidRPr="00110728">
        <w:rPr>
          <w:sz w:val="24"/>
          <w:lang w:val="lv-LV"/>
        </w:rPr>
        <w:t xml:space="preserve"> </w:t>
      </w:r>
      <w:r w:rsidR="00110728" w:rsidRPr="00110728">
        <w:rPr>
          <w:sz w:val="24"/>
          <w:lang w:val="lv-LV"/>
        </w:rPr>
        <w:tab/>
      </w:r>
      <w:r w:rsidRPr="00110728">
        <w:rPr>
          <w:sz w:val="24"/>
          <w:lang w:val="lv-LV"/>
        </w:rPr>
        <w:t xml:space="preserve">ECT 2016. gada 12. janvāra spriedums lietā </w:t>
      </w:r>
      <w:proofErr w:type="spellStart"/>
      <w:r w:rsidRPr="00110728">
        <w:rPr>
          <w:i/>
          <w:iCs/>
          <w:sz w:val="24"/>
          <w:lang w:val="lv-LV"/>
        </w:rPr>
        <w:t>Szabó</w:t>
      </w:r>
      <w:proofErr w:type="spellEnd"/>
      <w:r w:rsidRPr="00110728">
        <w:rPr>
          <w:i/>
          <w:iCs/>
          <w:sz w:val="24"/>
          <w:lang w:val="lv-LV"/>
        </w:rPr>
        <w:t xml:space="preserve"> un </w:t>
      </w:r>
      <w:proofErr w:type="spellStart"/>
      <w:r w:rsidRPr="00110728">
        <w:rPr>
          <w:i/>
          <w:iCs/>
          <w:sz w:val="24"/>
          <w:lang w:val="lv-LV"/>
        </w:rPr>
        <w:t>Vissy</w:t>
      </w:r>
      <w:proofErr w:type="spellEnd"/>
      <w:r w:rsidRPr="00110728">
        <w:rPr>
          <w:i/>
          <w:iCs/>
          <w:sz w:val="24"/>
          <w:lang w:val="lv-LV"/>
        </w:rPr>
        <w:t xml:space="preserve"> pret Ungāriju</w:t>
      </w:r>
      <w:r w:rsidRPr="00110728">
        <w:rPr>
          <w:sz w:val="24"/>
          <w:lang w:val="lv-LV"/>
        </w:rPr>
        <w:t>, 37148/14, kas kļuva galīgs 2016. gada 6. jūnijā.</w:t>
      </w:r>
    </w:p>
  </w:footnote>
  <w:footnote w:id="9">
    <w:p w:rsidR="00B1409C" w:rsidRPr="00110728" w:rsidRDefault="00B1409C" w:rsidP="00110728">
      <w:pPr>
        <w:pStyle w:val="FootnoteText"/>
        <w:ind w:left="567" w:hanging="567"/>
        <w:rPr>
          <w:sz w:val="24"/>
          <w:lang w:val="lv-LV"/>
        </w:rPr>
      </w:pPr>
      <w:r w:rsidRPr="00110728">
        <w:rPr>
          <w:rStyle w:val="FootnoteReference"/>
          <w:sz w:val="24"/>
          <w:lang w:val="lv-LV"/>
        </w:rPr>
        <w:footnoteRef/>
      </w:r>
      <w:r w:rsidR="00110728" w:rsidRPr="00110728">
        <w:rPr>
          <w:sz w:val="24"/>
          <w:lang w:val="lv-LV"/>
        </w:rPr>
        <w:t xml:space="preserve"> </w:t>
      </w:r>
      <w:r w:rsidR="00110728" w:rsidRPr="00110728">
        <w:rPr>
          <w:sz w:val="24"/>
          <w:lang w:val="lv-LV"/>
        </w:rPr>
        <w:tab/>
      </w:r>
      <w:r w:rsidRPr="00110728">
        <w:rPr>
          <w:sz w:val="24"/>
          <w:lang w:val="lv-LV"/>
        </w:rPr>
        <w:t xml:space="preserve">ECT 2016. gada 16. jūlija spriedums lietā </w:t>
      </w:r>
      <w:proofErr w:type="spellStart"/>
      <w:r w:rsidRPr="00110728">
        <w:rPr>
          <w:i/>
          <w:iCs/>
          <w:sz w:val="24"/>
          <w:lang w:val="lv-LV"/>
        </w:rPr>
        <w:t>Gazsó</w:t>
      </w:r>
      <w:proofErr w:type="spellEnd"/>
      <w:r w:rsidRPr="00110728">
        <w:rPr>
          <w:i/>
          <w:iCs/>
          <w:sz w:val="24"/>
          <w:lang w:val="lv-LV"/>
        </w:rPr>
        <w:t xml:space="preserve"> pret Ungāriju</w:t>
      </w:r>
      <w:r w:rsidRPr="00110728">
        <w:rPr>
          <w:sz w:val="24"/>
          <w:lang w:val="lv-LV"/>
        </w:rPr>
        <w:t>, 48322/12, kas kļuva galīgs 2015. gada 16. oktobrī.</w:t>
      </w:r>
    </w:p>
  </w:footnote>
  <w:footnote w:id="10">
    <w:p w:rsidR="00B1409C" w:rsidRPr="00110728" w:rsidRDefault="00B1409C" w:rsidP="00110728">
      <w:pPr>
        <w:pStyle w:val="FootnoteText"/>
        <w:ind w:left="567" w:hanging="567"/>
        <w:rPr>
          <w:sz w:val="24"/>
          <w:lang w:val="lv-LV"/>
        </w:rPr>
      </w:pPr>
      <w:r w:rsidRPr="00110728">
        <w:rPr>
          <w:rStyle w:val="FootnoteReference"/>
          <w:sz w:val="24"/>
          <w:lang w:val="lv-LV"/>
        </w:rPr>
        <w:footnoteRef/>
      </w:r>
      <w:r w:rsidR="00110728" w:rsidRPr="00110728">
        <w:rPr>
          <w:sz w:val="24"/>
          <w:lang w:val="lv-LV"/>
        </w:rPr>
        <w:t xml:space="preserve"> </w:t>
      </w:r>
      <w:r w:rsidR="00110728" w:rsidRPr="00110728">
        <w:rPr>
          <w:sz w:val="24"/>
          <w:lang w:val="lv-LV"/>
        </w:rPr>
        <w:tab/>
      </w:r>
      <w:r w:rsidRPr="00110728">
        <w:rPr>
          <w:sz w:val="24"/>
          <w:lang w:val="lv-LV"/>
        </w:rPr>
        <w:t xml:space="preserve">ECT 2017. gada 14. marta spriedums lietā </w:t>
      </w:r>
      <w:proofErr w:type="spellStart"/>
      <w:r w:rsidRPr="00110728">
        <w:rPr>
          <w:i/>
          <w:iCs/>
          <w:sz w:val="24"/>
          <w:lang w:val="lv-LV"/>
        </w:rPr>
        <w:t>Ilias</w:t>
      </w:r>
      <w:proofErr w:type="spellEnd"/>
      <w:r w:rsidRPr="00110728">
        <w:rPr>
          <w:i/>
          <w:iCs/>
          <w:sz w:val="24"/>
          <w:lang w:val="lv-LV"/>
        </w:rPr>
        <w:t xml:space="preserve"> un Ahmed pret Ungāriju</w:t>
      </w:r>
      <w:r w:rsidRPr="00110728">
        <w:rPr>
          <w:sz w:val="24"/>
          <w:lang w:val="lv-LV"/>
        </w:rPr>
        <w:t>, 47287/15.</w:t>
      </w:r>
    </w:p>
  </w:footnote>
  <w:footnote w:id="11">
    <w:p w:rsidR="00B1409C" w:rsidRPr="00110728" w:rsidRDefault="00B1409C" w:rsidP="00110728">
      <w:pPr>
        <w:pStyle w:val="FootnoteText"/>
        <w:ind w:left="567" w:hanging="567"/>
        <w:rPr>
          <w:sz w:val="24"/>
          <w:lang w:val="lv-LV"/>
        </w:rPr>
      </w:pPr>
      <w:r w:rsidRPr="00110728">
        <w:rPr>
          <w:rStyle w:val="FootnoteReference"/>
          <w:sz w:val="24"/>
          <w:lang w:val="lv-LV"/>
        </w:rPr>
        <w:footnoteRef/>
      </w:r>
      <w:r w:rsidR="00110728" w:rsidRPr="00110728">
        <w:rPr>
          <w:sz w:val="24"/>
          <w:lang w:val="lv-LV"/>
        </w:rPr>
        <w:t xml:space="preserve"> </w:t>
      </w:r>
      <w:r w:rsidR="00110728" w:rsidRPr="00110728">
        <w:rPr>
          <w:sz w:val="24"/>
          <w:lang w:val="lv-LV"/>
        </w:rPr>
        <w:tab/>
      </w:r>
      <w:r w:rsidRPr="00110728">
        <w:rPr>
          <w:sz w:val="24"/>
          <w:lang w:val="lv-LV"/>
        </w:rPr>
        <w:t>ECT 2016. gada 23. jūnija spriedums lietā</w:t>
      </w:r>
      <w:r w:rsidRPr="00110728">
        <w:rPr>
          <w:i/>
          <w:iCs/>
          <w:sz w:val="24"/>
          <w:lang w:val="lv-LV"/>
        </w:rPr>
        <w:t xml:space="preserve"> Baka pret Ungāriju</w:t>
      </w:r>
      <w:r w:rsidRPr="00110728">
        <w:rPr>
          <w:sz w:val="24"/>
          <w:lang w:val="lv-LV"/>
        </w:rPr>
        <w:t>, 20261/12.</w:t>
      </w:r>
    </w:p>
  </w:footnote>
  <w:footnote w:id="12">
    <w:p w:rsidR="00B1409C" w:rsidRPr="00110728" w:rsidRDefault="00B1409C" w:rsidP="00110728">
      <w:pPr>
        <w:pStyle w:val="FootnoteText"/>
        <w:ind w:left="567" w:hanging="567"/>
        <w:rPr>
          <w:sz w:val="24"/>
          <w:lang w:val="lv-LV"/>
        </w:rPr>
      </w:pPr>
      <w:r w:rsidRPr="00110728">
        <w:rPr>
          <w:rStyle w:val="FootnoteReference"/>
          <w:sz w:val="24"/>
          <w:lang w:val="lv-LV"/>
        </w:rPr>
        <w:footnoteRef/>
      </w:r>
      <w:r w:rsidR="00110728" w:rsidRPr="00110728">
        <w:rPr>
          <w:sz w:val="24"/>
          <w:shd w:val="clear" w:color="auto" w:fill="FFFFFF"/>
          <w:lang w:val="lv-LV"/>
        </w:rPr>
        <w:t xml:space="preserve"> </w:t>
      </w:r>
      <w:r w:rsidR="00110728" w:rsidRPr="00110728">
        <w:rPr>
          <w:sz w:val="24"/>
          <w:shd w:val="clear" w:color="auto" w:fill="FFFFFF"/>
          <w:lang w:val="lv-LV"/>
        </w:rPr>
        <w:tab/>
      </w:r>
      <w:r w:rsidRPr="00110728">
        <w:rPr>
          <w:sz w:val="24"/>
          <w:shd w:val="clear" w:color="auto" w:fill="FFFFFF"/>
          <w:lang w:val="lv-LV"/>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r w:rsidRPr="00110728">
        <w:rPr>
          <w:rStyle w:val="Emphasis"/>
          <w:sz w:val="24"/>
          <w:shd w:val="clear" w:color="auto" w:fill="FFFFFF"/>
          <w:lang w:val="lv-LV"/>
        </w:rPr>
        <w:t>(OV L 231, 30.6.2021., 159. lpp.)</w:t>
      </w:r>
      <w:r w:rsidRPr="00110728">
        <w:rPr>
          <w:sz w:val="24"/>
          <w:shd w:val="clear" w:color="auto" w:fill="FFFFFF"/>
          <w:lang w:val="lv-LV"/>
        </w:rPr>
        <w:t>.</w:t>
      </w:r>
    </w:p>
  </w:footnote>
  <w:footnote w:id="13">
    <w:p w:rsidR="00B1409C" w:rsidRPr="00110728" w:rsidRDefault="00B1409C" w:rsidP="0010658D">
      <w:pPr>
        <w:pStyle w:val="title-bold"/>
        <w:shd w:val="clear" w:color="auto" w:fill="FFFFFF"/>
        <w:spacing w:before="0" w:beforeAutospacing="0" w:after="75" w:afterAutospacing="0"/>
        <w:ind w:left="567" w:hanging="567"/>
      </w:pPr>
      <w:r w:rsidRPr="00110728">
        <w:rPr>
          <w:rStyle w:val="FootnoteReference"/>
          <w:szCs w:val="20"/>
        </w:rPr>
        <w:footnoteRef/>
      </w:r>
      <w:r w:rsidR="00110728" w:rsidRPr="00110728">
        <w:t xml:space="preserve"> </w:t>
      </w:r>
      <w:r w:rsidR="00110728" w:rsidRPr="00110728">
        <w:tab/>
      </w:r>
      <w:r w:rsidRPr="00110728">
        <w:t>Eiropas Parlamenta un Padomes Regula (ES) 2021/241 (2021. gada 12. </w:t>
      </w:r>
      <w:r w:rsidRPr="00110728">
        <w:t>februāris), ar ko izveido Atveseļošanas un noturības mehānismu</w:t>
      </w:r>
      <w:r w:rsidR="0010658D">
        <w:t xml:space="preserve"> (</w:t>
      </w:r>
      <w:r w:rsidRPr="0010658D">
        <w:rPr>
          <w:rStyle w:val="Emphasis"/>
          <w:i w:val="0"/>
        </w:rPr>
        <w:t>OV L 57, 18.2.2021., 17. lpp</w:t>
      </w:r>
      <w:r w:rsidRPr="0010658D">
        <w:t>.</w:t>
      </w:r>
      <w:r w:rsidR="0010658D">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3/2024"/>
    <w:docVar w:name="dvlangue" w:val="LV"/>
    <w:docVar w:name="dvnumam" w:val="0"/>
    <w:docVar w:name="dvpe" w:val="760.687"/>
    <w:docVar w:name="dvtitre" w:val="Eiropas Parlamenta 2024. gada XX. XXX  rezolūcija par uzklausīšanām, kas saskaņā ar LES 7. panta 1. punktu turpinās attiecībā uz Ungāriju par tiesiskuma stiprināšanu un attiecīgo ietekmi uz budžetu (2024/2683(RSP))"/>
  </w:docVars>
  <w:rsids>
    <w:rsidRoot w:val="0079722A"/>
    <w:rsid w:val="00002272"/>
    <w:rsid w:val="00064002"/>
    <w:rsid w:val="000677B9"/>
    <w:rsid w:val="000831BA"/>
    <w:rsid w:val="000A42CC"/>
    <w:rsid w:val="000E7DD9"/>
    <w:rsid w:val="0010095E"/>
    <w:rsid w:val="0010658D"/>
    <w:rsid w:val="00110728"/>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722A"/>
    <w:rsid w:val="007D1690"/>
    <w:rsid w:val="007E22AD"/>
    <w:rsid w:val="00817416"/>
    <w:rsid w:val="00842779"/>
    <w:rsid w:val="00865F67"/>
    <w:rsid w:val="00881A7B"/>
    <w:rsid w:val="008840E5"/>
    <w:rsid w:val="00887B3E"/>
    <w:rsid w:val="008B547C"/>
    <w:rsid w:val="008C2AC6"/>
    <w:rsid w:val="00901C3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409C"/>
    <w:rsid w:val="00B22876"/>
    <w:rsid w:val="00B558F0"/>
    <w:rsid w:val="00B7682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37FA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D94EC0"/>
  <w15:chartTrackingRefBased/>
  <w15:docId w15:val="{C0254861-9CD3-4B6B-90EB-2D2E38587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1409C"/>
    <w:rPr>
      <w:b/>
    </w:rPr>
  </w:style>
  <w:style w:type="paragraph" w:customStyle="1" w:styleId="NormalHanging12a">
    <w:name w:val="NormalHanging12a"/>
    <w:basedOn w:val="Normal"/>
    <w:rsid w:val="00B1409C"/>
    <w:pPr>
      <w:spacing w:after="240"/>
      <w:ind w:left="567" w:hanging="567"/>
    </w:pPr>
  </w:style>
  <w:style w:type="character" w:styleId="Emphasis">
    <w:name w:val="Emphasis"/>
    <w:basedOn w:val="DefaultParagraphFont"/>
    <w:uiPriority w:val="20"/>
    <w:qFormat/>
    <w:rsid w:val="00B1409C"/>
    <w:rPr>
      <w:i/>
      <w:iCs/>
    </w:rPr>
  </w:style>
  <w:style w:type="character" w:styleId="Hyperlink">
    <w:name w:val="Hyperlink"/>
    <w:basedOn w:val="DefaultParagraphFont"/>
    <w:uiPriority w:val="99"/>
    <w:unhideWhenUsed/>
    <w:rsid w:val="00B1409C"/>
    <w:rPr>
      <w:color w:val="0000FF"/>
      <w:u w:val="single"/>
    </w:rPr>
  </w:style>
  <w:style w:type="character" w:customStyle="1" w:styleId="textcolumn">
    <w:name w:val="textcolumn"/>
    <w:basedOn w:val="DefaultParagraphFont"/>
    <w:rsid w:val="00B1409C"/>
  </w:style>
  <w:style w:type="paragraph" w:customStyle="1" w:styleId="title-bold">
    <w:name w:val="title-bold"/>
    <w:basedOn w:val="Normal"/>
    <w:rsid w:val="00B1409C"/>
    <w:pPr>
      <w:widowControl/>
      <w:spacing w:before="100" w:beforeAutospacing="1" w:after="100" w:afterAutospacing="1"/>
    </w:pPr>
    <w:rPr>
      <w:szCs w:val="24"/>
    </w:rPr>
  </w:style>
  <w:style w:type="paragraph" w:styleId="BalloonText">
    <w:name w:val="Balloon Text"/>
    <w:basedOn w:val="Normal"/>
    <w:link w:val="BalloonTextChar"/>
    <w:rsid w:val="00E37FAF"/>
    <w:rPr>
      <w:rFonts w:ascii="Segoe UI" w:hAnsi="Segoe UI" w:cs="Segoe UI"/>
      <w:sz w:val="18"/>
      <w:szCs w:val="18"/>
    </w:rPr>
  </w:style>
  <w:style w:type="character" w:customStyle="1" w:styleId="BalloonTextChar">
    <w:name w:val="Balloon Text Char"/>
    <w:basedOn w:val="DefaultParagraphFont"/>
    <w:link w:val="BalloonText"/>
    <w:rsid w:val="00E37FAF"/>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1DEFC9-35B1-4004-980F-B71E1C934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3805</Words>
  <Characters>25536</Characters>
  <Application>Microsoft Office Word</Application>
  <DocSecurity>0</DocSecurity>
  <Lines>1021</Lines>
  <Paragraphs>337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2024-04-24T18:17:00Z</dcterms:created>
  <dcterms:modified xsi:type="dcterms:W3CDTF">2024-04-24T18:17:00Z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B9-0223/2024</vt:lpwstr>
  </property>
  <property fmtid="{D5CDD505-2E9C-101B-9397-08002B2CF9AE}" pid="4" name="&lt;Type&gt;">
    <vt:lpwstr>RR</vt:lpwstr>
  </property>
</Properties>
</file>