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42A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A42A1" w:rsidRDefault="00E26652" w:rsidP="0010095E">
            <w:pPr>
              <w:pStyle w:val="EPName"/>
            </w:pPr>
            <w:r w:rsidRPr="007A42A1">
              <w:t>Parlament Ewropew</w:t>
            </w:r>
          </w:p>
          <w:p w:rsidR="00751A4A" w:rsidRPr="007A42A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42A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A42A1" w:rsidRDefault="00187494" w:rsidP="0010095E">
            <w:pPr>
              <w:pStyle w:val="EPLogo"/>
            </w:pPr>
            <w:r w:rsidRPr="007A42A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A42A1" w:rsidRDefault="00D058B8" w:rsidP="004C5D52">
      <w:pPr>
        <w:pStyle w:val="LineTop"/>
      </w:pPr>
    </w:p>
    <w:p w:rsidR="00680577" w:rsidRPr="007A42A1" w:rsidRDefault="00E26652" w:rsidP="00680577">
      <w:pPr>
        <w:pStyle w:val="EPBodyTA1"/>
      </w:pPr>
      <w:r w:rsidRPr="007A42A1">
        <w:t>TESTI ADOTTATI</w:t>
      </w:r>
    </w:p>
    <w:p w:rsidR="00D058B8" w:rsidRPr="007A42A1" w:rsidRDefault="00D058B8" w:rsidP="00D058B8">
      <w:pPr>
        <w:pStyle w:val="LineBottom"/>
      </w:pPr>
    </w:p>
    <w:p w:rsidR="00E26652" w:rsidRPr="007A42A1" w:rsidRDefault="00E26652" w:rsidP="00E26652">
      <w:pPr>
        <w:pStyle w:val="ATHeading1"/>
      </w:pPr>
      <w:bookmarkStart w:id="0" w:name="TANumber"/>
      <w:r w:rsidRPr="007A42A1">
        <w:t>P9_TA(2024)0</w:t>
      </w:r>
      <w:bookmarkEnd w:id="0"/>
      <w:r w:rsidR="00BE2D60">
        <w:t>367</w:t>
      </w:r>
    </w:p>
    <w:p w:rsidR="00E26652" w:rsidRPr="007A42A1" w:rsidRDefault="00E26652" w:rsidP="00E26652">
      <w:pPr>
        <w:pStyle w:val="ATHeading2"/>
      </w:pPr>
      <w:bookmarkStart w:id="1" w:name="title"/>
      <w:r w:rsidRPr="007A42A1">
        <w:t>Is-seduti ta' smigħ li għaddejjin skont l-Artikolu 7(1) tat-TUE rigward l-Ungerija biex jissaħħaħ l-istat tad-dritt u l-implikazzjonijiet baġitarji tiegħu</w:t>
      </w:r>
      <w:bookmarkEnd w:id="1"/>
    </w:p>
    <w:p w:rsidR="00E26652" w:rsidRPr="007A42A1" w:rsidRDefault="00E26652" w:rsidP="00E26652">
      <w:pPr>
        <w:rPr>
          <w:i/>
          <w:vanish/>
        </w:rPr>
      </w:pPr>
      <w:r w:rsidRPr="007A42A1">
        <w:rPr>
          <w:i/>
        </w:rPr>
        <w:fldChar w:fldCharType="begin"/>
      </w:r>
      <w:r w:rsidRPr="007A42A1">
        <w:rPr>
          <w:i/>
        </w:rPr>
        <w:instrText xml:space="preserve"> TC"(</w:instrText>
      </w:r>
      <w:bookmarkStart w:id="2" w:name="DocNumber"/>
      <w:r w:rsidRPr="007A42A1">
        <w:rPr>
          <w:i/>
        </w:rPr>
        <w:instrText>B9-0223/2024</w:instrText>
      </w:r>
      <w:bookmarkEnd w:id="2"/>
      <w:r w:rsidRPr="007A42A1">
        <w:rPr>
          <w:i/>
        </w:rPr>
        <w:instrText xml:space="preserve">)"\l3 \n&gt; \* MERGEFORMAT </w:instrText>
      </w:r>
      <w:r w:rsidRPr="007A42A1">
        <w:rPr>
          <w:i/>
        </w:rPr>
        <w:fldChar w:fldCharType="end"/>
      </w:r>
    </w:p>
    <w:p w:rsidR="00E26652" w:rsidRPr="007A42A1" w:rsidRDefault="00E26652" w:rsidP="00E26652">
      <w:pPr>
        <w:rPr>
          <w:vanish/>
        </w:rPr>
      </w:pPr>
      <w:bookmarkStart w:id="3" w:name="PE"/>
      <w:r w:rsidRPr="007A42A1">
        <w:rPr>
          <w:vanish/>
        </w:rPr>
        <w:t>PE760.687</w:t>
      </w:r>
      <w:bookmarkEnd w:id="3"/>
    </w:p>
    <w:p w:rsidR="00E26652" w:rsidRPr="007A42A1" w:rsidRDefault="00E26652" w:rsidP="00E26652">
      <w:pPr>
        <w:pStyle w:val="ATHeading3"/>
      </w:pPr>
      <w:bookmarkStart w:id="4" w:name="Sujet"/>
      <w:r w:rsidRPr="007A42A1">
        <w:t xml:space="preserve">Riżoluzzjoni tal-Parlament Ewropew tal-24 ta' April 2024 dwar is-seduti li għadhom għaddejjin skont l-Artikolu 7(1) tat-TUE rigward l-Ungerija biex jissaħħaħ l-istat tad-dritt u l-implikazzjonijiet baġitarji tiegħu </w:t>
      </w:r>
      <w:bookmarkEnd w:id="4"/>
      <w:r w:rsidRPr="007A42A1">
        <w:t xml:space="preserve"> </w:t>
      </w:r>
      <w:bookmarkStart w:id="5" w:name="References"/>
      <w:r w:rsidRPr="007A42A1">
        <w:t>(2024/2683(RSP))</w:t>
      </w:r>
      <w:bookmarkEnd w:id="5"/>
    </w:p>
    <w:p w:rsidR="00E26652" w:rsidRPr="007A42A1" w:rsidRDefault="00E26652" w:rsidP="00E26652"/>
    <w:p w:rsidR="00B21AC9" w:rsidRPr="007A42A1" w:rsidRDefault="00B21AC9" w:rsidP="00B21AC9">
      <w:pPr>
        <w:pStyle w:val="NormalHanging12a"/>
      </w:pPr>
      <w:bookmarkStart w:id="6" w:name="TextBodyBegin"/>
      <w:bookmarkEnd w:id="6"/>
      <w:r w:rsidRPr="007A42A1">
        <w:rPr>
          <w:i/>
          <w:iCs/>
        </w:rPr>
        <w:t>Il-Parlament Ewropew</w:t>
      </w:r>
      <w:r w:rsidRPr="007A42A1">
        <w:t>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wara li kkunsidra t-Trattat dwar l-Unjoni Ewropea (TUE), b’mod partikolari l-Artikoli 2, 4(3) u 7(1) tiegħu,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wara li kkunsidra l-Karta tad-Drittijiet Fundamentali tal-Unjoni Ewropea (il-Karta),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wara li kkunsidra l-Konvenzjoni Ewropea dwar id-Drittijiet tal-Bniedem u l-protokolli tagħha,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wara li kkunsidra d-Dikjarazzjoni Universali tad-Drittijiet tal-Bniedem,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wara li kkunsidra t-trattati internazzjonali dwar id-drittijiet tal-bniedem tan-Nazzjonijiet Uniti u tal-Kunsill tal-Ewropa,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wara li kkunsidra l-Lista ta’ Kontroll tal-Istat tad-Dritt adottata mill-Kummissjoni ta’ Venezja fil-106 sessjoni plenarja tagħha f’Venezja fil-11 u t-12 ta’ Marzu 2016,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wara li kkunsidra r-riżoluzzjoni tiegħu tat-12 ta’ Settembru 2018 dwar proposta li titlob lill-Kunsill jiddetermina, skont l-Artikolu 7(1) tat-Trattat dwar l-Unjoni Ewropea, l-eżistenza ta’ riskju ċar ta’ ksur serju mill-Ungerija tal-valuri li fuqhom hija </w:t>
      </w:r>
      <w:proofErr w:type="spellStart"/>
      <w:r w:rsidRPr="007A42A1">
        <w:t>bbażata</w:t>
      </w:r>
      <w:proofErr w:type="spellEnd"/>
      <w:r w:rsidRPr="007A42A1">
        <w:t xml:space="preserve"> l-Unjoni</w:t>
      </w:r>
      <w:r w:rsidRPr="007A42A1">
        <w:rPr>
          <w:rStyle w:val="FootnoteReference"/>
          <w:szCs w:val="24"/>
        </w:rPr>
        <w:footnoteReference w:id="1"/>
      </w:r>
      <w:r w:rsidRPr="007A42A1">
        <w:t>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wara li kkunsidra r-Regolament (UE, </w:t>
      </w:r>
      <w:proofErr w:type="spellStart"/>
      <w:r w:rsidRPr="007A42A1">
        <w:t>Euratom</w:t>
      </w:r>
      <w:proofErr w:type="spellEnd"/>
      <w:r w:rsidRPr="007A42A1">
        <w:t xml:space="preserve">) 2020/2092 tal-Parlament Ewropew u tal-Kunsill tas-16 ta’ Diċembru 2020 dwar reġim ġenerali ta’ </w:t>
      </w:r>
      <w:proofErr w:type="spellStart"/>
      <w:r w:rsidRPr="007A42A1">
        <w:t>kondizzjonalità</w:t>
      </w:r>
      <w:proofErr w:type="spellEnd"/>
      <w:r w:rsidRPr="007A42A1">
        <w:t xml:space="preserve"> għall-protezzjoni tal-baġit tal-Unjoni</w:t>
      </w:r>
      <w:r w:rsidRPr="007A42A1">
        <w:rPr>
          <w:rStyle w:val="FootnoteReference"/>
          <w:szCs w:val="24"/>
        </w:rPr>
        <w:footnoteReference w:id="2"/>
      </w:r>
      <w:r w:rsidRPr="007A42A1">
        <w:t xml:space="preserve"> (ir-Regolament dwar il-</w:t>
      </w:r>
      <w:proofErr w:type="spellStart"/>
      <w:r w:rsidRPr="007A42A1">
        <w:t>Kondizzjonalità</w:t>
      </w:r>
      <w:proofErr w:type="spellEnd"/>
      <w:r w:rsidRPr="007A42A1">
        <w:t xml:space="preserve"> tal-Istat tad-</w:t>
      </w:r>
      <w:r w:rsidRPr="007A42A1">
        <w:lastRenderedPageBreak/>
        <w:t>Dritt),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wara li kkunsidra d-Deċiżjoni tal-Kummissjoni C(2023) 9014 tat-13 ta’ Diċembru 2023 dwar ir-rivalutazzjoni, fuq l-inizjattiva tal-Kummissjoni, tat-twettiq tal-kundizzjonijiet skont l-Artikolu 4 tar-Regolament (UE, </w:t>
      </w:r>
      <w:proofErr w:type="spellStart"/>
      <w:r w:rsidRPr="007A42A1">
        <w:t>Euratom</w:t>
      </w:r>
      <w:proofErr w:type="spellEnd"/>
      <w:r w:rsidRPr="007A42A1">
        <w:t>) 2020/2092 wara d-Deċiżjoni ta’ Implimentazzjoni tal-Kunsill (UE) 2022/2506 tal-15 ta’ Diċembru 2022 rigward l-Ungerija,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wara li kkunsidra r-riżoluzzjoni tiegħu tal-15 ta’ Settembru 2022 dwar il-proposta għal deċiżjoni tal-Kunsill li tiddetermina, skont l-Artikolu 7(1) tat-Trattat dwar l-Unjoni Ewropea, l-eżistenza ta’ riskju ċar ta’ ksur serju mill-Ungerija tal-valuri li fuqhom hija </w:t>
      </w:r>
      <w:proofErr w:type="spellStart"/>
      <w:r w:rsidRPr="007A42A1">
        <w:t>bbażata</w:t>
      </w:r>
      <w:proofErr w:type="spellEnd"/>
      <w:r w:rsidRPr="007A42A1">
        <w:t xml:space="preserve"> l-Unjoni</w:t>
      </w:r>
      <w:r w:rsidRPr="007A42A1">
        <w:rPr>
          <w:rStyle w:val="FootnoteReference"/>
          <w:szCs w:val="24"/>
        </w:rPr>
        <w:footnoteReference w:id="3"/>
      </w:r>
      <w:r w:rsidRPr="007A42A1">
        <w:t>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wara li kkunsidra r-riżoluzzjoni tiegħu tal-24 ta’ Novembru 2022 dwar il-valutazzjoni tal-konformità tal-Ungerija mal-kundizzjonijiet tal-istat tad-dritt skont ir-Regolament dwar il-</w:t>
      </w:r>
      <w:proofErr w:type="spellStart"/>
      <w:r w:rsidRPr="007A42A1">
        <w:t>Kondizzjonalità</w:t>
      </w:r>
      <w:proofErr w:type="spellEnd"/>
      <w:r w:rsidRPr="007A42A1">
        <w:t xml:space="preserve"> u s-sitwazzjoni attwali tal-RRP Ungeriż</w:t>
      </w:r>
      <w:r w:rsidRPr="007A42A1">
        <w:rPr>
          <w:rStyle w:val="FootnoteReference"/>
          <w:szCs w:val="24"/>
        </w:rPr>
        <w:footnoteReference w:id="4"/>
      </w:r>
      <w:r w:rsidRPr="007A42A1">
        <w:t>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wara li kkunsidra r-riżoluzzjoni tiegħu tal-1 ta’ Ġunju 2023 dwar il-ksur tal-Istat tad-Dritt u tad-drittijiet fundamentali fl-Ungerija u l-fondi </w:t>
      </w:r>
      <w:proofErr w:type="spellStart"/>
      <w:r w:rsidRPr="007A42A1">
        <w:t>ffriżati</w:t>
      </w:r>
      <w:proofErr w:type="spellEnd"/>
      <w:r w:rsidRPr="007A42A1">
        <w:t xml:space="preserve"> tal-UE</w:t>
      </w:r>
      <w:r w:rsidRPr="007A42A1">
        <w:rPr>
          <w:rStyle w:val="FootnoteReference"/>
          <w:szCs w:val="24"/>
        </w:rPr>
        <w:footnoteReference w:id="5"/>
      </w:r>
      <w:r w:rsidRPr="007A42A1">
        <w:t>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wara li kkunsidra r-riżoluzzjoni tiegħu tat-18 ta’ Jannar 2024 dwar is-sitwazzjoni fl-Ungerija u l-fondi </w:t>
      </w:r>
      <w:proofErr w:type="spellStart"/>
      <w:r w:rsidRPr="007A42A1">
        <w:t>ffriżati</w:t>
      </w:r>
      <w:proofErr w:type="spellEnd"/>
      <w:r w:rsidRPr="007A42A1">
        <w:t xml:space="preserve"> tal-UE</w:t>
      </w:r>
      <w:r w:rsidRPr="007A42A1">
        <w:rPr>
          <w:rStyle w:val="FootnoteReference"/>
          <w:szCs w:val="24"/>
        </w:rPr>
        <w:footnoteReference w:id="6"/>
      </w:r>
      <w:r w:rsidRPr="007A42A1">
        <w:t>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wara li kkunsidra l-</w:t>
      </w:r>
      <w:proofErr w:type="spellStart"/>
      <w:r w:rsidRPr="007A42A1">
        <w:t>kapitoli</w:t>
      </w:r>
      <w:proofErr w:type="spellEnd"/>
      <w:r w:rsidRPr="007A42A1">
        <w:t xml:space="preserve"> tal-pajjiżi dwar l-Ungerija fir-rapporti annwali tal-Kummissjoni dwar l-istat tad-dritt,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wara li kkunsidra l-Opinjoni tal-Kummissjoni ta’ Venezja dwar l-Att tal-Ungerija LXXXVIII tal-2023 dwar il-Protezzjoni tas-Sovranità Nazzjonali, adottata fil-138 sessjoni plenarja tagħha f’Venezja fil-15 u s-16 ta’ Marzu 2024,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wara li kkunsidra l-Artikolu 132(2) tar-Regoli ta’ Proċedura tiegħu,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A.</w:t>
      </w:r>
      <w:r w:rsidRPr="007A42A1">
        <w:tab/>
        <w:t xml:space="preserve">billi l-Unjoni hija </w:t>
      </w:r>
      <w:proofErr w:type="spellStart"/>
      <w:r w:rsidRPr="007A42A1">
        <w:t>bbażata</w:t>
      </w:r>
      <w:proofErr w:type="spellEnd"/>
      <w:r w:rsidRPr="007A42A1">
        <w:t xml:space="preserve"> fuq il-valuri tar-rispett għad-</w:t>
      </w:r>
      <w:proofErr w:type="spellStart"/>
      <w:r w:rsidRPr="007A42A1">
        <w:t>dinjità</w:t>
      </w:r>
      <w:proofErr w:type="spellEnd"/>
      <w:r w:rsidRPr="007A42A1">
        <w:t xml:space="preserve"> tal-bniedem, il-libertà, id-demokrazija, l-ugwaljanza, l-istat tad-dritt u r-rispett għad-drittijiet tal-bniedem, inklużi d-drittijiet ta’ persuni li jagħmlu parti minn </w:t>
      </w:r>
      <w:proofErr w:type="spellStart"/>
      <w:r w:rsidRPr="007A42A1">
        <w:t>minoranzi</w:t>
      </w:r>
      <w:proofErr w:type="spellEnd"/>
      <w:r w:rsidRPr="007A42A1">
        <w:t xml:space="preserve">, kif stabbiliti fl-Artikolu 2 tat-TUE u kif riflessi fil-Karta u inkorporati fit-trattati internazzjonali dwar id-drittijiet tal-bniedem; billi dawn il-valuri, li huma </w:t>
      </w:r>
      <w:proofErr w:type="spellStart"/>
      <w:r w:rsidRPr="007A42A1">
        <w:t>kondiviżi</w:t>
      </w:r>
      <w:proofErr w:type="spellEnd"/>
      <w:r w:rsidRPr="007A42A1">
        <w:t xml:space="preserve"> mill-Istati Membri, jikkostitwixxu l-pedament tad-drittijiet li jgawdu dawk li jgħixu fl-UE;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B.</w:t>
      </w:r>
      <w:r w:rsidRPr="007A42A1">
        <w:tab/>
        <w:t xml:space="preserve">billi kwalunkwe riskju ċar ta’ ksur serju min-naħa ta’ Stat Membru tal-valuri msemmija fl-Artikolu 2 tat-TUE ma </w:t>
      </w:r>
      <w:proofErr w:type="spellStart"/>
      <w:r w:rsidRPr="007A42A1">
        <w:t>jikkonċernax</w:t>
      </w:r>
      <w:proofErr w:type="spellEnd"/>
      <w:r w:rsidRPr="007A42A1">
        <w:t xml:space="preserve"> biss lill-Istat Membru individwali fejn twettaq ir-riskju, iżda għandu impatt fuq l-Istati Membri l-oħra, fuq il-fiduċja reċiproka ta’ bejniethom u fuq in-natura proprja tal-UE u d-drittijiet fundamentali taċ-ċittadini tagħha skont id-dritt tal-Unjoni;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C.</w:t>
      </w:r>
      <w:r w:rsidRPr="007A42A1">
        <w:tab/>
        <w:t>billi l-kamp ta’ applikazzjoni tal-Artikolu 7 tat-TUE mhuwiex limitat għall-obbligi skont it-Trattati, għall-kuntrarju tal-Artikolu 258 tat-Trattat dwar il-Funzjonament tal-</w:t>
      </w:r>
      <w:r w:rsidRPr="007A42A1">
        <w:lastRenderedPageBreak/>
        <w:t xml:space="preserve">Unjoni Ewropea (TFUE), u billi l-UE tista’ </w:t>
      </w:r>
      <w:proofErr w:type="spellStart"/>
      <w:r w:rsidRPr="007A42A1">
        <w:t>tivvaluta</w:t>
      </w:r>
      <w:proofErr w:type="spellEnd"/>
      <w:r w:rsidRPr="007A42A1">
        <w:t xml:space="preserve"> l-eżistenza ta’ riskju ċar ta’ ksur serju tal-valuri komuni f’oqsma li jaqgħu taħt il-kompetenzi tal-Istati Membri;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D.</w:t>
      </w:r>
      <w:r w:rsidRPr="007A42A1">
        <w:tab/>
        <w:t xml:space="preserve">billi fl-2018, fuq proposta tal-Parlament Ewropew, il-Kunsill beda l-proċedura stabbilita fl-Artikolu 7(1) tat-TUE bil-ħsieb li jiġi indirizzat riskju ċar ta’ ksur serju mill-Ungerija tal-valuri msemmija fl-Artikolu 2 tat-TUE; billi seħħew sitt seduti dwar is-sitwazzjoni fl-Ungerija skont il-proċedura tal-Artikolu 7(1) tat-TUE fil-Kunsill mill-bidu tal-proċedura, iżda l-Kunsill għadu ma </w:t>
      </w:r>
      <w:proofErr w:type="spellStart"/>
      <w:r w:rsidRPr="007A42A1">
        <w:t>pprovax</w:t>
      </w:r>
      <w:proofErr w:type="spellEnd"/>
      <w:r w:rsidRPr="007A42A1">
        <w:t xml:space="preserve"> jiddetermina jekk jeżistix tali riskju, u ma indirizza l-ebda rakkomandazzjoni lill-Gvern tal-Ungerija;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E.</w:t>
      </w:r>
      <w:r w:rsidRPr="007A42A1">
        <w:tab/>
        <w:t>billi r-Regolament dwar il-</w:t>
      </w:r>
      <w:proofErr w:type="spellStart"/>
      <w:r w:rsidRPr="007A42A1">
        <w:t>Kundizzjonalità</w:t>
      </w:r>
      <w:proofErr w:type="spellEnd"/>
      <w:r w:rsidRPr="007A42A1">
        <w:t xml:space="preserve"> tal-Istat tad-Dritt huwa ta’ importanza kbira peress li huwa l-istrument li jippermetti l-protezzjoni tal-fondi tal-UE b’mod effettiv;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F.</w:t>
      </w:r>
      <w:r w:rsidRPr="007A42A1">
        <w:tab/>
        <w:t xml:space="preserve">billi l-Kummissjoni </w:t>
      </w:r>
      <w:proofErr w:type="spellStart"/>
      <w:r w:rsidRPr="007A42A1">
        <w:t>ddeċidiet</w:t>
      </w:r>
      <w:proofErr w:type="spellEnd"/>
      <w:r w:rsidRPr="007A42A1">
        <w:t xml:space="preserve"> li tagħti lill-Ungerija EUR 0,9 biljun fi </w:t>
      </w:r>
      <w:proofErr w:type="spellStart"/>
      <w:r w:rsidRPr="007A42A1">
        <w:t>prefinanzjament</w:t>
      </w:r>
      <w:proofErr w:type="spellEnd"/>
      <w:r w:rsidRPr="007A42A1">
        <w:t xml:space="preserve"> fl-ambitu tar-</w:t>
      </w:r>
      <w:proofErr w:type="spellStart"/>
      <w:r w:rsidRPr="007A42A1">
        <w:t>REPowerEU</w:t>
      </w:r>
      <w:proofErr w:type="spellEnd"/>
      <w:r w:rsidRPr="007A42A1">
        <w:t xml:space="preserve">; billi tali </w:t>
      </w:r>
      <w:proofErr w:type="spellStart"/>
      <w:r w:rsidRPr="007A42A1">
        <w:t>prefinanzjament</w:t>
      </w:r>
      <w:proofErr w:type="spellEnd"/>
      <w:r w:rsidRPr="007A42A1">
        <w:t xml:space="preserve"> jista’ jsir mingħajr kundizzjonijiet, iżda mhux mingħajr kontrolli;</w:t>
      </w:r>
    </w:p>
    <w:p w:rsidR="00B21AC9" w:rsidRPr="007A42A1" w:rsidRDefault="00B21AC9" w:rsidP="00B21AC9">
      <w:pPr>
        <w:pStyle w:val="NormalHanging12a"/>
        <w:rPr>
          <w:bCs/>
          <w:szCs w:val="24"/>
        </w:rPr>
      </w:pPr>
      <w:r w:rsidRPr="007A42A1">
        <w:t>G.</w:t>
      </w:r>
      <w:r w:rsidRPr="007A42A1">
        <w:tab/>
        <w:t xml:space="preserve">billi fir-Rapport </w:t>
      </w:r>
      <w:r w:rsidRPr="007A42A1">
        <w:rPr>
          <w:i/>
          <w:iCs/>
        </w:rPr>
        <w:t>Interim</w:t>
      </w:r>
      <w:r w:rsidR="00EE7887">
        <w:t xml:space="preserve"> tiegħu tal-1</w:t>
      </w:r>
      <w:r w:rsidRPr="007A42A1">
        <w:t xml:space="preserve">5 ta’ </w:t>
      </w:r>
      <w:r w:rsidR="00EE7887">
        <w:t>Settembru</w:t>
      </w:r>
      <w:r w:rsidRPr="007A42A1">
        <w:t xml:space="preserve"> 2022, il-Parlament </w:t>
      </w:r>
      <w:proofErr w:type="spellStart"/>
      <w:r w:rsidRPr="007A42A1">
        <w:t>ivvaluta</w:t>
      </w:r>
      <w:proofErr w:type="spellEnd"/>
      <w:r w:rsidRPr="007A42A1">
        <w:t xml:space="preserve"> li mit-tnedija tal-proċedura skont l-Artikolu 7(1) tat-TUE, bosta tħassib fir-rigward tal-konformità tal-Ungerija mal-valuri stabbiliti fl-Artikolu 2 tat-TUE kien għadu hemm jew mar għall-agħar b’mod sostanzjali, inkluż fir-rigward tal-indipendenza tal-ġudikatura, tal-korruzzjoni, tal-</w:t>
      </w:r>
      <w:proofErr w:type="spellStart"/>
      <w:r w:rsidRPr="007A42A1">
        <w:t>kunflitti</w:t>
      </w:r>
      <w:proofErr w:type="spellEnd"/>
      <w:r w:rsidRPr="007A42A1">
        <w:t xml:space="preserve"> ta’ interess, l-indipendenza u l-pluraliżmu tal-</w:t>
      </w:r>
      <w:proofErr w:type="spellStart"/>
      <w:r w:rsidRPr="007A42A1">
        <w:t>media</w:t>
      </w:r>
      <w:proofErr w:type="spellEnd"/>
      <w:r w:rsidRPr="007A42A1">
        <w:t>, il-funzjonament tas-sistema kostituzzjonali u elettorali, u fl-ispazju ċiviku;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H.</w:t>
      </w:r>
      <w:r w:rsidRPr="007A42A1">
        <w:tab/>
        <w:t xml:space="preserve">billi mill-adozzjoni tar-Rapport </w:t>
      </w:r>
      <w:r w:rsidRPr="007A42A1">
        <w:rPr>
          <w:i/>
          <w:iCs/>
        </w:rPr>
        <w:t>Interim</w:t>
      </w:r>
      <w:r w:rsidRPr="007A42A1">
        <w:t xml:space="preserve">, is-sitwazzjoni f’xi wħud minn dawn l-oqsma </w:t>
      </w:r>
      <w:proofErr w:type="spellStart"/>
      <w:r w:rsidRPr="007A42A1">
        <w:t>wriet</w:t>
      </w:r>
      <w:proofErr w:type="spellEnd"/>
      <w:r w:rsidRPr="007A42A1">
        <w:t xml:space="preserve"> titjib limitat, fil-biċċa l-kbira tal-oqsma baqgħet </w:t>
      </w:r>
      <w:proofErr w:type="spellStart"/>
      <w:r w:rsidRPr="007A42A1">
        <w:t>inkwetanti</w:t>
      </w:r>
      <w:proofErr w:type="spellEnd"/>
      <w:r w:rsidRPr="007A42A1">
        <w:t xml:space="preserve"> u f’xi oħrajn kompliet tiddeterjora; billi </w:t>
      </w:r>
      <w:proofErr w:type="spellStart"/>
      <w:r w:rsidRPr="007A42A1">
        <w:t>tfaċċaw</w:t>
      </w:r>
      <w:proofErr w:type="spellEnd"/>
      <w:r w:rsidRPr="007A42A1">
        <w:t xml:space="preserve"> problemi serji ġodda b’riżultat tal-azzjonijiet tal-Gvern Ungeriż;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I.</w:t>
      </w:r>
      <w:r w:rsidRPr="007A42A1">
        <w:tab/>
        <w:t xml:space="preserve">billi f’April 2024, għexieren ta’ eluf ta’ Ungeriżi niżlu fit-toroq biex </w:t>
      </w:r>
      <w:proofErr w:type="spellStart"/>
      <w:r w:rsidRPr="007A42A1">
        <w:t>jipprotestaw</w:t>
      </w:r>
      <w:proofErr w:type="spellEnd"/>
      <w:r w:rsidRPr="007A42A1">
        <w:t xml:space="preserve"> kontra l-manipulazzjoni u l-korruzzjoni tal-Istat;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J.</w:t>
      </w:r>
      <w:r w:rsidRPr="007A42A1">
        <w:tab/>
        <w:t xml:space="preserve">billi fl-2022 u l-2023, il-Gvern Ungeriż adotta pakkett leġiżlattiv ta’ riformi ġudizzjarji li jindirizzaw ċerti limitazzjonijiet tal-indipendenza tal-ġudikatura, inkluż billi tissaħħaħ l-indipendenza tal-Kunsill Ġudizzjarju Nazzjonali (NJC); billi l-lista mhux </w:t>
      </w:r>
      <w:proofErr w:type="spellStart"/>
      <w:r w:rsidRPr="007A42A1">
        <w:t>eżawrjenti</w:t>
      </w:r>
      <w:proofErr w:type="spellEnd"/>
      <w:r w:rsidRPr="007A42A1">
        <w:t xml:space="preserve"> ta’ nuqqasijiet serji relatati mal-istat tad-dritt fis-sistema tal-ġustizzja li għadhom ma ġewx indirizzati tinkludi: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regoli relatati </w:t>
      </w:r>
      <w:proofErr w:type="spellStart"/>
      <w:r w:rsidRPr="007A42A1">
        <w:t>mal-impossibbiltà</w:t>
      </w:r>
      <w:proofErr w:type="spellEnd"/>
      <w:r w:rsidRPr="007A42A1">
        <w:t xml:space="preserve"> li jitneħħa l-president attwali tal-</w:t>
      </w:r>
      <w:proofErr w:type="spellStart"/>
      <w:r w:rsidRPr="007A42A1">
        <w:t>Curia</w:t>
      </w:r>
      <w:proofErr w:type="spellEnd"/>
      <w:r w:rsidRPr="007A42A1">
        <w:t>, il-qorti Suprema tal-Ungerija,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nuqqas ta’ salvagwardji u garanziji sinifikanti tal-indipendenza tal-</w:t>
      </w:r>
      <w:proofErr w:type="spellStart"/>
      <w:r w:rsidRPr="007A42A1">
        <w:t>Curia</w:t>
      </w:r>
      <w:proofErr w:type="spellEnd"/>
      <w:r w:rsidRPr="007A42A1">
        <w:t>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nuqqas ta’ trasparenza u </w:t>
      </w:r>
      <w:proofErr w:type="spellStart"/>
      <w:r w:rsidRPr="007A42A1">
        <w:t>awtomatizzazzjoni</w:t>
      </w:r>
      <w:proofErr w:type="spellEnd"/>
      <w:r w:rsidRPr="007A42A1">
        <w:t xml:space="preserve"> fis-sistema ta’ allokazzjoni ta’ kawżi fil-</w:t>
      </w:r>
      <w:proofErr w:type="spellStart"/>
      <w:r w:rsidRPr="007A42A1">
        <w:t>Curia</w:t>
      </w:r>
      <w:proofErr w:type="spellEnd"/>
      <w:r w:rsidRPr="007A42A1">
        <w:t xml:space="preserve"> u nuqqas ta’ trasparenza fir-rigward tar-regoli dwar il-kompożizzjoni tal-bordijiet,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pressjoni politika u amministrattiva fuq l-indipendenza tal-NJC u tal-membri tiegħu, inkluż permezz ta’ kampanji ta’ malafama,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regoli relatati mal-ħatra, mal-promozzjoni u </w:t>
      </w:r>
      <w:proofErr w:type="spellStart"/>
      <w:r w:rsidRPr="007A42A1">
        <w:t>mal-impossibbiltà</w:t>
      </w:r>
      <w:proofErr w:type="spellEnd"/>
      <w:r w:rsidRPr="007A42A1">
        <w:t xml:space="preserve"> ta’ tneħħija tal-imħallfin,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nuqqas ta’ salvagwardji u garanziji sinifikanti tal-indipendenza tal-imħallfin li </w:t>
      </w:r>
      <w:proofErr w:type="spellStart"/>
      <w:r w:rsidRPr="007A42A1">
        <w:lastRenderedPageBreak/>
        <w:t>jirrieżaminaw</w:t>
      </w:r>
      <w:proofErr w:type="spellEnd"/>
      <w:r w:rsidRPr="007A42A1">
        <w:t xml:space="preserve"> id-deċiżjonijiet amministrattivi,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għadd dejjem jikber ta’ ostakli għal </w:t>
      </w:r>
      <w:proofErr w:type="spellStart"/>
      <w:r w:rsidRPr="007A42A1">
        <w:t>rinviji</w:t>
      </w:r>
      <w:proofErr w:type="spellEnd"/>
      <w:r w:rsidRPr="007A42A1">
        <w:t xml:space="preserve"> preliminari lill-Qorti tal-Ġustizzja tal-Unjoni Ewropea (QĠUE),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regoli mhux adegwati dwar l-</w:t>
      </w:r>
      <w:proofErr w:type="spellStart"/>
      <w:r w:rsidRPr="007A42A1">
        <w:t>immunità</w:t>
      </w:r>
      <w:proofErr w:type="spellEnd"/>
      <w:r w:rsidRPr="007A42A1">
        <w:t xml:space="preserve"> u proċedimenti dixxiplinari kontra l-prosekuturi u l-imħallfin,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interferenza politika fil-ħidma tas-servizzi tal-prosekuzzjoni u tal-prosekuturi individwali,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nuqqas ta’ servizzi ta’ appoġġ effiċjenti għall-vittmi tal-kriminalità;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K.</w:t>
      </w:r>
      <w:r w:rsidRPr="007A42A1">
        <w:tab/>
        <w:t xml:space="preserve">billi l-lista mhux </w:t>
      </w:r>
      <w:proofErr w:type="spellStart"/>
      <w:r w:rsidRPr="007A42A1">
        <w:t>eżawrjenti</w:t>
      </w:r>
      <w:proofErr w:type="spellEnd"/>
      <w:r w:rsidRPr="007A42A1">
        <w:t xml:space="preserve"> ta’ nuqqasijiet serji persistenti relatati mal-ġlieda kontra l-korruzzjoni u l-</w:t>
      </w:r>
      <w:proofErr w:type="spellStart"/>
      <w:r w:rsidRPr="007A42A1">
        <w:t>kunflitt</w:t>
      </w:r>
      <w:proofErr w:type="spellEnd"/>
      <w:r w:rsidRPr="007A42A1">
        <w:t xml:space="preserve"> ta’ interess tinkludi: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nuqqas ta’ rekord ta’ investigazzjonijiet, </w:t>
      </w:r>
      <w:proofErr w:type="spellStart"/>
      <w:r w:rsidRPr="007A42A1">
        <w:t>prosekuzzjonijiet</w:t>
      </w:r>
      <w:proofErr w:type="spellEnd"/>
      <w:r w:rsidRPr="007A42A1">
        <w:t xml:space="preserve"> u sentenzi finali dwar każijiet ta’ korruzzjoni ta’ livell għoli,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nuqqas ta’ regolamenti stretti dwar il-</w:t>
      </w:r>
      <w:proofErr w:type="spellStart"/>
      <w:r w:rsidRPr="007A42A1">
        <w:t>lobbjar</w:t>
      </w:r>
      <w:proofErr w:type="spellEnd"/>
      <w:r w:rsidRPr="007A42A1">
        <w:t xml:space="preserve">, </w:t>
      </w:r>
      <w:proofErr w:type="spellStart"/>
      <w:r w:rsidRPr="007A42A1">
        <w:t>ir-revolving</w:t>
      </w:r>
      <w:proofErr w:type="spellEnd"/>
      <w:r w:rsidRPr="007A42A1">
        <w:t xml:space="preserve"> </w:t>
      </w:r>
      <w:proofErr w:type="spellStart"/>
      <w:r w:rsidRPr="007A42A1">
        <w:t>doors</w:t>
      </w:r>
      <w:proofErr w:type="spellEnd"/>
      <w:r w:rsidRPr="007A42A1">
        <w:t xml:space="preserve"> u s-sorveljanza effettiva fuq id-dikjarazzjonijiet tal-assi,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nuqqas ta’ kompetenza, setgħa, aċċess għall-informazzjoni u riżorsi adegwati suffiċjenti fl-Awtorità tal-</w:t>
      </w:r>
      <w:proofErr w:type="spellStart"/>
      <w:r w:rsidRPr="007A42A1">
        <w:t>Integrità</w:t>
      </w:r>
      <w:proofErr w:type="spellEnd"/>
      <w:r w:rsidRPr="007A42A1">
        <w:t>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nuqqas ta’ konsultazzjoni pubblika u dibattitu dwar miżuri kontra l-korruzzjoni,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nuqqas ta’ responsabbiltà tas-servizzi tal-prosekuzzjoni, inkluż f’każijiet ta’ negliġenza, ksur tad-dmir u </w:t>
      </w:r>
      <w:proofErr w:type="spellStart"/>
      <w:r w:rsidRPr="007A42A1">
        <w:t>mġiba</w:t>
      </w:r>
      <w:proofErr w:type="spellEnd"/>
      <w:r w:rsidRPr="007A42A1">
        <w:t xml:space="preserve"> kriminali,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interferenza politika fil-ħidma tas-servizzi tal-prosekuzzjoni li </w:t>
      </w:r>
      <w:proofErr w:type="spellStart"/>
      <w:r w:rsidRPr="007A42A1">
        <w:t>jittraċċaw</w:t>
      </w:r>
      <w:proofErr w:type="spellEnd"/>
      <w:r w:rsidRPr="007A42A1">
        <w:t xml:space="preserve"> każijiet ta’ korruzzjoni ta’ livell għoli u kriminali;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L.</w:t>
      </w:r>
      <w:r w:rsidRPr="007A42A1">
        <w:tab/>
        <w:t xml:space="preserve">billi l-lista mhux </w:t>
      </w:r>
      <w:proofErr w:type="spellStart"/>
      <w:r w:rsidRPr="007A42A1">
        <w:t>eżawrjenti</w:t>
      </w:r>
      <w:proofErr w:type="spellEnd"/>
      <w:r w:rsidRPr="007A42A1">
        <w:t xml:space="preserve"> ta’ nuqqasijiet serji persistenti relatati mal-libertà u l-pluraliżmu tal-</w:t>
      </w:r>
      <w:proofErr w:type="spellStart"/>
      <w:r w:rsidRPr="007A42A1">
        <w:t>media</w:t>
      </w:r>
      <w:proofErr w:type="spellEnd"/>
      <w:r w:rsidRPr="007A42A1">
        <w:t xml:space="preserve"> tinkludi: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nuqqas ta’ indipendenza funzjonali tal-awtorità tal-</w:t>
      </w:r>
      <w:proofErr w:type="spellStart"/>
      <w:r w:rsidRPr="007A42A1">
        <w:t>media</w:t>
      </w:r>
      <w:proofErr w:type="spellEnd"/>
      <w:r w:rsidRPr="007A42A1">
        <w:t xml:space="preserve"> u tal-koordinatur tas-servizzi diġitali,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nuqqas ta’ indipendenza editorjali u finanzjarja tal-</w:t>
      </w:r>
      <w:proofErr w:type="spellStart"/>
      <w:r w:rsidRPr="007A42A1">
        <w:t>media</w:t>
      </w:r>
      <w:proofErr w:type="spellEnd"/>
      <w:r w:rsidRPr="007A42A1">
        <w:t xml:space="preserve"> tas-servizz pubbliku u nuqqas ta’ pluraliżmu tal-fehmiet politiċi fil-</w:t>
      </w:r>
      <w:proofErr w:type="spellStart"/>
      <w:r w:rsidRPr="007A42A1">
        <w:t>media</w:t>
      </w:r>
      <w:proofErr w:type="spellEnd"/>
      <w:r w:rsidRPr="007A42A1">
        <w:t xml:space="preserve"> tas-servizz pubbliku, li tintuża mill-maġġoranza fil-gvern għall-propaganda politika,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abbuż tar-reklamar mill-istat fil-mezzi tal-</w:t>
      </w:r>
      <w:proofErr w:type="spellStart"/>
      <w:r w:rsidRPr="007A42A1">
        <w:t>media</w:t>
      </w:r>
      <w:proofErr w:type="spellEnd"/>
      <w:r w:rsidRPr="007A42A1">
        <w:t xml:space="preserve"> favur il-gvern u nuqqas ta’ regoli u trasparenza dwar din il-kwistjoni,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kampanji ta’ malafama kontra ġurnalisti u </w:t>
      </w:r>
      <w:proofErr w:type="spellStart"/>
      <w:r w:rsidRPr="007A42A1">
        <w:t>media</w:t>
      </w:r>
      <w:proofErr w:type="spellEnd"/>
      <w:r w:rsidRPr="007A42A1">
        <w:t xml:space="preserve"> indipendenti,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għadd dejjem jikber ta’ restrizzjonijiet fuq l-aċċess għall-informazzjoni pubblika,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nuqqas ta’ investigazzjoni sinifikanti fil-varar ta’ </w:t>
      </w:r>
      <w:proofErr w:type="spellStart"/>
      <w:r w:rsidRPr="007A42A1">
        <w:t>spyware</w:t>
      </w:r>
      <w:proofErr w:type="spellEnd"/>
      <w:r w:rsidRPr="007A42A1">
        <w:t xml:space="preserve"> </w:t>
      </w:r>
      <w:proofErr w:type="spellStart"/>
      <w:r w:rsidRPr="007A42A1">
        <w:t>mmirat</w:t>
      </w:r>
      <w:proofErr w:type="spellEnd"/>
      <w:r w:rsidRPr="007A42A1">
        <w:t xml:space="preserve"> lejn ġurnalisti investigattivi u professjonisti tal-</w:t>
      </w:r>
      <w:proofErr w:type="spellStart"/>
      <w:r w:rsidRPr="007A42A1">
        <w:t>media</w:t>
      </w:r>
      <w:proofErr w:type="spellEnd"/>
      <w:r w:rsidRPr="007A42A1">
        <w:t>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lastRenderedPageBreak/>
        <w:t>–</w:t>
      </w:r>
      <w:r w:rsidRPr="007A42A1">
        <w:tab/>
        <w:t>konċentrazzjoni tas-suq tal-</w:t>
      </w:r>
      <w:proofErr w:type="spellStart"/>
      <w:r w:rsidRPr="007A42A1">
        <w:t>media</w:t>
      </w:r>
      <w:proofErr w:type="spellEnd"/>
      <w:r w:rsidRPr="007A42A1">
        <w:t xml:space="preserve"> u influwenza eċċessiva tal-gvern fuq ix-xenarju tal-</w:t>
      </w:r>
      <w:proofErr w:type="spellStart"/>
      <w:r w:rsidRPr="007A42A1">
        <w:t>media</w:t>
      </w:r>
      <w:proofErr w:type="spellEnd"/>
      <w:r w:rsidRPr="007A42A1">
        <w:t xml:space="preserve"> (inkluż permezz tal-</w:t>
      </w:r>
      <w:r w:rsidRPr="007A42A1">
        <w:rPr>
          <w:shd w:val="clear" w:color="auto" w:fill="FFFFFF"/>
        </w:rPr>
        <w:t>Fondazzjoni tal-Istampa u tal-</w:t>
      </w:r>
      <w:proofErr w:type="spellStart"/>
      <w:r w:rsidRPr="007A42A1">
        <w:rPr>
          <w:shd w:val="clear" w:color="auto" w:fill="FFFFFF"/>
        </w:rPr>
        <w:t>Media</w:t>
      </w:r>
      <w:proofErr w:type="spellEnd"/>
      <w:r w:rsidRPr="007A42A1">
        <w:rPr>
          <w:shd w:val="clear" w:color="auto" w:fill="FFFFFF"/>
        </w:rPr>
        <w:t xml:space="preserve"> tal-Ewropa Ċentrali, jew il-</w:t>
      </w:r>
      <w:r w:rsidRPr="007A42A1">
        <w:t xml:space="preserve">KESMA </w:t>
      </w:r>
      <w:proofErr w:type="spellStart"/>
      <w:r w:rsidRPr="007A42A1">
        <w:t>fl-</w:t>
      </w:r>
      <w:r w:rsidRPr="007A42A1">
        <w:rPr>
          <w:shd w:val="clear" w:color="auto" w:fill="FFFFFF"/>
        </w:rPr>
        <w:t>akronimu</w:t>
      </w:r>
      <w:proofErr w:type="spellEnd"/>
      <w:r w:rsidRPr="007A42A1">
        <w:rPr>
          <w:shd w:val="clear" w:color="auto" w:fill="FFFFFF"/>
        </w:rPr>
        <w:t xml:space="preserve"> Ungeriż</w:t>
      </w:r>
      <w:r w:rsidRPr="007A42A1">
        <w:t xml:space="preserve"> tagħha),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is-sottomissjoni potenzjali tal-mezzi tal-</w:t>
      </w:r>
      <w:proofErr w:type="spellStart"/>
      <w:r w:rsidRPr="007A42A1">
        <w:t>media</w:t>
      </w:r>
      <w:proofErr w:type="spellEnd"/>
      <w:r w:rsidRPr="007A42A1">
        <w:t xml:space="preserve"> u tal-ġurnalisti għal investigazzjonijiet mill-Uffiċċju għall-Protezzjoni tas-Sovranità (SPO);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M.</w:t>
      </w:r>
      <w:r w:rsidRPr="007A42A1">
        <w:tab/>
        <w:t xml:space="preserve">billi l-lista mhux </w:t>
      </w:r>
      <w:proofErr w:type="spellStart"/>
      <w:r w:rsidRPr="007A42A1">
        <w:t>eżawrjenti</w:t>
      </w:r>
      <w:proofErr w:type="spellEnd"/>
      <w:r w:rsidRPr="007A42A1">
        <w:t xml:space="preserve"> ta’ nuqqasijiet serji persistenti relatati mas-sistema kostituzzjonali u elettorali, kif ukoll kontrolli u bilanċi, tinkludi: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in-nuqqas ta’ kundizzjonijiet </w:t>
      </w:r>
      <w:proofErr w:type="spellStart"/>
      <w:r w:rsidRPr="007A42A1">
        <w:t>ekwi</w:t>
      </w:r>
      <w:proofErr w:type="spellEnd"/>
      <w:r w:rsidRPr="007A42A1">
        <w:t xml:space="preserve"> tal-kampanja matul l-elezzjonijiet fil-livell lokali u nazzjonali, u bidliet frekwenti fil-kodiċi elettorali,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trasparenza u responsabbiltà insuffiċjenti fil-proċess tat-tħejjija u tal-promulgazzjoni tal-liġijiet,</w:t>
      </w:r>
    </w:p>
    <w:p w:rsidR="00B21AC9" w:rsidRPr="007A42A1" w:rsidRDefault="00B21AC9" w:rsidP="00B21AC9">
      <w:pPr>
        <w:pStyle w:val="NormalHanging12a"/>
        <w:rPr>
          <w:bCs/>
          <w:szCs w:val="24"/>
        </w:rPr>
      </w:pPr>
      <w:r w:rsidRPr="007A42A1">
        <w:t>–</w:t>
      </w:r>
      <w:r w:rsidRPr="007A42A1">
        <w:tab/>
        <w:t xml:space="preserve">il-kontinwazzjoni </w:t>
      </w:r>
      <w:proofErr w:type="spellStart"/>
      <w:r w:rsidRPr="007A42A1">
        <w:t>tas</w:t>
      </w:r>
      <w:proofErr w:type="spellEnd"/>
      <w:r w:rsidRPr="007A42A1">
        <w:t xml:space="preserve">-“sitwazzjoni ta’ periklu” uffiċjali li tagħti lill-gvern setgħat estensivi ta’ emerġenza u li </w:t>
      </w:r>
      <w:proofErr w:type="spellStart"/>
      <w:r w:rsidRPr="007A42A1">
        <w:t>tippermettilu</w:t>
      </w:r>
      <w:proofErr w:type="spellEnd"/>
      <w:r w:rsidRPr="007A42A1">
        <w:t xml:space="preserve"> jaqbeż il-liġijiet ta’ livell ogħla f’</w:t>
      </w:r>
      <w:proofErr w:type="spellStart"/>
      <w:r w:rsidRPr="007A42A1">
        <w:t>digrieti</w:t>
      </w:r>
      <w:proofErr w:type="spellEnd"/>
      <w:r w:rsidRPr="007A42A1">
        <w:t xml:space="preserve"> ta’ emerġenza,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in-nuqqas ta’ proċess ta’ konsultazzjoni pubblika sinifikanti fir-rigward ta’ abbozzi ta’ liġijiet importanti,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it-tneħħija tas-setgħa tal-korpi indipendenti u l-pressjoni fuq l-indipendenza tagħhom,</w:t>
      </w:r>
    </w:p>
    <w:p w:rsidR="00B21AC9" w:rsidRPr="007A42A1" w:rsidRDefault="00B21AC9" w:rsidP="00B21AC9">
      <w:pPr>
        <w:pStyle w:val="NormalHanging12a"/>
        <w:rPr>
          <w:bCs/>
          <w:szCs w:val="24"/>
        </w:rPr>
      </w:pPr>
      <w:r w:rsidRPr="007A42A1">
        <w:t>–</w:t>
      </w:r>
      <w:r w:rsidRPr="007A42A1">
        <w:tab/>
        <w:t xml:space="preserve">l-użu ta’ abbozzi ta’ liġijiet </w:t>
      </w:r>
      <w:proofErr w:type="spellStart"/>
      <w:r w:rsidRPr="007A42A1">
        <w:t>omnibus</w:t>
      </w:r>
      <w:proofErr w:type="spellEnd"/>
      <w:r w:rsidRPr="007A42A1">
        <w:t xml:space="preserve"> biex jiġu emendati diversi liġijiet;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N.</w:t>
      </w:r>
      <w:r w:rsidRPr="007A42A1">
        <w:tab/>
        <w:t xml:space="preserve">billi l-lista mhux </w:t>
      </w:r>
      <w:proofErr w:type="spellStart"/>
      <w:r w:rsidRPr="007A42A1">
        <w:t>eżawrjenti</w:t>
      </w:r>
      <w:proofErr w:type="spellEnd"/>
      <w:r w:rsidRPr="007A42A1">
        <w:t xml:space="preserve"> ta’ nuqqasijiet serji persistenti relatati mal-funzjonament tas-soċjetà ċivili tinkludi: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l-effett </w:t>
      </w:r>
      <w:proofErr w:type="spellStart"/>
      <w:r w:rsidRPr="007A42A1">
        <w:t>dissważiv</w:t>
      </w:r>
      <w:proofErr w:type="spellEnd"/>
      <w:r w:rsidRPr="007A42A1">
        <w:t xml:space="preserve"> ta’ diversi liġijiet li għandhom l-għan li jillimitaw l-eżistenza u l-funzjonament ta’ organizzazzjonijiet indipendenti tas-soċjetà ċivili, bħal-liġi dwar it-trasparenza ta’ organizzazzjonijiet li jirċievu fondi barranin u l-liġi dwar il-protezzjoni tas-sovranità nazzjonali,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kampanji ta’ malafama u fastidju kontra r-rappreżentanti tal-organizzazzjonijiet tas-soċjetà ċivili,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nuqqas ta’ finanzjament pubbliku għal organizzazzjonijiet indipendenti tas-soċjetà ċivili, u appoġġ finanzjarju għal organizzazzjonijiet favur il-gvern jew għal organizzazzjonijiet li huma marbuta mal-gvern,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is-sottomissjoni potenzjali tal-organizzazzjonijiet tas-soċjetà ċivili u tar-rappreżentanti tagħhom għas-sorveljanza u l-investigazzjonijiet mill-SPO;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O.</w:t>
      </w:r>
      <w:r w:rsidRPr="007A42A1">
        <w:tab/>
        <w:t xml:space="preserve">billi l-lista mhux </w:t>
      </w:r>
      <w:proofErr w:type="spellStart"/>
      <w:r w:rsidRPr="007A42A1">
        <w:t>eżawrjenti</w:t>
      </w:r>
      <w:proofErr w:type="spellEnd"/>
      <w:r w:rsidRPr="007A42A1">
        <w:t xml:space="preserve"> ta’ nuqqasijiet serji persistenti relatati mal-protezzjoni tal-interessi finanzjarji tal-UE tinkludi: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il-funzjonament tal-awtoritajiet li jimplimentaw il-baġit tal-UE,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irregolaritajiet </w:t>
      </w:r>
      <w:proofErr w:type="spellStart"/>
      <w:r w:rsidRPr="007A42A1">
        <w:t>sistemiċi</w:t>
      </w:r>
      <w:proofErr w:type="spellEnd"/>
      <w:r w:rsidRPr="007A42A1">
        <w:t xml:space="preserve">, </w:t>
      </w:r>
      <w:proofErr w:type="spellStart"/>
      <w:r w:rsidRPr="007A42A1">
        <w:t>defiċjenzi</w:t>
      </w:r>
      <w:proofErr w:type="spellEnd"/>
      <w:r w:rsidRPr="007A42A1">
        <w:t xml:space="preserve"> u nuqqasijiet fl-akkwist pubbliku, inkluż sehem għoli ta’ proċeduri tal-offerti b’offerti uniċi u nuqqas ta’ kompetizzjoni fis-sistema tal-</w:t>
      </w:r>
      <w:r w:rsidRPr="007A42A1">
        <w:lastRenderedPageBreak/>
        <w:t>akkwist pubbliku,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nuqqasijiet fil-mekkaniżmi ta’ awditjar u kontroll biex jiġi </w:t>
      </w:r>
      <w:proofErr w:type="spellStart"/>
      <w:r w:rsidRPr="007A42A1">
        <w:t>ggarantit</w:t>
      </w:r>
      <w:proofErr w:type="spellEnd"/>
      <w:r w:rsidRPr="007A42A1">
        <w:t xml:space="preserve"> l-użu tajjeb tal-fondi tal-UE,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kapaċità mhux adegwata għall-prevenzjoni u s-sanzjonar ta’ frodi, korruzzjoni jew ksur ieħor tad-dritt tal-Unjoni relatat mal-implimentazzjoni tal-baġit tal-UE jew mal-protezzjoni tal-interessi finanzjarji tal-UE,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applikazzjoni mhux adegwata tal-għodda ARACHNE,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nuqqas ta’ trasparenza fl-użu tal-fondi tal-UE minn fondazzjonijiet ta’ ġestjoni tal-assi ta’ interess pubbliku,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in-nuqqas tal-Ungerija li tissieħeb mal-Uffiċċju tal-Prosekutur Pubbliku Ewropew (UPPE);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P.</w:t>
      </w:r>
      <w:r w:rsidRPr="007A42A1">
        <w:tab/>
        <w:t xml:space="preserve">billi l-lista mhux </w:t>
      </w:r>
      <w:proofErr w:type="spellStart"/>
      <w:r w:rsidRPr="007A42A1">
        <w:t>eżawrjenti</w:t>
      </w:r>
      <w:proofErr w:type="spellEnd"/>
      <w:r w:rsidRPr="007A42A1">
        <w:t xml:space="preserve"> ta’ nuqqasijiet serji persistenti relatati </w:t>
      </w:r>
      <w:proofErr w:type="spellStart"/>
      <w:r w:rsidRPr="007A42A1">
        <w:t>mal</w:t>
      </w:r>
      <w:proofErr w:type="spellEnd"/>
      <w:r w:rsidRPr="007A42A1">
        <w:t>-konformità mal-prinċipji u r-regoli tas-suq uniku tinkludi:</w:t>
      </w:r>
    </w:p>
    <w:p w:rsidR="00B21AC9" w:rsidRPr="007A42A1" w:rsidRDefault="00B21AC9" w:rsidP="00B21AC9">
      <w:pPr>
        <w:pStyle w:val="NormalHanging12a"/>
        <w:rPr>
          <w:bCs/>
          <w:szCs w:val="24"/>
        </w:rPr>
      </w:pPr>
      <w:r w:rsidRPr="007A42A1">
        <w:t>–</w:t>
      </w:r>
      <w:r w:rsidRPr="007A42A1">
        <w:tab/>
        <w:t>prattiki diskriminatorji kontra kumpaniji li joperaw f’oqsma definiti bħala li għandhom interess strateġiku għall-Gvern Ungeriż,</w:t>
      </w:r>
    </w:p>
    <w:p w:rsidR="00B21AC9" w:rsidRPr="007A42A1" w:rsidRDefault="00B21AC9" w:rsidP="00B21AC9">
      <w:pPr>
        <w:pStyle w:val="NormalHanging12a"/>
        <w:rPr>
          <w:bCs/>
          <w:szCs w:val="24"/>
        </w:rPr>
      </w:pPr>
      <w:r w:rsidRPr="007A42A1">
        <w:t>–</w:t>
      </w:r>
      <w:r w:rsidRPr="007A42A1">
        <w:tab/>
        <w:t xml:space="preserve">l-abbuż tas-setgħa pubblika u leġiżlattiva u l-użu ta’ </w:t>
      </w:r>
      <w:proofErr w:type="spellStart"/>
      <w:r w:rsidRPr="007A42A1">
        <w:t>tekniki</w:t>
      </w:r>
      <w:proofErr w:type="spellEnd"/>
      <w:r w:rsidRPr="007A42A1">
        <w:t xml:space="preserve"> ta’ intimidazzjoni kontra atturi ekonomiċi li joperaw f’oqsma definiti bħala li għandhom interess strateġiku għall-Gvern Ungeriż;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Q.</w:t>
      </w:r>
      <w:r w:rsidRPr="007A42A1">
        <w:tab/>
        <w:t>billi l-Gvern Ungeriż naqas ukoll milli jindirizza tħassib ieħor identifikat fir-</w:t>
      </w:r>
      <w:r w:rsidR="00EE7887">
        <w:t>riżoluzzjoni tal-Parlament tal-15 ta’ Settembru 2022</w:t>
      </w:r>
      <w:bookmarkStart w:id="7" w:name="_GoBack"/>
      <w:bookmarkEnd w:id="7"/>
      <w:r w:rsidRPr="007A42A1">
        <w:t xml:space="preserve"> li għandu x’jaqsam mad-drittijiet fundamentali, bħal: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il-libertà akkademika,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il-libertà tar-reliġjon, 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id-dritt għal trattament ugwali, inklużi d-drittijiet tal-LGBTIQ,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 xml:space="preserve">id-drittijiet ta’ persuni li jappartjenu għal </w:t>
      </w:r>
      <w:proofErr w:type="spellStart"/>
      <w:r w:rsidRPr="007A42A1">
        <w:t>minoranzi</w:t>
      </w:r>
      <w:proofErr w:type="spellEnd"/>
      <w:r w:rsidRPr="007A42A1">
        <w:t>, inklużi r-</w:t>
      </w:r>
      <w:proofErr w:type="spellStart"/>
      <w:r w:rsidRPr="007A42A1">
        <w:t>Rom</w:t>
      </w:r>
      <w:proofErr w:type="spellEnd"/>
      <w:r w:rsidRPr="007A42A1">
        <w:t xml:space="preserve"> u l-Lhud; il-protezzjoni kontra dikjarazzjonijiet ta’ mibegħda kontra l-</w:t>
      </w:r>
      <w:proofErr w:type="spellStart"/>
      <w:r w:rsidRPr="007A42A1">
        <w:t>minoranzi</w:t>
      </w:r>
      <w:proofErr w:type="spellEnd"/>
      <w:r w:rsidRPr="007A42A1">
        <w:t>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id-drittijiet fundamentali tal-</w:t>
      </w:r>
      <w:proofErr w:type="spellStart"/>
      <w:r w:rsidRPr="007A42A1">
        <w:t>migranti</w:t>
      </w:r>
      <w:proofErr w:type="spellEnd"/>
      <w:r w:rsidRPr="007A42A1">
        <w:t>, tal-persuni li jfittxu l-</w:t>
      </w:r>
      <w:proofErr w:type="spellStart"/>
      <w:r w:rsidRPr="007A42A1">
        <w:t>ażil</w:t>
      </w:r>
      <w:proofErr w:type="spellEnd"/>
      <w:r w:rsidRPr="007A42A1">
        <w:t xml:space="preserve"> u tar-rifuġjati,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–</w:t>
      </w:r>
      <w:r w:rsidRPr="007A42A1">
        <w:tab/>
        <w:t>id-drittijiet ekonomiċi u soċjali;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R.</w:t>
      </w:r>
      <w:r w:rsidRPr="007A42A1">
        <w:tab/>
        <w:t xml:space="preserve">billi l-Att dwar il-Protezzjoni tas-Sovranità Nazzjonali daħal fis-seħħ fit-23 ta’ Diċembru 2023; billi, b’riżultat ta’ dan, ġie stabbilit l-SPO il-ġdid u l-Kodiċi Kriminali ġie emendat biex jippreskrivi, fost affarijiet oħra, sentenza ta’ ħabs għall-użu ta’ finanzjament minn barra l-pajjiż għal kampanji politiċi; billi fid-dikjarazzjoni tiegħu tas-27 ta’ Novembru 2023, il-Kummissarju għad-Drittijiet tal-Bniedem tal-Kunsill tal-Ewropa indika li l-abbozz ta’ dak l-att kien jirrappreżenta riskju sinifikanti għad-drittijiet tal-bniedem u għandu jiġi abbandunat; billi fl-opinjoni tagħha tat-18 ta’ Marzu 2024, il-Kummissjoni ta’ Venezja </w:t>
      </w:r>
      <w:proofErr w:type="spellStart"/>
      <w:r w:rsidRPr="007A42A1">
        <w:t>nnotat</w:t>
      </w:r>
      <w:proofErr w:type="spellEnd"/>
      <w:r w:rsidRPr="007A42A1">
        <w:t xml:space="preserve"> li r-restrizzjonijiet fuq il-finanzjament barrani </w:t>
      </w:r>
      <w:r w:rsidRPr="007A42A1">
        <w:lastRenderedPageBreak/>
        <w:t xml:space="preserve">għall-partiti politiċi u l-kampanji elettorali kienu normali u, fil-prinċipju, f’konformità mal-aħjar prattiki u standards internazzjonali, iżda li l-emendi legali naqsu milli jiddefinixxu b’mod ċar liema tip ta’ attivitajiet ta’ kampanja kienu pprojbiti u kif għandu jiġi stabbilit li dawn ġew iffinanzjati minn fondi barranin; billi l-Kummissjoni ta’ Venezja </w:t>
      </w:r>
      <w:proofErr w:type="spellStart"/>
      <w:r w:rsidRPr="007A42A1">
        <w:t>nnotat</w:t>
      </w:r>
      <w:proofErr w:type="spellEnd"/>
      <w:r w:rsidRPr="007A42A1">
        <w:t xml:space="preserve"> ukoll fl-opinjoni tagħha li l-emendi ma </w:t>
      </w:r>
      <w:proofErr w:type="spellStart"/>
      <w:r w:rsidRPr="007A42A1">
        <w:t>kkunsidrawx</w:t>
      </w:r>
      <w:proofErr w:type="spellEnd"/>
      <w:r w:rsidRPr="007A42A1">
        <w:t xml:space="preserve"> il-kooperazzjoni tal-partiti politiċi fil-livell internazzjonali, jeskludu l-finanzjament minn organizzazzjonijiet internazzjonali jew jipprevedu r-rispett tal-obbligi internazzjonali, fosthom l-obbligi li jirriżultaw mill-isħubija mal-UE; billi fis-7 ta’ Frar 2024, il-Kummissjoni </w:t>
      </w:r>
      <w:proofErr w:type="spellStart"/>
      <w:r w:rsidRPr="007A42A1">
        <w:t>ddeċidiet</w:t>
      </w:r>
      <w:proofErr w:type="spellEnd"/>
      <w:r w:rsidRPr="007A42A1">
        <w:t xml:space="preserve"> li tiftaħ proċedura ta’ ksur kontra l-Ungerija, peress li qieset li l-leġiżlazzjoni kisret diversi dispożizzjonijiet tad-dritt primarju u sekondarju tal-Unjoni, inklużi l-valuri demokratiċi tal-UE, il-prinċipju tad-demokrazija u d-drittijiet elettorali taċ-ċittadini tal-UE, u diversi drittijiet fundamentali stabbiliti fil-Karta, bħad-dritt għar-rispett għall-ħajja privata u tal-familja, id-dritt għall-protezzjoni tad-data personali, il-libertà tal-espressjoni u tal-informazzjoni, il-libertà ta’ assoċjazzjoni, id-drittijiet elettorali taċ-ċittadini tal-UE, id-dritt għal rimedju effettiv u għal proċess imparzjali, il-privileġġ kontra l-</w:t>
      </w:r>
      <w:proofErr w:type="spellStart"/>
      <w:r w:rsidRPr="007A42A1">
        <w:t>awtoinkriminazzjoni</w:t>
      </w:r>
      <w:proofErr w:type="spellEnd"/>
      <w:r w:rsidRPr="007A42A1">
        <w:t xml:space="preserve"> u l-privileġġ professjonali legali, ir-rekwiżiti tad-dritt tal-Unjoni relatati mal-protezzjoni tad-data u diversi regoli applikabbli għas-suq uniku;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S.</w:t>
      </w:r>
      <w:r w:rsidRPr="007A42A1">
        <w:tab/>
        <w:t xml:space="preserve">billi mill-adozzjoni tar-Rapport </w:t>
      </w:r>
      <w:r w:rsidRPr="007A42A1">
        <w:rPr>
          <w:i/>
          <w:iCs/>
        </w:rPr>
        <w:t>Interim</w:t>
      </w:r>
      <w:r w:rsidRPr="007A42A1">
        <w:t>, fis-sentenza tagħha fil-Kawża C-823/21</w:t>
      </w:r>
      <w:r w:rsidRPr="007A42A1">
        <w:rPr>
          <w:rStyle w:val="FootnoteReference"/>
          <w:szCs w:val="24"/>
        </w:rPr>
        <w:footnoteReference w:id="7"/>
      </w:r>
      <w:r w:rsidRPr="007A42A1">
        <w:t xml:space="preserve">, </w:t>
      </w:r>
      <w:r w:rsidRPr="007A42A1">
        <w:rPr>
          <w:i/>
        </w:rPr>
        <w:t xml:space="preserve">Il-Kummissjoni </w:t>
      </w:r>
      <w:proofErr w:type="spellStart"/>
      <w:r w:rsidRPr="007A42A1">
        <w:rPr>
          <w:i/>
        </w:rPr>
        <w:t>vs</w:t>
      </w:r>
      <w:proofErr w:type="spellEnd"/>
      <w:r w:rsidRPr="007A42A1">
        <w:rPr>
          <w:i/>
        </w:rPr>
        <w:t xml:space="preserve"> L-Ungerija,</w:t>
      </w:r>
      <w:r w:rsidRPr="007A42A1">
        <w:t xml:space="preserve"> il-QĠUE </w:t>
      </w:r>
      <w:proofErr w:type="spellStart"/>
      <w:r w:rsidRPr="007A42A1">
        <w:t>ddikjarat</w:t>
      </w:r>
      <w:proofErr w:type="spellEnd"/>
      <w:r w:rsidRPr="007A42A1">
        <w:t xml:space="preserve"> li billi għamlet applikazzjoni għall-protezzjoni internazzjonali soġġetta għal dikjarazzjoni ta’ intenzjoni f’ambaxxata Ungeriża li tinsab f’pajjiż terz, l-Ungerija naqset milli tissodisfa l-obbligi tagħha skont il-liġi tal-UE dwar l-</w:t>
      </w:r>
      <w:proofErr w:type="spellStart"/>
      <w:r w:rsidRPr="007A42A1">
        <w:t>ażil</w:t>
      </w:r>
      <w:proofErr w:type="spellEnd"/>
      <w:r w:rsidRPr="007A42A1">
        <w:t>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T.</w:t>
      </w:r>
      <w:r w:rsidRPr="007A42A1">
        <w:tab/>
        <w:t xml:space="preserve">billi fis-sentenzi tal-Qorti Ewropea tad-Drittijiet tal-Bniedem (QEDB) tal-10 ta’ Novembru 2022 fil-kawża ta’ </w:t>
      </w:r>
      <w:proofErr w:type="spellStart"/>
      <w:r w:rsidRPr="007A42A1">
        <w:rPr>
          <w:i/>
          <w:iCs/>
        </w:rPr>
        <w:t>Bakirdzi</w:t>
      </w:r>
      <w:proofErr w:type="spellEnd"/>
      <w:r w:rsidRPr="007A42A1">
        <w:rPr>
          <w:i/>
          <w:iCs/>
        </w:rPr>
        <w:t xml:space="preserve"> u E.C. </w:t>
      </w:r>
      <w:proofErr w:type="spellStart"/>
      <w:r w:rsidRPr="007A42A1">
        <w:rPr>
          <w:i/>
          <w:iCs/>
        </w:rPr>
        <w:t>vs</w:t>
      </w:r>
      <w:proofErr w:type="spellEnd"/>
      <w:r w:rsidRPr="007A42A1">
        <w:rPr>
          <w:i/>
          <w:iCs/>
        </w:rPr>
        <w:t xml:space="preserve"> l-Ungerija</w:t>
      </w:r>
      <w:r w:rsidRPr="007A42A1">
        <w:t xml:space="preserve"> (</w:t>
      </w:r>
      <w:hyperlink r:id="rId9" w:anchor="{%22appno%22:[%2249636/14%22]}" w:tgtFrame="_blank" w:history="1">
        <w:r w:rsidRPr="007A42A1">
          <w:rPr>
            <w:rStyle w:val="Hyperlink"/>
            <w:shd w:val="clear" w:color="auto" w:fill="FFFFFF"/>
          </w:rPr>
          <w:t>49636/14</w:t>
        </w:r>
      </w:hyperlink>
      <w:r w:rsidRPr="007A42A1">
        <w:rPr>
          <w:shd w:val="clear" w:color="auto" w:fill="FFFFFF"/>
        </w:rPr>
        <w:t xml:space="preserve"> u </w:t>
      </w:r>
      <w:hyperlink r:id="rId10" w:anchor="{%22appno%22:[%2265678/14%22]}" w:tgtFrame="_blank" w:history="1">
        <w:r w:rsidRPr="007A42A1">
          <w:rPr>
            <w:rStyle w:val="Hyperlink"/>
            <w:shd w:val="clear" w:color="auto" w:fill="FFFFFF"/>
          </w:rPr>
          <w:t>65678/14</w:t>
        </w:r>
      </w:hyperlink>
      <w:r w:rsidRPr="007A42A1">
        <w:t xml:space="preserve">), li saru finali fit-3 ta’ April 2023, u tat-30 ta’ Marzu 2023 fil-kawża ta’ </w:t>
      </w:r>
      <w:proofErr w:type="spellStart"/>
      <w:r w:rsidRPr="007A42A1">
        <w:rPr>
          <w:i/>
        </w:rPr>
        <w:t>Szolcsán</w:t>
      </w:r>
      <w:proofErr w:type="spellEnd"/>
      <w:r w:rsidRPr="007A42A1">
        <w:rPr>
          <w:i/>
          <w:iCs/>
        </w:rPr>
        <w:t xml:space="preserve"> </w:t>
      </w:r>
      <w:proofErr w:type="spellStart"/>
      <w:r w:rsidRPr="007A42A1">
        <w:rPr>
          <w:i/>
          <w:iCs/>
        </w:rPr>
        <w:t>vs</w:t>
      </w:r>
      <w:proofErr w:type="spellEnd"/>
      <w:r w:rsidRPr="007A42A1">
        <w:t xml:space="preserve"> </w:t>
      </w:r>
      <w:r w:rsidRPr="007A42A1">
        <w:rPr>
          <w:i/>
        </w:rPr>
        <w:t xml:space="preserve">l-Ungerija </w:t>
      </w:r>
      <w:r w:rsidRPr="007A42A1">
        <w:t>(</w:t>
      </w:r>
      <w:r w:rsidRPr="007A42A1">
        <w:rPr>
          <w:rStyle w:val="textcolumn"/>
          <w:shd w:val="clear" w:color="auto" w:fill="FFFFFF"/>
        </w:rPr>
        <w:t>24408/16</w:t>
      </w:r>
      <w:r w:rsidRPr="007A42A1">
        <w:t xml:space="preserve">), li saret finali fit-30 ta’ Ġunju 2023, il-QEDB sabet ksur fir-rigward tad-drittijiet tal-vot tal-votanti ta’ minoranza nazzjonali u fir-rigward tal-edukazzjoni tat-tfal </w:t>
      </w:r>
      <w:proofErr w:type="spellStart"/>
      <w:r w:rsidRPr="007A42A1">
        <w:t>Rom</w:t>
      </w:r>
      <w:proofErr w:type="spellEnd"/>
      <w:r w:rsidRPr="007A42A1">
        <w:t xml:space="preserve"> fi klassijiet jew fi skejjel </w:t>
      </w:r>
      <w:proofErr w:type="spellStart"/>
      <w:r w:rsidRPr="007A42A1">
        <w:t>segregati</w:t>
      </w:r>
      <w:proofErr w:type="spellEnd"/>
      <w:r w:rsidRPr="007A42A1">
        <w:t xml:space="preserve"> mingħajr ma ttieħdu miżuri adegwati biex jiġu </w:t>
      </w:r>
      <w:proofErr w:type="spellStart"/>
      <w:r w:rsidRPr="007A42A1">
        <w:t>kkoreġuti</w:t>
      </w:r>
      <w:proofErr w:type="spellEnd"/>
      <w:r w:rsidRPr="007A42A1">
        <w:t xml:space="preserve"> l-</w:t>
      </w:r>
      <w:proofErr w:type="spellStart"/>
      <w:r w:rsidRPr="007A42A1">
        <w:t>inugwaljanzi</w:t>
      </w:r>
      <w:proofErr w:type="spellEnd"/>
      <w:r w:rsidRPr="007A42A1">
        <w:t>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U.</w:t>
      </w:r>
      <w:r w:rsidRPr="007A42A1">
        <w:tab/>
        <w:t xml:space="preserve">billi fid-deċiżjonijiet tagħha dwar is-superviżjoni msaħħa pendenti tal-eżekuzzjoni tas-sentenzi tal-QEDB fil-kawżi u fil-gruppi ta’ kawżi ta’ </w:t>
      </w:r>
      <w:proofErr w:type="spellStart"/>
      <w:r w:rsidRPr="007A42A1">
        <w:rPr>
          <w:i/>
          <w:iCs/>
        </w:rPr>
        <w:t>Szabó</w:t>
      </w:r>
      <w:proofErr w:type="spellEnd"/>
      <w:r w:rsidRPr="007A42A1">
        <w:rPr>
          <w:i/>
          <w:iCs/>
        </w:rPr>
        <w:t xml:space="preserve"> u </w:t>
      </w:r>
      <w:proofErr w:type="spellStart"/>
      <w:r w:rsidRPr="007A42A1">
        <w:rPr>
          <w:i/>
          <w:iCs/>
        </w:rPr>
        <w:t>Vissy</w:t>
      </w:r>
      <w:proofErr w:type="spellEnd"/>
      <w:r w:rsidRPr="007A42A1">
        <w:rPr>
          <w:i/>
          <w:iCs/>
        </w:rPr>
        <w:t xml:space="preserve"> </w:t>
      </w:r>
      <w:proofErr w:type="spellStart"/>
      <w:r w:rsidRPr="007A42A1">
        <w:rPr>
          <w:i/>
          <w:iCs/>
        </w:rPr>
        <w:t>vs</w:t>
      </w:r>
      <w:proofErr w:type="spellEnd"/>
      <w:r w:rsidRPr="007A42A1">
        <w:rPr>
          <w:i/>
          <w:iCs/>
        </w:rPr>
        <w:t xml:space="preserve"> l-Ungerija</w:t>
      </w:r>
      <w:r w:rsidRPr="007A42A1">
        <w:rPr>
          <w:rStyle w:val="FootnoteReference"/>
          <w:i/>
          <w:szCs w:val="24"/>
        </w:rPr>
        <w:footnoteReference w:id="8"/>
      </w:r>
      <w:r w:rsidRPr="007A42A1">
        <w:t xml:space="preserve">, </w:t>
      </w:r>
      <w:proofErr w:type="spellStart"/>
      <w:r w:rsidRPr="007A42A1">
        <w:rPr>
          <w:i/>
        </w:rPr>
        <w:t>Gazsó</w:t>
      </w:r>
      <w:proofErr w:type="spellEnd"/>
      <w:r w:rsidRPr="007A42A1">
        <w:t xml:space="preserve"> </w:t>
      </w:r>
      <w:proofErr w:type="spellStart"/>
      <w:r w:rsidRPr="007A42A1">
        <w:rPr>
          <w:i/>
          <w:iCs/>
        </w:rPr>
        <w:t>vs</w:t>
      </w:r>
      <w:proofErr w:type="spellEnd"/>
      <w:r w:rsidRPr="007A42A1">
        <w:t xml:space="preserve"> </w:t>
      </w:r>
      <w:r w:rsidRPr="007A42A1">
        <w:rPr>
          <w:i/>
        </w:rPr>
        <w:t>l-Ungerija</w:t>
      </w:r>
      <w:r w:rsidRPr="007A42A1">
        <w:rPr>
          <w:rStyle w:val="FootnoteReference"/>
          <w:i/>
          <w:szCs w:val="24"/>
        </w:rPr>
        <w:footnoteReference w:id="9"/>
      </w:r>
      <w:r w:rsidRPr="007A42A1">
        <w:t xml:space="preserve">, </w:t>
      </w:r>
      <w:proofErr w:type="spellStart"/>
      <w:r w:rsidRPr="007A42A1">
        <w:rPr>
          <w:i/>
          <w:iCs/>
        </w:rPr>
        <w:t>Ilias</w:t>
      </w:r>
      <w:proofErr w:type="spellEnd"/>
      <w:r w:rsidRPr="007A42A1">
        <w:rPr>
          <w:i/>
          <w:iCs/>
        </w:rPr>
        <w:t xml:space="preserve"> u Ahmed </w:t>
      </w:r>
      <w:proofErr w:type="spellStart"/>
      <w:r w:rsidRPr="007A42A1">
        <w:rPr>
          <w:i/>
          <w:iCs/>
        </w:rPr>
        <w:t>vs</w:t>
      </w:r>
      <w:proofErr w:type="spellEnd"/>
      <w:r w:rsidRPr="007A42A1">
        <w:rPr>
          <w:i/>
          <w:iCs/>
        </w:rPr>
        <w:t xml:space="preserve"> l-Ungerija</w:t>
      </w:r>
      <w:r w:rsidRPr="007A42A1">
        <w:rPr>
          <w:rStyle w:val="FootnoteReference"/>
          <w:i/>
          <w:szCs w:val="24"/>
        </w:rPr>
        <w:footnoteReference w:id="10"/>
      </w:r>
      <w:r w:rsidRPr="007A42A1">
        <w:t xml:space="preserve"> u </w:t>
      </w:r>
      <w:proofErr w:type="spellStart"/>
      <w:r w:rsidRPr="007A42A1">
        <w:rPr>
          <w:i/>
          <w:iCs/>
        </w:rPr>
        <w:t>Baka</w:t>
      </w:r>
      <w:proofErr w:type="spellEnd"/>
      <w:r w:rsidRPr="007A42A1">
        <w:rPr>
          <w:i/>
          <w:iCs/>
        </w:rPr>
        <w:t xml:space="preserve"> </w:t>
      </w:r>
      <w:proofErr w:type="spellStart"/>
      <w:r w:rsidRPr="007A42A1">
        <w:rPr>
          <w:i/>
          <w:iCs/>
        </w:rPr>
        <w:t>vs</w:t>
      </w:r>
      <w:proofErr w:type="spellEnd"/>
      <w:r w:rsidRPr="007A42A1">
        <w:rPr>
          <w:i/>
          <w:iCs/>
        </w:rPr>
        <w:t xml:space="preserve"> l-Ungerija</w:t>
      </w:r>
      <w:r w:rsidRPr="007A42A1">
        <w:rPr>
          <w:rStyle w:val="FootnoteReference"/>
          <w:i/>
          <w:szCs w:val="24"/>
        </w:rPr>
        <w:footnoteReference w:id="11"/>
      </w:r>
      <w:r w:rsidRPr="007A42A1">
        <w:rPr>
          <w:i/>
        </w:rPr>
        <w:t>,</w:t>
      </w:r>
      <w:r w:rsidRPr="007A42A1">
        <w:t xml:space="preserve"> il-Kumitat tal-Ministri tal-Kunsill tal-Ewropa tenna t-tħassib tiegħu dwar in-nuqqas ta’ eżekuzzjoni ta’ dawn is-sentenzi;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V.</w:t>
      </w:r>
      <w:r w:rsidRPr="007A42A1">
        <w:tab/>
        <w:t xml:space="preserve">billi fir-rapport ta’ evalwazzjoni tiegħu tal-ħames sessjoni ta’ evalwazzjoni dwar l-Ungerija, </w:t>
      </w:r>
      <w:r w:rsidRPr="007A42A1">
        <w:rPr>
          <w:shd w:val="clear" w:color="auto" w:fill="FFFFFF"/>
        </w:rPr>
        <w:t>il-Grupp ta’ Stati kontra l-Korruzzjoni (</w:t>
      </w:r>
      <w:r w:rsidRPr="007A42A1">
        <w:t>GRECO) esprima bosta tħassib dwar l-</w:t>
      </w:r>
      <w:proofErr w:type="spellStart"/>
      <w:r w:rsidRPr="007A42A1">
        <w:t>effettività</w:t>
      </w:r>
      <w:proofErr w:type="spellEnd"/>
      <w:r w:rsidRPr="007A42A1">
        <w:t xml:space="preserve"> tal-qafas stabbilit fl-Ungerija biex tiġi </w:t>
      </w:r>
      <w:proofErr w:type="spellStart"/>
      <w:r w:rsidRPr="007A42A1">
        <w:t>pprevenuta</w:t>
      </w:r>
      <w:proofErr w:type="spellEnd"/>
      <w:r w:rsidRPr="007A42A1">
        <w:t xml:space="preserve"> l-korruzzjoni fost persuni </w:t>
      </w:r>
      <w:r w:rsidRPr="007A42A1">
        <w:lastRenderedPageBreak/>
        <w:t xml:space="preserve">bl-ogħla funzjonijiet eżekuttivi u membri tal-Pulizija Nazzjonali Ungeriża u tas-Servizz Nazzjonali ta’ Protezzjoni; billi l-GRECO indika li karatteristika komuni u ġenerali tal-aġenziji tal-amministrazzjoni pubblika u tal-infurzar tal-liġi fl-Ungerija hija li l-biċċa l-kbira tal-miżuri ta’ </w:t>
      </w:r>
      <w:proofErr w:type="spellStart"/>
      <w:r w:rsidRPr="007A42A1">
        <w:t>integrità</w:t>
      </w:r>
      <w:proofErr w:type="spellEnd"/>
      <w:r w:rsidRPr="007A42A1">
        <w:t xml:space="preserve"> u ta’ prevenzjoni tal-korruzzjoni huma </w:t>
      </w:r>
      <w:proofErr w:type="spellStart"/>
      <w:r w:rsidRPr="007A42A1">
        <w:t>mmirati</w:t>
      </w:r>
      <w:proofErr w:type="spellEnd"/>
      <w:r w:rsidRPr="007A42A1">
        <w:t xml:space="preserve"> lejn uffiċjali ta’ livell baxx u medju, iżda l-qafas ta’ </w:t>
      </w:r>
      <w:proofErr w:type="spellStart"/>
      <w:r w:rsidRPr="007A42A1">
        <w:t>integrità</w:t>
      </w:r>
      <w:proofErr w:type="spellEnd"/>
      <w:r w:rsidRPr="007A42A1">
        <w:t xml:space="preserve"> applikabbli għal persuni bl-ogħla funzjonijiet eżekuttivi huwa dgħajjef ħafna u l-kundizzjonijiet għall-ħatra ta’ maniġers superjuri fil-pulizija u s-Servizz Nazzjonali ta’ Protezzjoni jġibu magħhom riskji ta’ </w:t>
      </w:r>
      <w:proofErr w:type="spellStart"/>
      <w:r w:rsidRPr="007A42A1">
        <w:t>politiċizzazzjoni</w:t>
      </w:r>
      <w:proofErr w:type="spellEnd"/>
      <w:r w:rsidRPr="007A42A1">
        <w:t>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W.</w:t>
      </w:r>
      <w:r w:rsidRPr="007A42A1">
        <w:tab/>
        <w:t>billi fir-rapport tagħha, il-Kummissjoni Ewropea kontra r-Razziżmu u l-</w:t>
      </w:r>
      <w:proofErr w:type="spellStart"/>
      <w:r w:rsidRPr="007A42A1">
        <w:t>Intolleranza</w:t>
      </w:r>
      <w:proofErr w:type="spellEnd"/>
      <w:r w:rsidRPr="007A42A1">
        <w:t xml:space="preserve"> laqgħet xi żviluppi pożittivi fl-Ungerija, iżda </w:t>
      </w:r>
      <w:proofErr w:type="spellStart"/>
      <w:r w:rsidRPr="007A42A1">
        <w:t>esprimiet</w:t>
      </w:r>
      <w:proofErr w:type="spellEnd"/>
      <w:r w:rsidRPr="007A42A1">
        <w:t xml:space="preserve"> tħassib dwar it-tneħħija tal-Awtorità tat-Trattament Ugwali, l-</w:t>
      </w:r>
      <w:proofErr w:type="spellStart"/>
      <w:r w:rsidRPr="007A42A1">
        <w:t>istigmatizzazzjoni</w:t>
      </w:r>
      <w:proofErr w:type="spellEnd"/>
      <w:r w:rsidRPr="007A42A1">
        <w:t xml:space="preserve"> ta’ studenti minn </w:t>
      </w:r>
      <w:proofErr w:type="spellStart"/>
      <w:r w:rsidRPr="007A42A1">
        <w:t>sfondi</w:t>
      </w:r>
      <w:proofErr w:type="spellEnd"/>
      <w:r w:rsidRPr="007A42A1">
        <w:t xml:space="preserve"> </w:t>
      </w:r>
      <w:proofErr w:type="spellStart"/>
      <w:r w:rsidRPr="007A42A1">
        <w:t>marġinalizzati</w:t>
      </w:r>
      <w:proofErr w:type="spellEnd"/>
      <w:r w:rsidRPr="007A42A1">
        <w:t xml:space="preserve"> u familji b’introjtu baxx, bħal studenti </w:t>
      </w:r>
      <w:proofErr w:type="spellStart"/>
      <w:r w:rsidRPr="007A42A1">
        <w:t>Rom</w:t>
      </w:r>
      <w:proofErr w:type="spellEnd"/>
      <w:r w:rsidRPr="007A42A1">
        <w:t xml:space="preserve">, id-deterjorament sinifikanti fid-drittijiet tal-bniedem tal-persuni LGBTI, id-diskors pubbliku u d-diskors politiku dejjem aktar </w:t>
      </w:r>
      <w:proofErr w:type="spellStart"/>
      <w:r w:rsidRPr="007A42A1">
        <w:t>ksenofobiku</w:t>
      </w:r>
      <w:proofErr w:type="spellEnd"/>
      <w:r w:rsidRPr="007A42A1">
        <w:t xml:space="preserve">, b’mod partikolari </w:t>
      </w:r>
      <w:proofErr w:type="spellStart"/>
      <w:r w:rsidRPr="007A42A1">
        <w:t>mmirat</w:t>
      </w:r>
      <w:proofErr w:type="spellEnd"/>
      <w:r w:rsidRPr="007A42A1">
        <w:t xml:space="preserve"> lejn ir-rifuġjati, il-persuni li jfittxu l-</w:t>
      </w:r>
      <w:proofErr w:type="spellStart"/>
      <w:r w:rsidRPr="007A42A1">
        <w:t>ażil</w:t>
      </w:r>
      <w:proofErr w:type="spellEnd"/>
      <w:r w:rsidRPr="007A42A1">
        <w:t xml:space="preserve"> u l-</w:t>
      </w:r>
      <w:proofErr w:type="spellStart"/>
      <w:r w:rsidRPr="007A42A1">
        <w:t>migranti</w:t>
      </w:r>
      <w:proofErr w:type="spellEnd"/>
      <w:r w:rsidRPr="007A42A1">
        <w:t>, il-Musulmani u l-persuni LGBTI, l-</w:t>
      </w:r>
      <w:proofErr w:type="spellStart"/>
      <w:r w:rsidRPr="007A42A1">
        <w:t>effettività</w:t>
      </w:r>
      <w:proofErr w:type="spellEnd"/>
      <w:r w:rsidRPr="007A42A1">
        <w:t xml:space="preserve"> tassew limitata tal-qafas legali dwar id-diskors ta’ mibegħda, in-nuqqas ta’ implimentazzjoni tal-istrateġiji nazzjonali dwar l-inklużjoni soċjali, it-terminazzjoni ta’ appoġġ għall-integrazzjoni mill-istat għar-rifuġjati u għall-persuni mogħtija protezzjoni sussidjarja u l-aċċess limitat </w:t>
      </w:r>
      <w:proofErr w:type="spellStart"/>
      <w:r w:rsidRPr="007A42A1">
        <w:t>għall-ażil</w:t>
      </w:r>
      <w:proofErr w:type="spellEnd"/>
      <w:r w:rsidRPr="007A42A1">
        <w:t xml:space="preserve"> fil-pajjiż;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X.</w:t>
      </w:r>
      <w:r w:rsidRPr="007A42A1">
        <w:tab/>
        <w:t xml:space="preserve">billi fl-osservazzjonijiet finali tiegħu, il-Kumitat </w:t>
      </w:r>
      <w:proofErr w:type="spellStart"/>
      <w:r w:rsidRPr="007A42A1">
        <w:t>tan</w:t>
      </w:r>
      <w:proofErr w:type="spellEnd"/>
      <w:r w:rsidRPr="007A42A1">
        <w:t xml:space="preserve">-NU dwar l-Eliminazzjoni tad-Diskriminazzjoni kontra n-Nisa esprima tħassib dwar is-saħħa u d-drittijiet sesswali u </w:t>
      </w:r>
      <w:proofErr w:type="spellStart"/>
      <w:r w:rsidRPr="007A42A1">
        <w:t>riproduttivi</w:t>
      </w:r>
      <w:proofErr w:type="spellEnd"/>
      <w:r w:rsidRPr="007A42A1">
        <w:t xml:space="preserve"> u l-fatt li l-politika ta’ ugwaljanza tal-Ungerija hija </w:t>
      </w:r>
      <w:proofErr w:type="spellStart"/>
      <w:r w:rsidRPr="007A42A1">
        <w:t>bbażata</w:t>
      </w:r>
      <w:proofErr w:type="spellEnd"/>
      <w:r w:rsidRPr="007A42A1">
        <w:t xml:space="preserve"> </w:t>
      </w:r>
      <w:proofErr w:type="spellStart"/>
      <w:r w:rsidRPr="007A42A1">
        <w:t>esklużivament</w:t>
      </w:r>
      <w:proofErr w:type="spellEnd"/>
      <w:r w:rsidRPr="007A42A1">
        <w:t xml:space="preserve"> fuq il-kunċett tal-familja u tqis ir-rwol primarju tal-mara bħala mara miżżewġa u omm, u </w:t>
      </w:r>
      <w:proofErr w:type="spellStart"/>
      <w:r w:rsidRPr="007A42A1">
        <w:t>rrakkomanda</w:t>
      </w:r>
      <w:proofErr w:type="spellEnd"/>
      <w:r w:rsidRPr="007A42A1">
        <w:t xml:space="preserve"> li l-Ungerija tieħu miżuri biex tindirizza d-diskors pubbliku kontra l-ġeneru;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Y.</w:t>
      </w:r>
      <w:r w:rsidRPr="007A42A1">
        <w:tab/>
        <w:t>billi fid-dikjarazzjoni tagħha wara żjara uffiċjali fl-Ungerija, ir-Rappreżentant tal-</w:t>
      </w:r>
      <w:r w:rsidRPr="007A42A1">
        <w:rPr>
          <w:shd w:val="clear" w:color="auto" w:fill="FFFFFF"/>
        </w:rPr>
        <w:t>Organizzazzjoni għas-Sigurtà u l-Kooperazzjoni fl-Ewropa</w:t>
      </w:r>
      <w:r w:rsidRPr="007A42A1">
        <w:t xml:space="preserve"> dwar il-Libertà tal-</w:t>
      </w:r>
      <w:proofErr w:type="spellStart"/>
      <w:r w:rsidRPr="007A42A1">
        <w:t>Media</w:t>
      </w:r>
      <w:proofErr w:type="spellEnd"/>
      <w:r w:rsidRPr="007A42A1">
        <w:t xml:space="preserve"> </w:t>
      </w:r>
      <w:proofErr w:type="spellStart"/>
      <w:r w:rsidRPr="007A42A1">
        <w:t>ddikjarat</w:t>
      </w:r>
      <w:proofErr w:type="spellEnd"/>
      <w:r w:rsidRPr="007A42A1">
        <w:t xml:space="preserve"> li meta wieħed iħares lejn is-sitwazzjoni tal-libertà tal-</w:t>
      </w:r>
      <w:proofErr w:type="spellStart"/>
      <w:r w:rsidRPr="007A42A1">
        <w:t>media</w:t>
      </w:r>
      <w:proofErr w:type="spellEnd"/>
      <w:r w:rsidRPr="007A42A1">
        <w:t xml:space="preserve"> fl-Ungerija, toħroġ stampa ta’ approċċ </w:t>
      </w:r>
      <w:proofErr w:type="spellStart"/>
      <w:r w:rsidRPr="007A42A1">
        <w:t>sistemiku</w:t>
      </w:r>
      <w:proofErr w:type="spellEnd"/>
      <w:r w:rsidRPr="007A42A1">
        <w:t xml:space="preserve"> li fih xi ilħna ma </w:t>
      </w:r>
      <w:proofErr w:type="spellStart"/>
      <w:r w:rsidRPr="007A42A1">
        <w:t>jibbenefikawx</w:t>
      </w:r>
      <w:proofErr w:type="spellEnd"/>
      <w:r w:rsidRPr="007A42A1">
        <w:t xml:space="preserve"> mill-istess kundizzjonijiet bażiċi li jinstemgħu;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Z.</w:t>
      </w:r>
      <w:r w:rsidRPr="007A42A1">
        <w:tab/>
        <w:t>billi fir-rakkomandazzjoni tiegħu dwar il-Programm Nazzjonali ta’ Riforma tal-Ungerija tal-2023 u fl-għoti ta’ opinjoni tal-Kunsill dwar il-Programm ta’ Konverġenza tal-Ungerija tal-2023 (COM(2023)0617), il-Kunsill irrakkomanda li l-Ungerija tieħu azzjoni biex ittejjeb l-</w:t>
      </w:r>
      <w:proofErr w:type="spellStart"/>
      <w:r w:rsidRPr="007A42A1">
        <w:t>adegwatezza</w:t>
      </w:r>
      <w:proofErr w:type="spellEnd"/>
      <w:r w:rsidRPr="007A42A1">
        <w:t xml:space="preserve"> tas-sistema ta’ assistenza soċjali, ittejjeb l-aċċess għal miżuri effettivi ta’ suq tax-xogħol attiv, tiżgura djalogu soċjali effettiv u ttejjeb il-qafas regolatorju u l-kompetizzjoni fis-servizzi f’konformità mal-prinċipji tas-suq uniku u tal-istat tad-dritt;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AA.</w:t>
      </w:r>
      <w:r w:rsidRPr="007A42A1">
        <w:tab/>
        <w:t xml:space="preserve">billi l-Gvern Ungeriż naqas milli jimplimenta bosta sentenzi tal-Qorti Kostituzzjonali Ungeriża, tal-QĠUE u tal-QEDB relatati ma’ ksur mill-Ungerija ta’ valuri stabbiliti fl-Artikolu 2 tat-TUE u ma </w:t>
      </w:r>
      <w:proofErr w:type="spellStart"/>
      <w:r w:rsidRPr="007A42A1">
        <w:t>segwiex</w:t>
      </w:r>
      <w:proofErr w:type="spellEnd"/>
      <w:r w:rsidRPr="007A42A1">
        <w:t xml:space="preserve"> il-maġġoranza l-kbira tar-rakkomandazzjonijiet li jinsabu fir-Rapport tal-Kummissjoni dwar l-Istat tad-Dritt tal-2023 jew ir-rakkomandazzjonijiet ta’ korpi internazzjonali oħrajn </w:t>
      </w:r>
      <w:proofErr w:type="spellStart"/>
      <w:r w:rsidRPr="007A42A1">
        <w:t>bħall</w:t>
      </w:r>
      <w:proofErr w:type="spellEnd"/>
      <w:r w:rsidRPr="007A42A1">
        <w:t>-GRECO, il-Kummissjoni ta’ Venezja u oħrajn;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1.</w:t>
      </w:r>
      <w:r w:rsidRPr="007A42A1">
        <w:tab/>
        <w:t xml:space="preserve">Huwa maħsud bil-ksur </w:t>
      </w:r>
      <w:proofErr w:type="spellStart"/>
      <w:r w:rsidRPr="007A42A1">
        <w:t>sistemiku</w:t>
      </w:r>
      <w:proofErr w:type="spellEnd"/>
      <w:r w:rsidRPr="007A42A1">
        <w:t xml:space="preserve"> u intenzjonat persistenti tad-demokrazija, tal-istat tad-dritt u tad-drittijiet fundamentali fl-Ungerija, li l-Gvern Ungeriż huwa responsabbli </w:t>
      </w:r>
      <w:r w:rsidRPr="007A42A1">
        <w:lastRenderedPageBreak/>
        <w:t>tagħhom;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2.</w:t>
      </w:r>
      <w:r w:rsidRPr="007A42A1">
        <w:tab/>
        <w:t xml:space="preserve">Jenfasizza li r-rispett għall-valuri stabbiliti fl-Artikolu 2 tat-TUE </w:t>
      </w:r>
      <w:proofErr w:type="spellStart"/>
      <w:r w:rsidRPr="007A42A1">
        <w:t>ddeterjora</w:t>
      </w:r>
      <w:proofErr w:type="spellEnd"/>
      <w:r w:rsidRPr="007A42A1">
        <w:t xml:space="preserve"> sostanzjalment fl-Ungerija mill-</w:t>
      </w:r>
      <w:proofErr w:type="spellStart"/>
      <w:r w:rsidRPr="007A42A1">
        <w:t>iskattar</w:t>
      </w:r>
      <w:proofErr w:type="spellEnd"/>
      <w:r w:rsidRPr="007A42A1">
        <w:t xml:space="preserve"> tal-Artikolu 7(1) tat-TUE u jesprimi dispjaċir kbir li n-nuqqas ta’ azzjoni deċiżiva mill-Kummissjoni u mill-Kunsill ikkontribwixxa għal falliment fid-demokrazija, l-istat tad-dritt u d-drittijiet fundamentali f’dak il-pajjiż, li bidluh f’reġim </w:t>
      </w:r>
      <w:proofErr w:type="spellStart"/>
      <w:r w:rsidRPr="007A42A1">
        <w:t>ibridu</w:t>
      </w:r>
      <w:proofErr w:type="spellEnd"/>
      <w:r w:rsidRPr="007A42A1">
        <w:t xml:space="preserve"> ta’ </w:t>
      </w:r>
      <w:proofErr w:type="spellStart"/>
      <w:r w:rsidRPr="007A42A1">
        <w:t>awtokrazija</w:t>
      </w:r>
      <w:proofErr w:type="spellEnd"/>
      <w:r w:rsidRPr="007A42A1">
        <w:t xml:space="preserve"> elettorali, skont l-</w:t>
      </w:r>
      <w:proofErr w:type="spellStart"/>
      <w:r w:rsidRPr="007A42A1">
        <w:t>indiċijiet</w:t>
      </w:r>
      <w:proofErr w:type="spellEnd"/>
      <w:r w:rsidRPr="007A42A1">
        <w:t xml:space="preserve"> rilevanti;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3.</w:t>
      </w:r>
      <w:r w:rsidRPr="007A42A1">
        <w:tab/>
        <w:t>Jikkundanna l-adozzjoni tal-Att dwar il-Protezzjoni tas-Sovranità Nazzjonali u l-ħolqien tal-SPO b’setgħat estensivi u b’sistema stretta ta’ sorveljanza u sanzjonijiet, li b’mod fundamentali jikser standards tad-demokrazija bħall-prinċipju ta’ elezzjonijiet ħielsa u ġusti, l-istat tad-dritt u d-drittijiet fundamentali, u jikser bosta liġijiet tal-UE; jilqa’ l-proċedura ta’ ksur tal-Kummissjoni kontra l-Ungerija dwar din il-kwistjoni; jistieden lill-Gvern Ungeriż iħassar l-att minnufih;</w:t>
      </w:r>
      <w:r w:rsidR="00BE2D60" w:rsidRPr="00BE2D60">
        <w:t xml:space="preserve"> jistieden lill-Kummissjoni titlob lill-QĠUE għas-sospensjoni immedjata tal-applikazzjoni tal-liġi msemmija hawn fuq bħala miżura interim, peress li din il-liġi taffettwa l-prinċipju ta’ elezzjonijiet ħielsa u ġusti;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4.</w:t>
      </w:r>
      <w:r w:rsidRPr="007A42A1">
        <w:tab/>
        <w:t xml:space="preserve">Jesprimi dispjaċir dwar in-nuqqas ta’ kapaċità tal-Kunsill li jagħmel progress sinifikanti fil-proċedura li għadha għaddejja tal-Artikolu 7(1) tat-TUE u jtenni s-sejħa tiegħu li jtejjeb is-sitwazzjoni billi jorganizza seduti regolari, jindirizza malajr problemi fit-tul u ġodda li jaffettwaw l-istat tad-dritt, id-demokrazija u d-drittijiet fundamentali u l-ħruġ ta’ rakkomandazzjonijiet konkreti bi </w:t>
      </w:r>
      <w:proofErr w:type="spellStart"/>
      <w:r w:rsidRPr="007A42A1">
        <w:t>skadenzi</w:t>
      </w:r>
      <w:proofErr w:type="spellEnd"/>
      <w:r w:rsidRPr="007A42A1">
        <w:t xml:space="preserve"> għall-implimentazzjoni; jistieden lill-Kunsill jippubblika minuti komprensivi u konklużjonijiet wara kull seduta; </w:t>
      </w:r>
      <w:proofErr w:type="spellStart"/>
      <w:r w:rsidRPr="007A42A1">
        <w:t>jinsisti</w:t>
      </w:r>
      <w:proofErr w:type="spellEnd"/>
      <w:r w:rsidRPr="007A42A1">
        <w:t xml:space="preserve"> li fil-proċedimenti kollha relatati mal-Artikolu 7 tat-TUE, il-Parlament għandu jkun jista’ jippreżenta l-proposta motivata tiegħu lill-Kunsill, jattendi s-seduti tal-Artikolu 7 tat-TUE u jkun informat minnufih u bis-sħiħ f’kull stadju tal-proċedura; jistieden lill-Kummissjoni u lill-Istati Membri jibdew, u lill-Kunsill Ewropew jiddetermina, jekk l-Ungerija wettqitx ksur serju u persistenti tal-valuri tal-UE skont l-Artikolu 7(2) tat-TUE jekk ma jkunx hemm progress qabel it-tmiem tal-Presidenza Belġjana; </w:t>
      </w:r>
      <w:proofErr w:type="spellStart"/>
      <w:r w:rsidRPr="007A42A1">
        <w:t>jissottolinja</w:t>
      </w:r>
      <w:proofErr w:type="spellEnd"/>
      <w:r w:rsidRPr="007A42A1">
        <w:t xml:space="preserve"> li l-Kunsill għandu wkoll responsabbiltà għall-protezzjoni tal-valuri stabbiliti fl-Artikolu 2 tat-TUE u li n-nuqqas li </w:t>
      </w:r>
      <w:proofErr w:type="spellStart"/>
      <w:r w:rsidRPr="007A42A1">
        <w:t>jipproteġihom</w:t>
      </w:r>
      <w:proofErr w:type="spellEnd"/>
      <w:r w:rsidRPr="007A42A1">
        <w:t xml:space="preserve"> ikollu konsegwenzi dejjiema u potenzjalment dannużi;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5.</w:t>
      </w:r>
      <w:r w:rsidRPr="007A42A1">
        <w:tab/>
      </w:r>
      <w:proofErr w:type="spellStart"/>
      <w:r w:rsidRPr="007A42A1">
        <w:t>Jissottolinja</w:t>
      </w:r>
      <w:proofErr w:type="spellEnd"/>
      <w:r w:rsidRPr="007A42A1">
        <w:t xml:space="preserve"> r-rwol importanti tal-presidenza tal-Kunsill fit-tmexxija ’l quddiem tal-ħidma tal-Kunsill dwar il-leġiżlazzjoni tal-UE, l-</w:t>
      </w:r>
      <w:proofErr w:type="spellStart"/>
      <w:r w:rsidRPr="007A42A1">
        <w:t>iżgurar</w:t>
      </w:r>
      <w:proofErr w:type="spellEnd"/>
      <w:r w:rsidRPr="007A42A1">
        <w:t xml:space="preserve"> tal-</w:t>
      </w:r>
      <w:proofErr w:type="spellStart"/>
      <w:r w:rsidRPr="007A42A1">
        <w:t>kontinwità</w:t>
      </w:r>
      <w:proofErr w:type="spellEnd"/>
      <w:r w:rsidRPr="007A42A1">
        <w:t xml:space="preserve"> tal-aġenda tal-UE u r-rappreżentanza tal-Kunsill fir-relazzjonijiet mal-istituzzjonijiet l-oħrajn tal-UE; itenni t-tħassib tiegħu li l-Gvern Ungeriż mhux se jkun jista’ jwettaq dan il-kompitu b’mod kredibbli fl-2024, fid-dawl tan-nuqqas ta’ konformità tiegħu mad-dritt tal-Unjoni u l-valuri stabbiliti fl-Artikolu 2 tat-TUE, kif ukoll mal-prinċipju tal-kooperazzjoni leali; jesprimi dispjaċir għall-fatt li l-Kunsill għadu ma sabx soluzzjoni għall-kwistjoni tar-rappreżentanti tal-Gvern Ungeriż li qed jippresjedu l-laqgħat tal-Kunsill dwar id-demokrazija, l-istat tad-dritt u d-drittijiet fundamentali, inklużi laqgħat relatati mal-protezzjoni tal-interessi finanzjarji u tal-baġit tal-UE; jenfasizza li din l-isfida tirriżulta fil-mument kruċjali tal-elezzjonijiet Ewropej u l-formazzjoni tal-Kummissjoni; jesprimi dispjaċir dwar in-nuqqas li tinstab soluzzjoni u jtenni r-rieda tiegħu li jieħu miżuri biex jiddefendi l-</w:t>
      </w:r>
      <w:proofErr w:type="spellStart"/>
      <w:r w:rsidRPr="007A42A1">
        <w:t>kredibbiltà</w:t>
      </w:r>
      <w:proofErr w:type="spellEnd"/>
      <w:r w:rsidRPr="007A42A1">
        <w:t xml:space="preserve"> tal-Unjoni fir-rigward tal-valuri stabbiliti fl-Artikolu 2 tat-TUE fir-rigward tal-kooperazzjoni mal-Kunsill;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6.</w:t>
      </w:r>
      <w:r w:rsidRPr="007A42A1">
        <w:tab/>
        <w:t xml:space="preserve">Jistieden lill-Kunsill u lill-Kummissjoni jagħtu aktar attenzjoni liż-żarmar </w:t>
      </w:r>
      <w:proofErr w:type="spellStart"/>
      <w:r w:rsidRPr="007A42A1">
        <w:t>sistemiku</w:t>
      </w:r>
      <w:proofErr w:type="spellEnd"/>
      <w:r w:rsidRPr="007A42A1">
        <w:t xml:space="preserve"> tal-istat tad-dritt, kif ukoll lill-interazzjoni bejn il-każijiet varji ta’ ksur tal-valuri identifikati fir-riżoluzzjonijiet tiegħu; jisħaq li l-UE għandha tiddefendi l-valuri kollha </w:t>
      </w:r>
      <w:r w:rsidRPr="007A42A1">
        <w:lastRenderedPageBreak/>
        <w:t xml:space="preserve">stabbiliti fl-Artikolu 2 tat-TUE b’determinazzjoni ugwali, u li n-nuqqas ta’ dan </w:t>
      </w:r>
      <w:proofErr w:type="spellStart"/>
      <w:r w:rsidRPr="007A42A1">
        <w:t>jimmina</w:t>
      </w:r>
      <w:proofErr w:type="spellEnd"/>
      <w:r w:rsidRPr="007A42A1">
        <w:t xml:space="preserve"> l-istituzzjonijiet demokratiċi u fl-aħħar mill-aħħar jaffettwa d-drittijiet tal-bniedem u l-ħajja ta’ kulħadd fl-Ungerija;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7.</w:t>
      </w:r>
      <w:r w:rsidRPr="007A42A1">
        <w:tab/>
        <w:t xml:space="preserve">Itenni l-istedina tiegħu lill-Kummissjoni biex tagħmel użu sħiħ mill-għodod disponibbli għaliha biex tindirizza r-riskju ċar ta’ ksur serju mill-Ungerija tal-valuri li fuqhom hija </w:t>
      </w:r>
      <w:proofErr w:type="spellStart"/>
      <w:r w:rsidRPr="007A42A1">
        <w:t>bbażata</w:t>
      </w:r>
      <w:proofErr w:type="spellEnd"/>
      <w:r w:rsidRPr="007A42A1">
        <w:t xml:space="preserve"> l-UE, b’mod partikolari l-proċeduri ta’ ksur </w:t>
      </w:r>
      <w:proofErr w:type="spellStart"/>
      <w:r w:rsidRPr="007A42A1">
        <w:t>imħaffa</w:t>
      </w:r>
      <w:proofErr w:type="spellEnd"/>
      <w:r w:rsidRPr="007A42A1">
        <w:t xml:space="preserve">, l-applikazzjonijiet għal miżuri </w:t>
      </w:r>
      <w:r w:rsidRPr="007A42A1">
        <w:rPr>
          <w:i/>
          <w:iCs/>
        </w:rPr>
        <w:t>interim</w:t>
      </w:r>
      <w:r w:rsidRPr="007A42A1">
        <w:t xml:space="preserve"> quddiem il-QĠUE u l-azzjonijiet rigward in-nuqqas ta’ implimentazzjoni tas-sentenzi tal-QĠUE; ifakkar fl-importanza tar-Regolament dwar il-</w:t>
      </w:r>
      <w:proofErr w:type="spellStart"/>
      <w:r w:rsidRPr="007A42A1">
        <w:t>Kundizzjonalità</w:t>
      </w:r>
      <w:proofErr w:type="spellEnd"/>
      <w:r w:rsidRPr="007A42A1">
        <w:t xml:space="preserve"> tal-Istat tad-Dritt u jilqa’ d-Deċiżjoni tal-Kummissjoni tat-13 ta’ Diċembru 2023 li tikkonferma li r-riskju għall-baġit tal-Unjoni baqa’ l-istess minn Diċembru 2022, li jwassal għal estensjoni tal-miżuri adottati skont ir-Regolament; jistieden lill-Kummissjoni tieħu azzjoni immedjata skont ir-Regolament fir-rigward ta’ ksur ieħor tal-istat tad-dritt;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8.</w:t>
      </w:r>
      <w:r w:rsidRPr="007A42A1">
        <w:tab/>
        <w:t xml:space="preserve">Itenni, f’dan il-kuntest, it-tħassib serju tiegħu dwar id-deċiżjoni, meta jitqies li l-kundizzjoni </w:t>
      </w:r>
      <w:proofErr w:type="spellStart"/>
      <w:r w:rsidRPr="007A42A1">
        <w:t>abilitanti</w:t>
      </w:r>
      <w:proofErr w:type="spellEnd"/>
      <w:r w:rsidRPr="007A42A1">
        <w:t xml:space="preserve"> orizzontali tal-Karta kienet ġiet </w:t>
      </w:r>
      <w:proofErr w:type="spellStart"/>
      <w:r w:rsidRPr="007A42A1">
        <w:t>issodisfata</w:t>
      </w:r>
      <w:proofErr w:type="spellEnd"/>
      <w:r w:rsidRPr="007A42A1">
        <w:t xml:space="preserve"> fir-rigward tal-indipendenza ġudizzjarja, u b’hekk l-awtoritajiet Ungeriżi setgħu jissottomettu talbiet għal </w:t>
      </w:r>
      <w:proofErr w:type="spellStart"/>
      <w:r w:rsidRPr="007A42A1">
        <w:t>rimborż</w:t>
      </w:r>
      <w:proofErr w:type="spellEnd"/>
      <w:r w:rsidRPr="007A42A1">
        <w:t xml:space="preserve"> sa EUR 10,2 biljun mingħajr mekkaniżmi ta’ kontroll jew proċeduri ta’ akkwist pubbliku adegwati stabbiliti biex jiggarantixxu ġestjoni finanzjarja tajba u l-protezzjoni tal-baġit tal-UE; ifakkar fl-applikazzjoni tal-Parlament bil-ħsieb li tiġi </w:t>
      </w:r>
      <w:proofErr w:type="spellStart"/>
      <w:r w:rsidRPr="007A42A1">
        <w:t>rieżaminata</w:t>
      </w:r>
      <w:proofErr w:type="spellEnd"/>
      <w:r w:rsidRPr="007A42A1">
        <w:t xml:space="preserve"> l-legalità tad-Deċiżjoni C(2023) 9014 quddiem il-QĠUE, f’konformità mal-Artikolu 263 tat-TFUE, li ġiet ippreżentata fil-25 ta’ Marzu 2024; jistenna bil-ħerqa riżoluzzjoni rapida dwar il-kwistjoni; itenni t-talbiet tiegħu lill-Kummissjoni biex </w:t>
      </w:r>
      <w:r w:rsidR="00BE2D60">
        <w:t>tirrevoka</w:t>
      </w:r>
      <w:r w:rsidRPr="007A42A1">
        <w:t xml:space="preserve"> d-deċiżjoni tagħha, b’mod partikolari fid-dawl tal-miżuri nazzjonali meħuda mill-adozzjoni tagħha u r-rivelazzjonijiet li ħarġu mill-</w:t>
      </w:r>
      <w:proofErr w:type="spellStart"/>
      <w:r w:rsidRPr="007A42A1">
        <w:t>eks</w:t>
      </w:r>
      <w:proofErr w:type="spellEnd"/>
      <w:r w:rsidRPr="007A42A1">
        <w:t xml:space="preserve"> Ministru tal-Ġustizzja tal-Ungerija li jimplikaw nuqqas ta’ indipendenza tal-prosekuzzjoni u interferenza politika fil-proċedimenti kriminali; jistieden lill-Kummissjoni </w:t>
      </w:r>
      <w:proofErr w:type="spellStart"/>
      <w:r w:rsidR="00BE2D60">
        <w:t>tiffriża</w:t>
      </w:r>
      <w:proofErr w:type="spellEnd"/>
      <w:r w:rsidR="00BE2D60">
        <w:t xml:space="preserve"> l-fondi</w:t>
      </w:r>
      <w:r w:rsidRPr="007A42A1">
        <w:t xml:space="preserve"> sakemm il-leġiżlazzjoni rilevanti kollha tkun ġiet implimentata bis-sħiħ, il-miżuri adottati jkunu wrew l-</w:t>
      </w:r>
      <w:proofErr w:type="spellStart"/>
      <w:r w:rsidRPr="007A42A1">
        <w:t>effettività</w:t>
      </w:r>
      <w:proofErr w:type="spellEnd"/>
      <w:r w:rsidRPr="007A42A1">
        <w:t xml:space="preserve"> tagħhom fil-prattika u l-Ungerija tkun implimentat is-sentenzi rilevanti kollha tal-QĠUE u tal-QEDB; jitlob lill-Kummissjoni tikkontrolla bir-reqqa l-</w:t>
      </w:r>
      <w:proofErr w:type="spellStart"/>
      <w:r w:rsidRPr="007A42A1">
        <w:t>prefinanzjament</w:t>
      </w:r>
      <w:proofErr w:type="spellEnd"/>
      <w:r w:rsidRPr="007A42A1">
        <w:t xml:space="preserve"> mogħti fl-ambitu tal-finanzjament tal-UE biex tiżgura li l-fondi jiġu implimentati f’konformità mal-objettivi tal-leġiżlazzjoni rispettiva; itenni t-talba tiegħu lill-Ungerija biex tissieħeb </w:t>
      </w:r>
      <w:proofErr w:type="spellStart"/>
      <w:r w:rsidRPr="007A42A1">
        <w:t>mal</w:t>
      </w:r>
      <w:proofErr w:type="spellEnd"/>
      <w:r w:rsidRPr="007A42A1">
        <w:t>-UPPE bħala kwistjoni ta’ urġenza;</w:t>
      </w:r>
      <w:r w:rsidR="00BE2D60" w:rsidRPr="00BE2D60">
        <w:t xml:space="preserve"> jistieden lill-Kummissjoni tħeġġeġ lill-Ungerija tipparteċipa </w:t>
      </w:r>
      <w:proofErr w:type="spellStart"/>
      <w:r w:rsidR="00BE2D60" w:rsidRPr="00BE2D60">
        <w:t>fl</w:t>
      </w:r>
      <w:proofErr w:type="spellEnd"/>
      <w:r w:rsidR="00BE2D60" w:rsidRPr="00BE2D60">
        <w:t>-UPPE;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9.</w:t>
      </w:r>
      <w:r w:rsidRPr="007A42A1">
        <w:tab/>
        <w:t>Jisħaq li l-miżuri meħtieġa għar-rilaxx tal-finanzjament tal-UE, kif definiti mid-deċiżjonijiet rilevanti meħuda skont ir-Regolament dwar Dispożizzjonijiet Komuni</w:t>
      </w:r>
      <w:r w:rsidRPr="007A42A1">
        <w:rPr>
          <w:rStyle w:val="FootnoteReference"/>
          <w:szCs w:val="24"/>
        </w:rPr>
        <w:footnoteReference w:id="12"/>
      </w:r>
      <w:r w:rsidRPr="007A42A1">
        <w:t xml:space="preserve"> (RDK), ir-Regolament dwar il-</w:t>
      </w:r>
      <w:proofErr w:type="spellStart"/>
      <w:r w:rsidRPr="007A42A1">
        <w:t>Faċilità</w:t>
      </w:r>
      <w:proofErr w:type="spellEnd"/>
      <w:r w:rsidRPr="007A42A1">
        <w:t xml:space="preserve"> għall-Irkupru u r-</w:t>
      </w:r>
      <w:proofErr w:type="spellStart"/>
      <w:r w:rsidRPr="007A42A1">
        <w:t>Reżiljenza</w:t>
      </w:r>
      <w:proofErr w:type="spellEnd"/>
      <w:r w:rsidRPr="007A42A1">
        <w:t xml:space="preserve"> (RRF)</w:t>
      </w:r>
      <w:r w:rsidRPr="007A42A1">
        <w:rPr>
          <w:rStyle w:val="FootnoteReference"/>
          <w:szCs w:val="24"/>
        </w:rPr>
        <w:footnoteReference w:id="13"/>
      </w:r>
      <w:r w:rsidRPr="007A42A1">
        <w:t xml:space="preserve"> u r-Regolament dwar il-</w:t>
      </w:r>
      <w:proofErr w:type="spellStart"/>
      <w:r w:rsidRPr="007A42A1">
        <w:t>Kundizzjonalità</w:t>
      </w:r>
      <w:proofErr w:type="spellEnd"/>
      <w:r w:rsidRPr="007A42A1">
        <w:t xml:space="preserve"> tal-Istat tad-Dritt, iridu jiġu </w:t>
      </w:r>
      <w:proofErr w:type="spellStart"/>
      <w:r w:rsidRPr="007A42A1">
        <w:t>vvalutati</w:t>
      </w:r>
      <w:proofErr w:type="spellEnd"/>
      <w:r w:rsidRPr="007A42A1">
        <w:t xml:space="preserve"> b’mod </w:t>
      </w:r>
      <w:proofErr w:type="spellStart"/>
      <w:r w:rsidRPr="007A42A1">
        <w:lastRenderedPageBreak/>
        <w:t>koerenti</w:t>
      </w:r>
      <w:proofErr w:type="spellEnd"/>
      <w:r w:rsidRPr="007A42A1">
        <w:t xml:space="preserve"> bħala pakkett integrali u li ma għandu jsir l-ebda pagament anke jekk isir progress f’qasam wieħed jew aktar iżda jkun għad hemm nuqqasijiet f’qasam ieħor; jisħaq li huwa </w:t>
      </w:r>
      <w:proofErr w:type="spellStart"/>
      <w:r w:rsidRPr="007A42A1">
        <w:t>inkomprensibbli</w:t>
      </w:r>
      <w:proofErr w:type="spellEnd"/>
      <w:r w:rsidRPr="007A42A1">
        <w:t xml:space="preserve"> li jiġu rilaxxati fondi fl-ambitu tar-RDK li jikkwota titjib fl-indipendenza tal-ġudikatura, filwaqt li l-fondi fl-ambitu tal-RRF u l-mekkaniżmu ta’ </w:t>
      </w:r>
      <w:proofErr w:type="spellStart"/>
      <w:r w:rsidRPr="007A42A1">
        <w:t>kundizzjonalità</w:t>
      </w:r>
      <w:proofErr w:type="spellEnd"/>
      <w:r w:rsidRPr="007A42A1">
        <w:t xml:space="preserve"> jibqgħu </w:t>
      </w:r>
      <w:proofErr w:type="spellStart"/>
      <w:r w:rsidRPr="007A42A1">
        <w:t>mblukkati</w:t>
      </w:r>
      <w:proofErr w:type="spellEnd"/>
      <w:r w:rsidRPr="007A42A1">
        <w:t xml:space="preserve"> minħabba nuqqasijiet kontinwi li għandhom x’jaqsmu mal-indipendenza tal-ġudikatura;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10.</w:t>
      </w:r>
      <w:r w:rsidRPr="007A42A1">
        <w:tab/>
        <w:t>Jieħu nota tal-istabbiliment tal-Awtorità tal-</w:t>
      </w:r>
      <w:proofErr w:type="spellStart"/>
      <w:r w:rsidRPr="007A42A1">
        <w:t>Integrità</w:t>
      </w:r>
      <w:proofErr w:type="spellEnd"/>
      <w:r w:rsidRPr="007A42A1">
        <w:t xml:space="preserve"> bħala waħda mill-miżuri ta’ rimedju li għandhom jiġu implimentati fil-qafas tar-Regolament dwar il-</w:t>
      </w:r>
      <w:proofErr w:type="spellStart"/>
      <w:r w:rsidRPr="007A42A1">
        <w:t>Kundizzjonalità</w:t>
      </w:r>
      <w:proofErr w:type="spellEnd"/>
      <w:r w:rsidRPr="007A42A1">
        <w:t xml:space="preserve"> tal-Istat tad-Dritt; huwa tal-fehma li s-sempliċi stabbiliment tal-istituzzjoni ma jistax jitqies bħala suffiċjenti biex jiġi indirizzat it-tħassib attwali u jemmen li l-</w:t>
      </w:r>
      <w:proofErr w:type="spellStart"/>
      <w:r w:rsidRPr="007A42A1">
        <w:t>issodisfar</w:t>
      </w:r>
      <w:proofErr w:type="spellEnd"/>
      <w:r w:rsidRPr="007A42A1">
        <w:t xml:space="preserve"> tal-miżuri ta’ rimedju rispettivi għandu jiġi </w:t>
      </w:r>
      <w:proofErr w:type="spellStart"/>
      <w:r w:rsidRPr="007A42A1">
        <w:t>vvalutat</w:t>
      </w:r>
      <w:proofErr w:type="spellEnd"/>
      <w:r w:rsidRPr="007A42A1">
        <w:t xml:space="preserve"> abbażi tal-funzjonament fil-prattika ta’ dik l-istituzzjoni; jemmen li, jekk tingħata prerogattivi adegwati u setgħat ta’ implimentazzjoni, l-Awtorità tal-</w:t>
      </w:r>
      <w:proofErr w:type="spellStart"/>
      <w:r w:rsidRPr="007A42A1">
        <w:t>Integrità</w:t>
      </w:r>
      <w:proofErr w:type="spellEnd"/>
      <w:r w:rsidRPr="007A42A1">
        <w:t xml:space="preserve"> għandha l-potenzjal li tindirizza xi wħud mit-tħassib relatat mas-sitwazzjoni tal-istat tad-dritt fl-Ungerija, b’mod partikolari l-ġlieda kontra l-korruzzjoni; jesprimi, madankollu, it-tħassib li, fil-prattika, ma għandhiex il-kompetenza u l-prerogattivi biex tissodisfa b’mod adegwat il-kompiti tagħha, kif intwera matul l-ewwel sena tal-operazzjonijiet tagħha; jisħaq li din tingħata aktar setgħat u li dawn is-setgħat ikunu jistgħu jiġu implimentati, b’mod partikolari billi tingħata aċċess adegwat għal bażijiet tad-data rilevanti, billi jissaħħu s-setgħat investigattivi tagħha u billi l-adozzjoni tar-rakkomandazzjonijiet tagħha ssir obbligatorja;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11.</w:t>
      </w:r>
      <w:r w:rsidRPr="007A42A1">
        <w:tab/>
      </w:r>
      <w:proofErr w:type="spellStart"/>
      <w:r w:rsidRPr="007A42A1">
        <w:t>Jissottolinja</w:t>
      </w:r>
      <w:proofErr w:type="spellEnd"/>
      <w:r w:rsidRPr="007A42A1">
        <w:t xml:space="preserve"> li l-konformità mad-dritt tal-Unjoni, inkluż mar-regoli tas-suq uniku, tirrappreżenta pilastru ewlieni tal-prinċipju tal-istat tad-dritt; jistieden lill-Kummissjoni tinkludi valutazzjoni tas-sitwazzjoni tas-suq uniku fi Stat Membru fl-evalwazzjoni tas-sitwazzjoni tal-istat tad-dritt f’kull Stat Membru; jinsab imħasseb dwar l-abbuż ta’ poter u l-prattiki diskriminatorji </w:t>
      </w:r>
      <w:proofErr w:type="spellStart"/>
      <w:r w:rsidRPr="007A42A1">
        <w:t>sistemiċi</w:t>
      </w:r>
      <w:proofErr w:type="spellEnd"/>
      <w:r w:rsidRPr="007A42A1">
        <w:t xml:space="preserve"> applikati mill-awtoritajiet Ungeriżi kontra kumpaniji li joperaw f’oqsma definiti bħala li għandhom interess strateġiku għall-Gvern Ungeriż u </w:t>
      </w:r>
      <w:proofErr w:type="spellStart"/>
      <w:r w:rsidRPr="007A42A1">
        <w:t>għall-oligarki</w:t>
      </w:r>
      <w:proofErr w:type="spellEnd"/>
      <w:r w:rsidRPr="007A42A1">
        <w:t xml:space="preserve">; jisħaq li dan wassal għal ambjent ta’ diskriminazzjoni u ta’ biża’ li </w:t>
      </w:r>
      <w:proofErr w:type="spellStart"/>
      <w:r w:rsidRPr="007A42A1">
        <w:t>jikkontradixxi</w:t>
      </w:r>
      <w:proofErr w:type="spellEnd"/>
      <w:r w:rsidRPr="007A42A1">
        <w:t xml:space="preserve"> l-pilastri tas-suq uniku u jqiegħed lil xi kumpaniji u l-interessi kummerċjali leġittimi tagħhom f’riskju serju u </w:t>
      </w:r>
      <w:proofErr w:type="spellStart"/>
      <w:r w:rsidRPr="007A42A1">
        <w:t>jisfurzahom</w:t>
      </w:r>
      <w:proofErr w:type="spellEnd"/>
      <w:r w:rsidRPr="007A42A1">
        <w:t xml:space="preserve"> de </w:t>
      </w:r>
      <w:proofErr w:type="spellStart"/>
      <w:r w:rsidRPr="007A42A1">
        <w:t>facto</w:t>
      </w:r>
      <w:proofErr w:type="spellEnd"/>
      <w:r w:rsidRPr="007A42A1">
        <w:t xml:space="preserve"> barra mis-suq Ungeriż; jistieden lill-Kummissjoni tagħmel enfasi speċjali fuq il-konformità mar-regoli tas-suq uniku meta </w:t>
      </w:r>
      <w:proofErr w:type="spellStart"/>
      <w:r w:rsidRPr="007A42A1">
        <w:t>tivvaluta</w:t>
      </w:r>
      <w:proofErr w:type="spellEnd"/>
      <w:r w:rsidRPr="007A42A1">
        <w:t xml:space="preserve"> s-sitwazzjoni tal-istat tad-dritt fl-Ungerija; jistieden lill-Kummissjoni teżamina jekk il-liġijiet dwar l-oqsma definiti bħala li għandhom interess strateġiku għall-Gvern Ungeriż humiex konformi mal-liġi Ewropea attwali; jisħaq li l-Kummissjoni għandha d-dmir li ssegwi malajr l-ilmenti ppreżentati minn kumpaniji li huma sistematikament fil-mira tal-awtoritajiet Ungeriżi u li tressaq kawżi rilevanti quddiem il-QĠUE;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12.</w:t>
      </w:r>
      <w:r w:rsidRPr="007A42A1">
        <w:tab/>
        <w:t xml:space="preserve">Jesprimi dispjaċir għall-fatt li l-Ungerija abbużat mis-setgħa ta’ </w:t>
      </w:r>
      <w:proofErr w:type="spellStart"/>
      <w:r w:rsidRPr="007A42A1">
        <w:t>veto</w:t>
      </w:r>
      <w:proofErr w:type="spellEnd"/>
      <w:r w:rsidRPr="007A42A1">
        <w:t xml:space="preserve"> tagħha fil-Kunsill, u b’hekk </w:t>
      </w:r>
      <w:proofErr w:type="spellStart"/>
      <w:r w:rsidRPr="007A42A1">
        <w:t>ippreveniet</w:t>
      </w:r>
      <w:proofErr w:type="spellEnd"/>
      <w:r w:rsidRPr="007A42A1">
        <w:t xml:space="preserve"> li tingħata għajnuna essenzjali lill-Ukrajna, li dgħajjef l-interessi strateġiċi tal-UE; jikkundanna l-politika ġenerali tal-Gvern Ungeriż lejn ir-Russja;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13.</w:t>
      </w:r>
      <w:r w:rsidRPr="007A42A1">
        <w:tab/>
        <w:t xml:space="preserve">Itenni t-talba tiegħu lill-Kummissjoni biex tiżgura li </w:t>
      </w:r>
      <w:proofErr w:type="spellStart"/>
      <w:r w:rsidRPr="007A42A1">
        <w:t>r-riċevituri</w:t>
      </w:r>
      <w:proofErr w:type="spellEnd"/>
      <w:r w:rsidRPr="007A42A1">
        <w:t xml:space="preserve"> finali jew il-benefiċjarji tal-fondi tal-UE ma jiġux </w:t>
      </w:r>
      <w:proofErr w:type="spellStart"/>
      <w:r w:rsidRPr="007A42A1">
        <w:t>imċaħħda</w:t>
      </w:r>
      <w:proofErr w:type="spellEnd"/>
      <w:r w:rsidRPr="007A42A1">
        <w:t xml:space="preserve"> minn dawn il-fondi, kif stabbilit fir-Regolament dwar il-</w:t>
      </w:r>
      <w:proofErr w:type="spellStart"/>
      <w:r w:rsidRPr="007A42A1">
        <w:t>Kundizzjonalità</w:t>
      </w:r>
      <w:proofErr w:type="spellEnd"/>
      <w:r w:rsidRPr="007A42A1">
        <w:t xml:space="preserve"> tal-Istat tad-Dritt; jistieden lill-Kummissjoni ssib modi kif tqassam il-fondi tal-UE permezz tal-awtoritajiet lokali u reġjonali u s-soċjetà ċivili jekk il-gvern ikkonċernat ma jikkooperax fir-rigward tan-nuqqasijiet fl-implimentazzjoni tal-istat tad-dritt;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lastRenderedPageBreak/>
        <w:t>14.</w:t>
      </w:r>
      <w:r w:rsidRPr="007A42A1">
        <w:tab/>
      </w:r>
      <w:proofErr w:type="spellStart"/>
      <w:r w:rsidRPr="007A42A1">
        <w:t>Jissottolinja</w:t>
      </w:r>
      <w:proofErr w:type="spellEnd"/>
      <w:r w:rsidRPr="007A42A1">
        <w:t xml:space="preserve"> li l-awtoritajiet Ungeriżi jeħtiġilhom jiggarantixxu t-trasparenza u l-opportunitajiet indaqs għall-individwi, għall-kumpaniji, għas-soċjetà ċivili, għall-organizzazzjonijiet mhux governattivi u għall-awtoritajiet lokali u reġjonali li jixtiequ jaċċessaw il-finanzjament tal-UE u jeħtiġilhom jiżguraw sorveljanza ġudizzjarja indipendenti, kif ukoll mekkaniżmi tal-ilmenti imparzjali u effettivi; jikkundanna l-prattiki diskriminatorji </w:t>
      </w:r>
      <w:proofErr w:type="spellStart"/>
      <w:r w:rsidRPr="007A42A1">
        <w:t>sistemiċi</w:t>
      </w:r>
      <w:proofErr w:type="spellEnd"/>
      <w:r w:rsidRPr="007A42A1">
        <w:t xml:space="preserve"> </w:t>
      </w:r>
      <w:proofErr w:type="spellStart"/>
      <w:r w:rsidRPr="007A42A1">
        <w:t>rrapportati</w:t>
      </w:r>
      <w:proofErr w:type="spellEnd"/>
      <w:r w:rsidRPr="007A42A1">
        <w:t xml:space="preserve"> użati kontra l-akkademja, il-ġurnalisti, il-partiti politiċi u s-soċjetà ċivili, kif ukoll kumpaniji f’ċerti setturi;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15.</w:t>
      </w:r>
      <w:r w:rsidRPr="007A42A1">
        <w:tab/>
        <w:t xml:space="preserve">Jistieden lill-Kummissjoni </w:t>
      </w:r>
      <w:proofErr w:type="spellStart"/>
      <w:r w:rsidRPr="007A42A1">
        <w:t>tappoġġja</w:t>
      </w:r>
      <w:proofErr w:type="spellEnd"/>
      <w:r w:rsidRPr="007A42A1">
        <w:t xml:space="preserve"> lis-soċjetà ċivili indipendenti fl-Ungerija li tissalvagwardja l-valuri stabbiliti fl-Artikolu 2 tat-TUE, b’mod partikolari, billi tuża l-Programm dwar iċ-Ċittadini, l-Ugwaljanza, id-Drittijiet u l-Valuri; itenni l-istedina tiegħu lill-Kummissjoni biex tadotta strateġija komprensiva tas-soċjetà ċivili għall-protezzjoni u l-iżvilupp tal-ispazju ċiviku fi ħdan l-UE li </w:t>
      </w:r>
      <w:proofErr w:type="spellStart"/>
      <w:r w:rsidRPr="007A42A1">
        <w:t>tintegra</w:t>
      </w:r>
      <w:proofErr w:type="spellEnd"/>
      <w:r w:rsidRPr="007A42A1">
        <w:t xml:space="preserve"> l-għodod attwali kollha u tiddeskrivi sett ta’ miżuri speċifiċi li jipproteġu u jsaħħu l-ispazju ċiviku;</w:t>
      </w:r>
    </w:p>
    <w:p w:rsidR="00B21AC9" w:rsidRPr="007A42A1" w:rsidRDefault="00B21AC9" w:rsidP="00B21AC9">
      <w:pPr>
        <w:pStyle w:val="NormalHanging12a"/>
        <w:rPr>
          <w:szCs w:val="24"/>
        </w:rPr>
      </w:pPr>
      <w:r w:rsidRPr="007A42A1">
        <w:t>16.</w:t>
      </w:r>
      <w:r w:rsidRPr="007A42A1">
        <w:tab/>
        <w:t>Itenni l-istedina tiegħu lill-Kummissjoni u lill-Kunsill biex jidħlu minnufih f’negozjati mal-Parlament dwar mekkaniżmu tal-UE dwar id-demokrazija, l-istat tad-dritt u d-drittijiet fundamentali fil-forma ta’ ftehim interistituzzjonali, u dwar l-inklużjoni ta’ ċiklu ta’ politika permanenti fost l-istituzzjonijiet tal-UE;</w:t>
      </w:r>
    </w:p>
    <w:p w:rsidR="00E365E1" w:rsidRPr="007A42A1" w:rsidRDefault="00B21AC9" w:rsidP="00007C55">
      <w:pPr>
        <w:ind w:left="567" w:hanging="567"/>
      </w:pPr>
      <w:r w:rsidRPr="007A42A1">
        <w:t>17.</w:t>
      </w:r>
      <w:r w:rsidRPr="007A42A1">
        <w:tab/>
        <w:t>Jagħti istruzzjonijiet lill-President tiegħu biex tgħaddi din ir-riżoluzzjoni lill-Kunsill, lill-Kummissjoni, lill-gvernijiet u lill-parlamenti tal-Istati Membri, lill-Kunsill tal-Ewropa, lill-Organizzazzjoni għas-Sigurtà u l-Kooperazzjoni fl-Ewropa kif ukoll lin-Nazzjonijiet Uniti.</w:t>
      </w:r>
      <w:bookmarkStart w:id="8" w:name="TextBodyEnd"/>
      <w:bookmarkEnd w:id="8"/>
    </w:p>
    <w:sectPr w:rsidR="00E365E1" w:rsidRPr="007A42A1" w:rsidSect="007A42A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652" w:rsidRPr="007A42A1" w:rsidRDefault="00E26652">
      <w:r w:rsidRPr="007A42A1">
        <w:separator/>
      </w:r>
    </w:p>
  </w:endnote>
  <w:endnote w:type="continuationSeparator" w:id="0">
    <w:p w:rsidR="00E26652" w:rsidRPr="007A42A1" w:rsidRDefault="00E26652">
      <w:r w:rsidRPr="007A42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42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42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42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652" w:rsidRPr="007A42A1" w:rsidRDefault="00E26652">
      <w:r w:rsidRPr="007A42A1">
        <w:separator/>
      </w:r>
    </w:p>
  </w:footnote>
  <w:footnote w:type="continuationSeparator" w:id="0">
    <w:p w:rsidR="00E26652" w:rsidRPr="007A42A1" w:rsidRDefault="00E26652">
      <w:r w:rsidRPr="007A42A1">
        <w:continuationSeparator/>
      </w:r>
    </w:p>
  </w:footnote>
  <w:footnote w:id="1">
    <w:p w:rsidR="00B21AC9" w:rsidRPr="00596AAF" w:rsidRDefault="00B21AC9" w:rsidP="007A42A1">
      <w:pPr>
        <w:pStyle w:val="FootnoteText"/>
        <w:ind w:left="567" w:hanging="567"/>
        <w:rPr>
          <w:i/>
          <w:sz w:val="24"/>
          <w:lang w:val="mt-MT"/>
        </w:rPr>
      </w:pPr>
      <w:r w:rsidRPr="007A42A1">
        <w:rPr>
          <w:rStyle w:val="FootnoteReference"/>
          <w:sz w:val="24"/>
          <w:lang w:val="mt-MT"/>
        </w:rPr>
        <w:footnoteRef/>
      </w:r>
      <w:r w:rsidR="007A42A1" w:rsidRPr="007A42A1">
        <w:rPr>
          <w:rStyle w:val="Emphasis"/>
          <w:sz w:val="24"/>
          <w:shd w:val="clear" w:color="auto" w:fill="FFFFFF"/>
          <w:lang w:val="mt-MT"/>
        </w:rPr>
        <w:t xml:space="preserve"> </w:t>
      </w:r>
      <w:r w:rsidR="007A42A1" w:rsidRPr="007A42A1">
        <w:rPr>
          <w:rStyle w:val="Emphasis"/>
          <w:sz w:val="24"/>
          <w:shd w:val="clear" w:color="auto" w:fill="FFFFFF"/>
          <w:lang w:val="mt-MT"/>
        </w:rPr>
        <w:tab/>
      </w:r>
      <w:r w:rsidRPr="00596AAF">
        <w:rPr>
          <w:rStyle w:val="Emphasis"/>
          <w:i w:val="0"/>
          <w:sz w:val="24"/>
          <w:shd w:val="clear" w:color="auto" w:fill="FFFFFF"/>
          <w:lang w:val="mt-MT"/>
        </w:rPr>
        <w:t>ĠU C 433, 23.12.2019, p. 66.</w:t>
      </w:r>
    </w:p>
  </w:footnote>
  <w:footnote w:id="2">
    <w:p w:rsidR="00B21AC9" w:rsidRPr="00596AAF" w:rsidRDefault="00B21AC9" w:rsidP="007A42A1">
      <w:pPr>
        <w:pStyle w:val="FootnoteText"/>
        <w:ind w:left="567" w:hanging="567"/>
        <w:rPr>
          <w:i/>
          <w:sz w:val="24"/>
          <w:lang w:val="mt-MT"/>
        </w:rPr>
      </w:pPr>
      <w:r w:rsidRPr="007A42A1">
        <w:rPr>
          <w:rStyle w:val="FootnoteReference"/>
          <w:sz w:val="24"/>
          <w:lang w:val="mt-MT"/>
        </w:rPr>
        <w:footnoteRef/>
      </w:r>
      <w:r w:rsidR="007A42A1" w:rsidRPr="007A42A1">
        <w:rPr>
          <w:rStyle w:val="Emphasis"/>
          <w:sz w:val="24"/>
          <w:shd w:val="clear" w:color="auto" w:fill="FFFFFF"/>
          <w:lang w:val="mt-MT"/>
        </w:rPr>
        <w:t xml:space="preserve"> </w:t>
      </w:r>
      <w:r w:rsidR="007A42A1" w:rsidRPr="007A42A1">
        <w:rPr>
          <w:rStyle w:val="Emphasis"/>
          <w:sz w:val="24"/>
          <w:shd w:val="clear" w:color="auto" w:fill="FFFFFF"/>
          <w:lang w:val="mt-MT"/>
        </w:rPr>
        <w:tab/>
      </w:r>
      <w:r w:rsidRPr="00596AAF">
        <w:rPr>
          <w:rStyle w:val="Emphasis"/>
          <w:i w:val="0"/>
          <w:sz w:val="24"/>
          <w:shd w:val="clear" w:color="auto" w:fill="FFFFFF"/>
          <w:lang w:val="mt-MT"/>
        </w:rPr>
        <w:t>ĠU L 433</w:t>
      </w:r>
      <w:r w:rsidR="00EE7887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Pr="00596AAF">
        <w:rPr>
          <w:rStyle w:val="Emphasis"/>
          <w:i w:val="0"/>
          <w:sz w:val="24"/>
          <w:shd w:val="clear" w:color="auto" w:fill="FFFFFF"/>
          <w:lang w:val="mt-MT"/>
        </w:rPr>
        <w:t>I, 22.12.2020, p. 1.</w:t>
      </w:r>
    </w:p>
  </w:footnote>
  <w:footnote w:id="3">
    <w:p w:rsidR="00B21AC9" w:rsidRPr="00315186" w:rsidRDefault="00B21AC9" w:rsidP="007A42A1">
      <w:pPr>
        <w:pStyle w:val="FootnoteText"/>
        <w:ind w:left="567" w:hanging="567"/>
        <w:rPr>
          <w:sz w:val="24"/>
          <w:lang w:val="mt-MT"/>
        </w:rPr>
      </w:pPr>
      <w:r w:rsidRPr="007A42A1">
        <w:rPr>
          <w:rStyle w:val="FootnoteReference"/>
          <w:sz w:val="24"/>
          <w:lang w:val="mt-MT"/>
        </w:rPr>
        <w:footnoteRef/>
      </w:r>
      <w:r w:rsidR="007A42A1" w:rsidRPr="007A42A1">
        <w:rPr>
          <w:rStyle w:val="Emphasis"/>
          <w:sz w:val="24"/>
          <w:shd w:val="clear" w:color="auto" w:fill="FFFFFF"/>
          <w:lang w:val="mt-MT"/>
        </w:rPr>
        <w:t xml:space="preserve"> </w:t>
      </w:r>
      <w:r w:rsidR="007A42A1" w:rsidRPr="007A42A1">
        <w:rPr>
          <w:rStyle w:val="Emphasis"/>
          <w:sz w:val="24"/>
          <w:shd w:val="clear" w:color="auto" w:fill="FFFFFF"/>
          <w:lang w:val="mt-MT"/>
        </w:rPr>
        <w:tab/>
      </w:r>
      <w:r w:rsidRPr="00596AAF">
        <w:rPr>
          <w:rStyle w:val="Emphasis"/>
          <w:i w:val="0"/>
          <w:sz w:val="24"/>
          <w:shd w:val="clear" w:color="auto" w:fill="FFFFFF"/>
          <w:lang w:val="mt-MT"/>
        </w:rPr>
        <w:t>ĠU C 125, 5.4.2023, p. 463.</w:t>
      </w:r>
    </w:p>
  </w:footnote>
  <w:footnote w:id="4">
    <w:p w:rsidR="00B21AC9" w:rsidRPr="00315186" w:rsidRDefault="00B21AC9" w:rsidP="007A42A1">
      <w:pPr>
        <w:pStyle w:val="FootnoteText"/>
        <w:ind w:left="567" w:hanging="567"/>
        <w:rPr>
          <w:sz w:val="24"/>
          <w:lang w:val="mt-MT"/>
        </w:rPr>
      </w:pPr>
      <w:r w:rsidRPr="00315186">
        <w:rPr>
          <w:rStyle w:val="FootnoteReference"/>
          <w:sz w:val="24"/>
          <w:lang w:val="mt-MT"/>
        </w:rPr>
        <w:footnoteRef/>
      </w:r>
      <w:r w:rsidR="007A42A1" w:rsidRPr="00596AAF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="007A42A1" w:rsidRPr="00596AAF">
        <w:rPr>
          <w:rStyle w:val="Emphasis"/>
          <w:i w:val="0"/>
          <w:sz w:val="24"/>
          <w:shd w:val="clear" w:color="auto" w:fill="FFFFFF"/>
          <w:lang w:val="mt-MT"/>
        </w:rPr>
        <w:tab/>
      </w:r>
      <w:r w:rsidRPr="00596AAF">
        <w:rPr>
          <w:rStyle w:val="Emphasis"/>
          <w:i w:val="0"/>
          <w:sz w:val="24"/>
          <w:shd w:val="clear" w:color="auto" w:fill="FFFFFF"/>
          <w:lang w:val="mt-MT"/>
        </w:rPr>
        <w:t>ĠU C 167, 11.5.2023, p. 74.</w:t>
      </w:r>
    </w:p>
  </w:footnote>
  <w:footnote w:id="5">
    <w:p w:rsidR="00B21AC9" w:rsidRPr="00315186" w:rsidRDefault="00B21AC9" w:rsidP="007A42A1">
      <w:pPr>
        <w:pStyle w:val="FootnoteText"/>
        <w:ind w:left="567" w:hanging="567"/>
        <w:rPr>
          <w:sz w:val="24"/>
          <w:lang w:val="mt-MT"/>
        </w:rPr>
      </w:pPr>
      <w:r w:rsidRPr="00315186">
        <w:rPr>
          <w:rStyle w:val="FootnoteReference"/>
          <w:sz w:val="24"/>
          <w:lang w:val="mt-MT"/>
        </w:rPr>
        <w:footnoteRef/>
      </w:r>
      <w:r w:rsidR="007A42A1" w:rsidRPr="00596AAF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="007A42A1" w:rsidRPr="00596AAF">
        <w:rPr>
          <w:rStyle w:val="Emphasis"/>
          <w:i w:val="0"/>
          <w:sz w:val="24"/>
          <w:shd w:val="clear" w:color="auto" w:fill="FFFFFF"/>
          <w:lang w:val="mt-MT"/>
        </w:rPr>
        <w:tab/>
      </w:r>
      <w:r w:rsidRPr="00596AAF">
        <w:rPr>
          <w:rStyle w:val="Emphasis"/>
          <w:i w:val="0"/>
          <w:sz w:val="24"/>
          <w:shd w:val="clear" w:color="auto" w:fill="FFFFFF"/>
          <w:lang w:val="mt-MT"/>
        </w:rPr>
        <w:t xml:space="preserve">ĠU C, C/2023/1223, 21.12.2023, </w:t>
      </w:r>
      <w:r w:rsidRPr="00315186">
        <w:rPr>
          <w:rStyle w:val="Emphasis"/>
          <w:sz w:val="24"/>
          <w:shd w:val="clear" w:color="auto" w:fill="FFFFFF"/>
          <w:lang w:val="mt-MT"/>
        </w:rPr>
        <w:t>ELI: http://data.europa.eu/eli/C/2023/1223/oj</w:t>
      </w:r>
      <w:r w:rsidRPr="00596AAF">
        <w:rPr>
          <w:rStyle w:val="Emphasis"/>
          <w:i w:val="0"/>
          <w:sz w:val="24"/>
          <w:shd w:val="clear" w:color="auto" w:fill="FFFFFF"/>
          <w:lang w:val="mt-MT"/>
        </w:rPr>
        <w:t>.</w:t>
      </w:r>
    </w:p>
  </w:footnote>
  <w:footnote w:id="6">
    <w:p w:rsidR="00B21AC9" w:rsidRPr="007A42A1" w:rsidRDefault="00B21AC9" w:rsidP="007A42A1">
      <w:pPr>
        <w:pStyle w:val="FootnoteText"/>
        <w:ind w:left="567" w:hanging="567"/>
        <w:rPr>
          <w:sz w:val="24"/>
          <w:lang w:val="mt-MT"/>
        </w:rPr>
      </w:pPr>
      <w:r w:rsidRPr="007A42A1">
        <w:rPr>
          <w:rStyle w:val="FootnoteReference"/>
          <w:sz w:val="24"/>
          <w:lang w:val="mt-MT"/>
        </w:rPr>
        <w:footnoteRef/>
      </w:r>
      <w:r w:rsidR="007A42A1" w:rsidRPr="007A42A1">
        <w:rPr>
          <w:sz w:val="24"/>
          <w:lang w:val="mt-MT"/>
        </w:rPr>
        <w:t xml:space="preserve"> </w:t>
      </w:r>
      <w:r w:rsidR="007A42A1" w:rsidRPr="007A42A1">
        <w:rPr>
          <w:sz w:val="24"/>
          <w:lang w:val="mt-MT"/>
        </w:rPr>
        <w:tab/>
      </w:r>
      <w:r w:rsidRPr="007A42A1">
        <w:rPr>
          <w:sz w:val="24"/>
          <w:lang w:val="mt-MT"/>
        </w:rPr>
        <w:t>Testi adottati, P9_TA(2024)0053.</w:t>
      </w:r>
    </w:p>
  </w:footnote>
  <w:footnote w:id="7">
    <w:p w:rsidR="00B21AC9" w:rsidRPr="007A42A1" w:rsidRDefault="00B21AC9" w:rsidP="007A42A1">
      <w:pPr>
        <w:pStyle w:val="FootnoteText"/>
        <w:ind w:left="567" w:hanging="567"/>
        <w:rPr>
          <w:sz w:val="24"/>
          <w:lang w:val="mt-MT"/>
        </w:rPr>
      </w:pPr>
      <w:r w:rsidRPr="007A42A1">
        <w:rPr>
          <w:rStyle w:val="FootnoteReference"/>
          <w:sz w:val="24"/>
          <w:lang w:val="mt-MT"/>
        </w:rPr>
        <w:footnoteRef/>
      </w:r>
      <w:r w:rsidR="007A42A1" w:rsidRPr="007A42A1">
        <w:rPr>
          <w:sz w:val="24"/>
          <w:lang w:val="mt-MT"/>
        </w:rPr>
        <w:t xml:space="preserve"> </w:t>
      </w:r>
      <w:r w:rsidR="007A42A1" w:rsidRPr="007A42A1">
        <w:rPr>
          <w:sz w:val="24"/>
          <w:lang w:val="mt-MT"/>
        </w:rPr>
        <w:tab/>
      </w:r>
      <w:r w:rsidRPr="007A42A1">
        <w:rPr>
          <w:sz w:val="24"/>
          <w:lang w:val="mt-MT"/>
        </w:rPr>
        <w:t xml:space="preserve">Is-Sentenza tal-Qorti tal-Ġustizzja tat-22 ta’ Ġunju 2023, </w:t>
      </w:r>
      <w:r w:rsidRPr="007A42A1">
        <w:rPr>
          <w:i/>
          <w:iCs/>
          <w:sz w:val="24"/>
          <w:lang w:val="mt-MT"/>
        </w:rPr>
        <w:t xml:space="preserve">Il-Kummissjoni </w:t>
      </w:r>
      <w:proofErr w:type="spellStart"/>
      <w:r w:rsidRPr="007A42A1">
        <w:rPr>
          <w:i/>
          <w:iCs/>
          <w:sz w:val="24"/>
          <w:lang w:val="mt-MT"/>
        </w:rPr>
        <w:t>vs</w:t>
      </w:r>
      <w:proofErr w:type="spellEnd"/>
      <w:r w:rsidRPr="007A42A1">
        <w:rPr>
          <w:i/>
          <w:iCs/>
          <w:sz w:val="24"/>
          <w:lang w:val="mt-MT"/>
        </w:rPr>
        <w:t xml:space="preserve"> L-Ungerija</w:t>
      </w:r>
      <w:r w:rsidRPr="007A42A1">
        <w:rPr>
          <w:sz w:val="24"/>
          <w:lang w:val="mt-MT"/>
        </w:rPr>
        <w:t>, C-823/21, ECLI:EU:C:2023:504.</w:t>
      </w:r>
    </w:p>
  </w:footnote>
  <w:footnote w:id="8">
    <w:p w:rsidR="00B21AC9" w:rsidRPr="007A42A1" w:rsidRDefault="00B21AC9" w:rsidP="007A42A1">
      <w:pPr>
        <w:pStyle w:val="FootnoteText"/>
        <w:ind w:left="567" w:hanging="567"/>
        <w:rPr>
          <w:sz w:val="24"/>
          <w:lang w:val="mt-MT"/>
        </w:rPr>
      </w:pPr>
      <w:r w:rsidRPr="007A42A1">
        <w:rPr>
          <w:rStyle w:val="FootnoteReference"/>
          <w:sz w:val="24"/>
          <w:lang w:val="mt-MT"/>
        </w:rPr>
        <w:footnoteRef/>
      </w:r>
      <w:r w:rsidR="007A42A1" w:rsidRPr="007A42A1">
        <w:rPr>
          <w:sz w:val="24"/>
          <w:lang w:val="mt-MT"/>
        </w:rPr>
        <w:t xml:space="preserve"> </w:t>
      </w:r>
      <w:r w:rsidR="007A42A1" w:rsidRPr="007A42A1">
        <w:rPr>
          <w:sz w:val="24"/>
          <w:lang w:val="mt-MT"/>
        </w:rPr>
        <w:tab/>
      </w:r>
      <w:r w:rsidRPr="007A42A1">
        <w:rPr>
          <w:sz w:val="24"/>
          <w:lang w:val="mt-MT"/>
        </w:rPr>
        <w:t xml:space="preserve">Is-sentenza tal-QEDB tat-12 ta’ Jannar 2016, </w:t>
      </w:r>
      <w:proofErr w:type="spellStart"/>
      <w:r w:rsidRPr="007A42A1">
        <w:rPr>
          <w:i/>
          <w:sz w:val="24"/>
          <w:lang w:val="mt-MT"/>
        </w:rPr>
        <w:t>Szabó</w:t>
      </w:r>
      <w:proofErr w:type="spellEnd"/>
      <w:r w:rsidRPr="007A42A1">
        <w:rPr>
          <w:i/>
          <w:sz w:val="24"/>
          <w:lang w:val="mt-MT"/>
        </w:rPr>
        <w:t xml:space="preserve"> u </w:t>
      </w:r>
      <w:proofErr w:type="spellStart"/>
      <w:r w:rsidRPr="007A42A1">
        <w:rPr>
          <w:i/>
          <w:sz w:val="24"/>
          <w:lang w:val="mt-MT"/>
        </w:rPr>
        <w:t>Vissy</w:t>
      </w:r>
      <w:proofErr w:type="spellEnd"/>
      <w:r w:rsidRPr="007A42A1">
        <w:rPr>
          <w:i/>
          <w:sz w:val="24"/>
          <w:lang w:val="mt-MT"/>
        </w:rPr>
        <w:t xml:space="preserve"> </w:t>
      </w:r>
      <w:proofErr w:type="spellStart"/>
      <w:r w:rsidRPr="007A42A1">
        <w:rPr>
          <w:i/>
          <w:iCs/>
          <w:sz w:val="24"/>
          <w:lang w:val="mt-MT"/>
        </w:rPr>
        <w:t>vs</w:t>
      </w:r>
      <w:proofErr w:type="spellEnd"/>
      <w:r w:rsidRPr="007A42A1">
        <w:rPr>
          <w:i/>
          <w:sz w:val="24"/>
          <w:lang w:val="mt-MT"/>
        </w:rPr>
        <w:t xml:space="preserve"> l-Ungerija</w:t>
      </w:r>
      <w:r w:rsidRPr="007A42A1">
        <w:rPr>
          <w:sz w:val="24"/>
          <w:lang w:val="mt-MT"/>
        </w:rPr>
        <w:t>, 37148/14, li saret finali fis-6 ta’ Ġunju 2016.</w:t>
      </w:r>
    </w:p>
  </w:footnote>
  <w:footnote w:id="9">
    <w:p w:rsidR="00B21AC9" w:rsidRPr="007A42A1" w:rsidRDefault="00B21AC9" w:rsidP="007A42A1">
      <w:pPr>
        <w:pStyle w:val="FootnoteText"/>
        <w:ind w:left="567" w:hanging="567"/>
        <w:rPr>
          <w:sz w:val="24"/>
          <w:lang w:val="mt-MT"/>
        </w:rPr>
      </w:pPr>
      <w:r w:rsidRPr="007A42A1">
        <w:rPr>
          <w:rStyle w:val="FootnoteReference"/>
          <w:sz w:val="24"/>
          <w:lang w:val="mt-MT"/>
        </w:rPr>
        <w:footnoteRef/>
      </w:r>
      <w:r w:rsidR="007A42A1" w:rsidRPr="007A42A1">
        <w:rPr>
          <w:sz w:val="24"/>
          <w:lang w:val="mt-MT"/>
        </w:rPr>
        <w:t xml:space="preserve"> </w:t>
      </w:r>
      <w:r w:rsidR="007A42A1" w:rsidRPr="007A42A1">
        <w:rPr>
          <w:sz w:val="24"/>
          <w:lang w:val="mt-MT"/>
        </w:rPr>
        <w:tab/>
      </w:r>
      <w:r w:rsidRPr="007A42A1">
        <w:rPr>
          <w:sz w:val="24"/>
          <w:lang w:val="mt-MT"/>
        </w:rPr>
        <w:t xml:space="preserve">Is-sentenza tal-QEDB tas-16 ta’ Lulju 2016, </w:t>
      </w:r>
      <w:proofErr w:type="spellStart"/>
      <w:r w:rsidRPr="007A42A1">
        <w:rPr>
          <w:i/>
          <w:sz w:val="24"/>
          <w:lang w:val="mt-MT"/>
        </w:rPr>
        <w:t>Gazsó</w:t>
      </w:r>
      <w:proofErr w:type="spellEnd"/>
      <w:r w:rsidRPr="007A42A1">
        <w:rPr>
          <w:i/>
          <w:iCs/>
          <w:sz w:val="24"/>
          <w:lang w:val="mt-MT"/>
        </w:rPr>
        <w:t xml:space="preserve"> </w:t>
      </w:r>
      <w:proofErr w:type="spellStart"/>
      <w:r w:rsidRPr="007A42A1">
        <w:rPr>
          <w:i/>
          <w:iCs/>
          <w:sz w:val="24"/>
          <w:lang w:val="mt-MT"/>
        </w:rPr>
        <w:t>vs</w:t>
      </w:r>
      <w:proofErr w:type="spellEnd"/>
      <w:r w:rsidRPr="007A42A1">
        <w:rPr>
          <w:i/>
          <w:iCs/>
          <w:sz w:val="24"/>
          <w:lang w:val="mt-MT"/>
        </w:rPr>
        <w:t xml:space="preserve"> l-</w:t>
      </w:r>
      <w:r w:rsidRPr="007A42A1">
        <w:rPr>
          <w:i/>
          <w:sz w:val="24"/>
          <w:lang w:val="mt-MT"/>
        </w:rPr>
        <w:t>Ungerija</w:t>
      </w:r>
      <w:r w:rsidRPr="007A42A1">
        <w:rPr>
          <w:sz w:val="24"/>
          <w:lang w:val="mt-MT"/>
        </w:rPr>
        <w:t>, 48322/12, li saret finali fis-16 ta’ Ottubru 2015.</w:t>
      </w:r>
    </w:p>
  </w:footnote>
  <w:footnote w:id="10">
    <w:p w:rsidR="00B21AC9" w:rsidRPr="007A42A1" w:rsidRDefault="00B21AC9" w:rsidP="007A42A1">
      <w:pPr>
        <w:pStyle w:val="FootnoteText"/>
        <w:ind w:left="567" w:hanging="567"/>
        <w:rPr>
          <w:sz w:val="24"/>
          <w:lang w:val="mt-MT"/>
        </w:rPr>
      </w:pPr>
      <w:r w:rsidRPr="007A42A1">
        <w:rPr>
          <w:rStyle w:val="FootnoteReference"/>
          <w:sz w:val="24"/>
          <w:lang w:val="mt-MT"/>
        </w:rPr>
        <w:footnoteRef/>
      </w:r>
      <w:r w:rsidR="007A42A1" w:rsidRPr="007A42A1">
        <w:rPr>
          <w:sz w:val="24"/>
          <w:lang w:val="mt-MT"/>
        </w:rPr>
        <w:t xml:space="preserve"> </w:t>
      </w:r>
      <w:r w:rsidR="007A42A1" w:rsidRPr="007A42A1">
        <w:rPr>
          <w:sz w:val="24"/>
          <w:lang w:val="mt-MT"/>
        </w:rPr>
        <w:tab/>
      </w:r>
      <w:r w:rsidRPr="007A42A1">
        <w:rPr>
          <w:sz w:val="24"/>
          <w:lang w:val="mt-MT"/>
        </w:rPr>
        <w:t xml:space="preserve">Is-sentenza tal-QEDB tal-14 ta’ Marzu 2017, </w:t>
      </w:r>
      <w:proofErr w:type="spellStart"/>
      <w:r w:rsidRPr="007A42A1">
        <w:rPr>
          <w:i/>
          <w:sz w:val="24"/>
          <w:lang w:val="mt-MT"/>
        </w:rPr>
        <w:t>Il</w:t>
      </w:r>
      <w:r w:rsidRPr="007A42A1">
        <w:rPr>
          <w:i/>
          <w:iCs/>
          <w:sz w:val="24"/>
          <w:lang w:val="mt-MT"/>
        </w:rPr>
        <w:t>ias</w:t>
      </w:r>
      <w:proofErr w:type="spellEnd"/>
      <w:r w:rsidRPr="007A42A1">
        <w:rPr>
          <w:i/>
          <w:iCs/>
          <w:sz w:val="24"/>
          <w:lang w:val="mt-MT"/>
        </w:rPr>
        <w:t xml:space="preserve"> u Ahmed </w:t>
      </w:r>
      <w:proofErr w:type="spellStart"/>
      <w:r w:rsidRPr="007A42A1">
        <w:rPr>
          <w:i/>
          <w:iCs/>
          <w:sz w:val="24"/>
          <w:lang w:val="mt-MT"/>
        </w:rPr>
        <w:t>vs</w:t>
      </w:r>
      <w:proofErr w:type="spellEnd"/>
      <w:r w:rsidRPr="007A42A1">
        <w:rPr>
          <w:i/>
          <w:iCs/>
          <w:sz w:val="24"/>
          <w:lang w:val="mt-MT"/>
        </w:rPr>
        <w:t xml:space="preserve"> l-Un</w:t>
      </w:r>
      <w:r w:rsidRPr="007A42A1">
        <w:rPr>
          <w:i/>
          <w:sz w:val="24"/>
          <w:lang w:val="mt-MT"/>
        </w:rPr>
        <w:t>gerija</w:t>
      </w:r>
      <w:r w:rsidRPr="007A42A1">
        <w:rPr>
          <w:sz w:val="24"/>
          <w:lang w:val="mt-MT"/>
        </w:rPr>
        <w:t>, 47287/15.</w:t>
      </w:r>
    </w:p>
  </w:footnote>
  <w:footnote w:id="11">
    <w:p w:rsidR="00B21AC9" w:rsidRPr="007A42A1" w:rsidRDefault="00B21AC9" w:rsidP="007A42A1">
      <w:pPr>
        <w:pStyle w:val="FootnoteText"/>
        <w:ind w:left="567" w:hanging="567"/>
        <w:rPr>
          <w:sz w:val="24"/>
          <w:lang w:val="mt-MT"/>
        </w:rPr>
      </w:pPr>
      <w:r w:rsidRPr="007A42A1">
        <w:rPr>
          <w:rStyle w:val="FootnoteReference"/>
          <w:sz w:val="24"/>
          <w:lang w:val="mt-MT"/>
        </w:rPr>
        <w:footnoteRef/>
      </w:r>
      <w:r w:rsidR="007A42A1" w:rsidRPr="007A42A1">
        <w:rPr>
          <w:sz w:val="24"/>
          <w:lang w:val="mt-MT"/>
        </w:rPr>
        <w:t xml:space="preserve"> </w:t>
      </w:r>
      <w:r w:rsidR="007A42A1" w:rsidRPr="007A42A1">
        <w:rPr>
          <w:sz w:val="24"/>
          <w:lang w:val="mt-MT"/>
        </w:rPr>
        <w:tab/>
      </w:r>
      <w:r w:rsidRPr="007A42A1">
        <w:rPr>
          <w:sz w:val="24"/>
          <w:lang w:val="mt-MT"/>
        </w:rPr>
        <w:t xml:space="preserve">Is-sentenza tal-QEDB tat-23 ta’ Ġunju 2016, </w:t>
      </w:r>
      <w:proofErr w:type="spellStart"/>
      <w:r w:rsidRPr="007A42A1">
        <w:rPr>
          <w:i/>
          <w:sz w:val="24"/>
          <w:lang w:val="mt-MT"/>
        </w:rPr>
        <w:t>Baka</w:t>
      </w:r>
      <w:proofErr w:type="spellEnd"/>
      <w:r w:rsidRPr="007A42A1">
        <w:rPr>
          <w:i/>
          <w:iCs/>
          <w:sz w:val="24"/>
          <w:lang w:val="mt-MT"/>
        </w:rPr>
        <w:t xml:space="preserve"> </w:t>
      </w:r>
      <w:proofErr w:type="spellStart"/>
      <w:r w:rsidRPr="007A42A1">
        <w:rPr>
          <w:i/>
          <w:iCs/>
          <w:sz w:val="24"/>
          <w:lang w:val="mt-MT"/>
        </w:rPr>
        <w:t>vs</w:t>
      </w:r>
      <w:proofErr w:type="spellEnd"/>
      <w:r w:rsidRPr="007A42A1">
        <w:rPr>
          <w:sz w:val="24"/>
          <w:lang w:val="mt-MT"/>
        </w:rPr>
        <w:t xml:space="preserve"> </w:t>
      </w:r>
      <w:r w:rsidRPr="007A42A1">
        <w:rPr>
          <w:i/>
          <w:sz w:val="24"/>
          <w:lang w:val="mt-MT"/>
        </w:rPr>
        <w:t>l-Ungerija</w:t>
      </w:r>
      <w:r w:rsidRPr="007A42A1">
        <w:rPr>
          <w:sz w:val="24"/>
          <w:lang w:val="mt-MT"/>
        </w:rPr>
        <w:t>, 20261/12.</w:t>
      </w:r>
    </w:p>
  </w:footnote>
  <w:footnote w:id="12">
    <w:p w:rsidR="00B21AC9" w:rsidRPr="007A42A1" w:rsidRDefault="00B21AC9" w:rsidP="007A42A1">
      <w:pPr>
        <w:pStyle w:val="FootnoteText"/>
        <w:ind w:left="567" w:hanging="567"/>
        <w:rPr>
          <w:sz w:val="24"/>
          <w:lang w:val="mt-MT"/>
        </w:rPr>
      </w:pPr>
      <w:r w:rsidRPr="007A42A1">
        <w:rPr>
          <w:rStyle w:val="FootnoteReference"/>
          <w:sz w:val="24"/>
          <w:lang w:val="mt-MT"/>
        </w:rPr>
        <w:footnoteRef/>
      </w:r>
      <w:r w:rsidR="007A42A1" w:rsidRPr="007A42A1">
        <w:rPr>
          <w:sz w:val="24"/>
          <w:shd w:val="clear" w:color="auto" w:fill="FFFFFF"/>
          <w:lang w:val="mt-MT"/>
        </w:rPr>
        <w:t xml:space="preserve"> </w:t>
      </w:r>
      <w:r w:rsidR="007A42A1" w:rsidRPr="007A42A1">
        <w:rPr>
          <w:sz w:val="24"/>
          <w:shd w:val="clear" w:color="auto" w:fill="FFFFFF"/>
          <w:lang w:val="mt-MT"/>
        </w:rPr>
        <w:tab/>
      </w:r>
      <w:r w:rsidRPr="007A42A1">
        <w:rPr>
          <w:sz w:val="24"/>
          <w:shd w:val="clear" w:color="auto" w:fill="FFFFFF"/>
          <w:lang w:val="mt-MT"/>
        </w:rPr>
        <w:t xml:space="preserve">Ir-Regolament (UE) 2021/1060 tal-Parlament Ewropew u tal-Kunsill tal-24 ta’ Ġunju 2021 li jistipula dispożizzjonijiet komuni dwar il-Fond Ewropew għall-Iżvilupp Reġjonali, il-Fond Soċjali Ewropew </w:t>
      </w:r>
      <w:proofErr w:type="spellStart"/>
      <w:r w:rsidRPr="007A42A1">
        <w:rPr>
          <w:sz w:val="24"/>
          <w:shd w:val="clear" w:color="auto" w:fill="FFFFFF"/>
          <w:lang w:val="mt-MT"/>
        </w:rPr>
        <w:t>Plus</w:t>
      </w:r>
      <w:proofErr w:type="spellEnd"/>
      <w:r w:rsidRPr="007A42A1">
        <w:rPr>
          <w:sz w:val="24"/>
          <w:shd w:val="clear" w:color="auto" w:fill="FFFFFF"/>
          <w:lang w:val="mt-MT"/>
        </w:rPr>
        <w:t>, il-Fond ta’ Koeżjoni, il-Fond għal Tranżizzjoni Ġusta u l-Fond Ewropew għall-Affarijiet Marittimi, is-Sajd u l-</w:t>
      </w:r>
      <w:proofErr w:type="spellStart"/>
      <w:r w:rsidRPr="007A42A1">
        <w:rPr>
          <w:sz w:val="24"/>
          <w:shd w:val="clear" w:color="auto" w:fill="FFFFFF"/>
          <w:lang w:val="mt-MT"/>
        </w:rPr>
        <w:t>Akkwakultura</w:t>
      </w:r>
      <w:proofErr w:type="spellEnd"/>
      <w:r w:rsidRPr="007A42A1">
        <w:rPr>
          <w:sz w:val="24"/>
          <w:shd w:val="clear" w:color="auto" w:fill="FFFFFF"/>
          <w:lang w:val="mt-MT"/>
        </w:rPr>
        <w:t xml:space="preserve"> u r-regoli finanzjarji għalihom u għall-Fond </w:t>
      </w:r>
      <w:proofErr w:type="spellStart"/>
      <w:r w:rsidRPr="007A42A1">
        <w:rPr>
          <w:sz w:val="24"/>
          <w:shd w:val="clear" w:color="auto" w:fill="FFFFFF"/>
          <w:lang w:val="mt-MT"/>
        </w:rPr>
        <w:t>għall-Ażil</w:t>
      </w:r>
      <w:proofErr w:type="spellEnd"/>
      <w:r w:rsidRPr="007A42A1">
        <w:rPr>
          <w:sz w:val="24"/>
          <w:shd w:val="clear" w:color="auto" w:fill="FFFFFF"/>
          <w:lang w:val="mt-MT"/>
        </w:rPr>
        <w:t>, il-Migrazzjoni u l-Integrazzjoni, il-Fond għas-Sigurtà Interna u l-Istrument għall-Appoġġ Finanzjarju għall-Ġestjoni tal-Fruntieri u l-Politika dwar il-</w:t>
      </w:r>
      <w:proofErr w:type="spellStart"/>
      <w:r w:rsidRPr="007A42A1">
        <w:rPr>
          <w:sz w:val="24"/>
          <w:shd w:val="clear" w:color="auto" w:fill="FFFFFF"/>
          <w:lang w:val="mt-MT"/>
        </w:rPr>
        <w:t>Viżi</w:t>
      </w:r>
      <w:proofErr w:type="spellEnd"/>
      <w:r w:rsidRPr="007A42A1">
        <w:rPr>
          <w:sz w:val="24"/>
          <w:shd w:val="clear" w:color="auto" w:fill="FFFFFF"/>
          <w:lang w:val="mt-MT"/>
        </w:rPr>
        <w:t xml:space="preserve">, </w:t>
      </w:r>
      <w:r w:rsidRPr="007A42A1">
        <w:rPr>
          <w:rStyle w:val="Emphasis"/>
          <w:sz w:val="24"/>
          <w:shd w:val="clear" w:color="auto" w:fill="FFFFFF"/>
          <w:lang w:val="mt-MT"/>
        </w:rPr>
        <w:t>ĠU L 231, 30.6.2021, p. 159.</w:t>
      </w:r>
    </w:p>
  </w:footnote>
  <w:footnote w:id="13">
    <w:p w:rsidR="00B21AC9" w:rsidRPr="007A42A1" w:rsidRDefault="00B21AC9" w:rsidP="007A42A1">
      <w:pPr>
        <w:pStyle w:val="title-bold"/>
        <w:shd w:val="clear" w:color="auto" w:fill="FFFFFF"/>
        <w:spacing w:before="0" w:beforeAutospacing="0" w:after="75" w:afterAutospacing="0"/>
        <w:ind w:left="567" w:hanging="567"/>
        <w:rPr>
          <w:bCs/>
          <w:szCs w:val="20"/>
          <w:vertAlign w:val="superscript"/>
        </w:rPr>
      </w:pPr>
      <w:r w:rsidRPr="007A42A1">
        <w:rPr>
          <w:rStyle w:val="FootnoteReference"/>
          <w:szCs w:val="20"/>
        </w:rPr>
        <w:footnoteRef/>
      </w:r>
      <w:r w:rsidR="007A42A1" w:rsidRPr="007A42A1">
        <w:t xml:space="preserve"> </w:t>
      </w:r>
      <w:r w:rsidR="007A42A1" w:rsidRPr="007A42A1">
        <w:tab/>
      </w:r>
      <w:r w:rsidRPr="007A42A1">
        <w:t>Ir-Regolament (UE) 2021/241 tal-Parlament Ewropew u tal-Kunsill tat-12 ta’ Frar 2021 li jistabbilixxi l-</w:t>
      </w:r>
      <w:proofErr w:type="spellStart"/>
      <w:r w:rsidRPr="007A42A1">
        <w:t>Faċilità</w:t>
      </w:r>
      <w:proofErr w:type="spellEnd"/>
      <w:r w:rsidRPr="007A42A1">
        <w:t xml:space="preserve"> għall-Irkupru u r-</w:t>
      </w:r>
      <w:proofErr w:type="spellStart"/>
      <w:r w:rsidRPr="007A42A1">
        <w:t>Reżiljenza</w:t>
      </w:r>
      <w:proofErr w:type="spellEnd"/>
      <w:r w:rsidRPr="007A42A1">
        <w:t xml:space="preserve">, </w:t>
      </w:r>
      <w:r w:rsidRPr="007A42A1">
        <w:rPr>
          <w:rStyle w:val="Emphasis"/>
        </w:rPr>
        <w:t xml:space="preserve"> ĠU L 57, 18.2.2021, p. 17.</w:t>
      </w:r>
    </w:p>
    <w:p w:rsidR="00B21AC9" w:rsidRPr="007A42A1" w:rsidRDefault="007A42A1" w:rsidP="007A42A1">
      <w:pPr>
        <w:pStyle w:val="FootnoteText"/>
        <w:ind w:left="567" w:hanging="567"/>
        <w:rPr>
          <w:sz w:val="24"/>
          <w:lang w:val="mt-MT"/>
        </w:rPr>
      </w:pPr>
      <w:r w:rsidRPr="007A42A1">
        <w:rPr>
          <w:sz w:val="24"/>
          <w:lang w:val="mt-MT"/>
        </w:rPr>
        <w:t xml:space="preserve"> </w:t>
      </w:r>
      <w:r w:rsidRPr="007A42A1">
        <w:rPr>
          <w:sz w:val="24"/>
          <w:lang w:val="mt-MT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42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42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42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3/2024"/>
    <w:docVar w:name="dvlangue" w:val="MT"/>
    <w:docVar w:name="dvnumam" w:val="0"/>
    <w:docVar w:name="dvpe" w:val="760.687"/>
    <w:docVar w:name="dvtitre" w:val="Riżoluzzjoni tal-Parlament Ewropew tal-24 ta' April 2024 dwar is-seduti li għadhom għaddejjin skont l-Artikolu 7(1) tat-TUE rigward l-Ungerija biex jissaħħaħ l-istat tad-dritt u l-implikazzjonijiet baġitarji tiegħu (2024/2683(RSP))"/>
  </w:docVars>
  <w:rsids>
    <w:rsidRoot w:val="00E26652"/>
    <w:rsid w:val="00002272"/>
    <w:rsid w:val="00007C5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518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AAF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42A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AC9"/>
    <w:rsid w:val="00B22876"/>
    <w:rsid w:val="00B558F0"/>
    <w:rsid w:val="00BD48FE"/>
    <w:rsid w:val="00BD7BD8"/>
    <w:rsid w:val="00BE2D60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6652"/>
    <w:rsid w:val="00E365E1"/>
    <w:rsid w:val="00E820A4"/>
    <w:rsid w:val="00EB006A"/>
    <w:rsid w:val="00EB4772"/>
    <w:rsid w:val="00ED169E"/>
    <w:rsid w:val="00ED4235"/>
    <w:rsid w:val="00EE788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9ABD7"/>
  <w15:chartTrackingRefBased/>
  <w15:docId w15:val="{13C88275-2EF4-4B8D-B2E4-BAA54F7F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21AC9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B21AC9"/>
    <w:rPr>
      <w:i/>
      <w:iCs/>
    </w:rPr>
  </w:style>
  <w:style w:type="character" w:styleId="Hyperlink">
    <w:name w:val="Hyperlink"/>
    <w:basedOn w:val="DefaultParagraphFont"/>
    <w:uiPriority w:val="99"/>
    <w:unhideWhenUsed/>
    <w:rsid w:val="00B21AC9"/>
    <w:rPr>
      <w:color w:val="0000FF"/>
      <w:u w:val="single"/>
    </w:rPr>
  </w:style>
  <w:style w:type="character" w:customStyle="1" w:styleId="textcolumn">
    <w:name w:val="textcolumn"/>
    <w:basedOn w:val="DefaultParagraphFont"/>
    <w:rsid w:val="00B21AC9"/>
  </w:style>
  <w:style w:type="paragraph" w:customStyle="1" w:styleId="title-bold">
    <w:name w:val="title-bold"/>
    <w:basedOn w:val="Normal"/>
    <w:rsid w:val="00B21AC9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rsid w:val="003151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5186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hudoc.echr.coe.int/e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udoc.echr.coe.int/en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128A0-DB9A-47EE-9996-79BA96432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3853</Words>
  <Characters>29841</Characters>
  <Application>Microsoft Office Word</Application>
  <DocSecurity>0</DocSecurity>
  <Lines>248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MAGRO Josefa Maria</cp:lastModifiedBy>
  <cp:revision>2</cp:revision>
  <cp:lastPrinted>2004-11-19T15:42:00Z</cp:lastPrinted>
  <dcterms:created xsi:type="dcterms:W3CDTF">2024-06-12T14:08:00Z</dcterms:created>
  <dcterms:modified xsi:type="dcterms:W3CDTF">2024-06-12T14:08:00Z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B9-0223/2024</vt:lpwstr>
  </property>
  <property fmtid="{D5CDD505-2E9C-101B-9397-08002B2CF9AE}" pid="4" name="&lt;Type&gt;">
    <vt:lpwstr>RR</vt:lpwstr>
  </property>
</Properties>
</file>