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71EF" w:rsidTr="0010095E">
        <w:trPr>
          <w:trHeight w:hRule="exact" w:val="1418"/>
        </w:trPr>
        <w:tc>
          <w:tcPr>
            <w:tcW w:w="6804" w:type="dxa"/>
            <w:shd w:val="clear" w:color="auto" w:fill="auto"/>
            <w:vAlign w:val="center"/>
          </w:tcPr>
          <w:p w:rsidR="00751A4A" w:rsidRPr="007871EF" w:rsidRDefault="00091B7E" w:rsidP="0010095E">
            <w:pPr>
              <w:pStyle w:val="EPName"/>
            </w:pPr>
            <w:r w:rsidRPr="007871EF">
              <w:t>Europees Parlement</w:t>
            </w:r>
          </w:p>
          <w:p w:rsidR="00751A4A" w:rsidRPr="007871EF" w:rsidRDefault="00817416" w:rsidP="00756632">
            <w:pPr>
              <w:pStyle w:val="EPTerm"/>
              <w:rPr>
                <w:rStyle w:val="HideTWBExt"/>
                <w:noProof w:val="0"/>
                <w:vanish w:val="0"/>
                <w:color w:val="auto"/>
              </w:rPr>
            </w:pPr>
            <w:r w:rsidRPr="007871EF">
              <w:t>2019-2024</w:t>
            </w:r>
          </w:p>
        </w:tc>
        <w:tc>
          <w:tcPr>
            <w:tcW w:w="2268" w:type="dxa"/>
            <w:shd w:val="clear" w:color="auto" w:fill="auto"/>
          </w:tcPr>
          <w:p w:rsidR="00751A4A" w:rsidRPr="007871EF" w:rsidRDefault="00187494" w:rsidP="0010095E">
            <w:pPr>
              <w:pStyle w:val="EPLogo"/>
            </w:pPr>
            <w:r w:rsidRPr="007871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71EF" w:rsidRDefault="00D058B8" w:rsidP="004C5D52">
      <w:pPr>
        <w:pStyle w:val="LineTop"/>
      </w:pPr>
    </w:p>
    <w:p w:rsidR="00680577" w:rsidRPr="007871EF" w:rsidRDefault="00091B7E" w:rsidP="00680577">
      <w:pPr>
        <w:pStyle w:val="EPBodyTA1"/>
      </w:pPr>
      <w:r w:rsidRPr="007871EF">
        <w:t>AANGENOMEN TEKSTEN</w:t>
      </w:r>
    </w:p>
    <w:p w:rsidR="00D058B8" w:rsidRPr="007871EF" w:rsidRDefault="00D058B8" w:rsidP="00D058B8">
      <w:pPr>
        <w:pStyle w:val="LineBottom"/>
      </w:pPr>
    </w:p>
    <w:p w:rsidR="00091B7E" w:rsidRPr="007871EF" w:rsidRDefault="00091B7E" w:rsidP="00091B7E">
      <w:pPr>
        <w:pStyle w:val="ATHeading1"/>
      </w:pPr>
      <w:bookmarkStart w:id="0" w:name="TANumber"/>
      <w:r w:rsidRPr="007871EF">
        <w:t>P9_</w:t>
      </w:r>
      <w:proofErr w:type="gramStart"/>
      <w:r w:rsidRPr="007871EF">
        <w:t>TA(</w:t>
      </w:r>
      <w:proofErr w:type="gramEnd"/>
      <w:r w:rsidRPr="007871EF">
        <w:t>2024)</w:t>
      </w:r>
      <w:bookmarkEnd w:id="0"/>
      <w:r w:rsidR="008A57D2" w:rsidRPr="007871EF">
        <w:t>0367</w:t>
      </w:r>
    </w:p>
    <w:p w:rsidR="00091B7E" w:rsidRPr="007871EF" w:rsidRDefault="00091B7E" w:rsidP="00091B7E">
      <w:pPr>
        <w:pStyle w:val="ATHeading2"/>
      </w:pPr>
      <w:bookmarkStart w:id="1" w:name="title"/>
      <w:r w:rsidRPr="007871EF">
        <w:t>Lopende hoorzittingen in het kader van artikel 7, lid 1, VEU over Hongarije om de rechtstaat te versterken en de budgettaire gevolgen daarvan</w:t>
      </w:r>
      <w:bookmarkEnd w:id="1"/>
    </w:p>
    <w:p w:rsidR="00091B7E" w:rsidRPr="007871EF" w:rsidRDefault="00091B7E" w:rsidP="00091B7E">
      <w:pPr>
        <w:rPr>
          <w:i/>
          <w:vanish/>
        </w:rPr>
      </w:pPr>
      <w:r w:rsidRPr="007871EF">
        <w:rPr>
          <w:i/>
        </w:rPr>
        <w:fldChar w:fldCharType="begin"/>
      </w:r>
      <w:r w:rsidRPr="007871EF">
        <w:rPr>
          <w:i/>
        </w:rPr>
        <w:instrText xml:space="preserve"> TC"(</w:instrText>
      </w:r>
      <w:bookmarkStart w:id="2" w:name="DocNumber"/>
      <w:r w:rsidRPr="007871EF">
        <w:rPr>
          <w:i/>
        </w:rPr>
        <w:instrText>B9-0223/2024</w:instrText>
      </w:r>
      <w:bookmarkEnd w:id="2"/>
      <w:r w:rsidRPr="007871EF">
        <w:rPr>
          <w:i/>
        </w:rPr>
        <w:instrText xml:space="preserve">)"\l3 \n&gt; \* MERGEFORMAT </w:instrText>
      </w:r>
      <w:r w:rsidRPr="007871EF">
        <w:rPr>
          <w:i/>
        </w:rPr>
        <w:fldChar w:fldCharType="end"/>
      </w:r>
    </w:p>
    <w:p w:rsidR="00091B7E" w:rsidRPr="007871EF" w:rsidRDefault="00091B7E" w:rsidP="00091B7E">
      <w:pPr>
        <w:rPr>
          <w:vanish/>
        </w:rPr>
      </w:pPr>
      <w:bookmarkStart w:id="3" w:name="PE"/>
      <w:r w:rsidRPr="007871EF">
        <w:rPr>
          <w:vanish/>
        </w:rPr>
        <w:t>PE760.687</w:t>
      </w:r>
      <w:bookmarkEnd w:id="3"/>
    </w:p>
    <w:p w:rsidR="00091B7E" w:rsidRPr="007871EF" w:rsidRDefault="00091B7E" w:rsidP="00091B7E">
      <w:pPr>
        <w:pStyle w:val="ATHeading3"/>
      </w:pPr>
      <w:bookmarkStart w:id="4" w:name="Sujet"/>
      <w:r w:rsidRPr="007871EF">
        <w:t xml:space="preserve">Resolutie van het Europees Parlement van </w:t>
      </w:r>
      <w:r w:rsidR="008A67EB" w:rsidRPr="007871EF">
        <w:t xml:space="preserve">24 </w:t>
      </w:r>
      <w:r w:rsidRPr="007871EF">
        <w:t>april 2024 over de lopende hoorzittingen in het kader van artikel 7, lid 1, VEU over Hongarije om de rechtstaat te versterken en de budgettaire gevolgen daarvan</w:t>
      </w:r>
      <w:bookmarkEnd w:id="4"/>
      <w:r w:rsidRPr="007871EF">
        <w:t xml:space="preserve"> </w:t>
      </w:r>
      <w:bookmarkStart w:id="5" w:name="References"/>
      <w:r w:rsidRPr="007871EF">
        <w:t>(2024/2683(RSP))</w:t>
      </w:r>
      <w:bookmarkEnd w:id="5"/>
    </w:p>
    <w:p w:rsidR="00091B7E" w:rsidRPr="007871EF" w:rsidRDefault="00091B7E" w:rsidP="00091B7E"/>
    <w:p w:rsidR="00853512" w:rsidRPr="007871EF" w:rsidRDefault="00853512" w:rsidP="00853512">
      <w:pPr>
        <w:pStyle w:val="NormalHanging12a"/>
      </w:pPr>
      <w:bookmarkStart w:id="6" w:name="TextBodyBegin"/>
      <w:bookmarkEnd w:id="6"/>
      <w:r w:rsidRPr="007871EF">
        <w:rPr>
          <w:i/>
          <w:iCs/>
        </w:rPr>
        <w:t>Het Europees Parlement</w:t>
      </w:r>
      <w:r w:rsidRPr="007871EF">
        <w:t>,</w:t>
      </w:r>
    </w:p>
    <w:p w:rsidR="00853512" w:rsidRPr="007871EF" w:rsidRDefault="00853512" w:rsidP="00853512">
      <w:pPr>
        <w:pStyle w:val="NormalHanging12a"/>
        <w:rPr>
          <w:szCs w:val="24"/>
        </w:rPr>
      </w:pPr>
      <w:r w:rsidRPr="007871EF">
        <w:t>–</w:t>
      </w:r>
      <w:r w:rsidRPr="007871EF">
        <w:tab/>
        <w:t>gezien het Verdrag betreffende de Europese Unie (VEU), en met name artikel 2, artikel 4, lid 3, en artikel 7, lid 1,</w:t>
      </w:r>
    </w:p>
    <w:p w:rsidR="00853512" w:rsidRPr="007871EF" w:rsidRDefault="00853512" w:rsidP="00853512">
      <w:pPr>
        <w:pStyle w:val="NormalHanging12a"/>
        <w:rPr>
          <w:szCs w:val="24"/>
        </w:rPr>
      </w:pPr>
      <w:r w:rsidRPr="007871EF">
        <w:t>–</w:t>
      </w:r>
      <w:r w:rsidRPr="007871EF">
        <w:tab/>
        <w:t>gezien het Handvest van de grondrechten van de Europese Unie (hierna het “Handvest” genoemd),</w:t>
      </w:r>
    </w:p>
    <w:p w:rsidR="00853512" w:rsidRPr="007871EF" w:rsidRDefault="00853512" w:rsidP="00853512">
      <w:pPr>
        <w:pStyle w:val="NormalHanging12a"/>
        <w:rPr>
          <w:szCs w:val="24"/>
        </w:rPr>
      </w:pPr>
      <w:r w:rsidRPr="007871EF">
        <w:t>–</w:t>
      </w:r>
      <w:r w:rsidRPr="007871EF">
        <w:tab/>
        <w:t>gezien het Europees Verdrag tot bescherming van de rechten van de mens en de protocollen daarbij,</w:t>
      </w:r>
    </w:p>
    <w:p w:rsidR="00853512" w:rsidRPr="007871EF" w:rsidRDefault="00853512" w:rsidP="00853512">
      <w:pPr>
        <w:pStyle w:val="NormalHanging12a"/>
        <w:rPr>
          <w:szCs w:val="24"/>
        </w:rPr>
      </w:pPr>
      <w:r w:rsidRPr="007871EF">
        <w:t>–</w:t>
      </w:r>
      <w:r w:rsidRPr="007871EF">
        <w:tab/>
        <w:t>gezien de Universele Verklaring van de rechten van de mens,</w:t>
      </w:r>
    </w:p>
    <w:p w:rsidR="00853512" w:rsidRPr="007871EF" w:rsidRDefault="00853512" w:rsidP="00853512">
      <w:pPr>
        <w:pStyle w:val="NormalHanging12a"/>
        <w:rPr>
          <w:szCs w:val="24"/>
        </w:rPr>
      </w:pPr>
      <w:r w:rsidRPr="007871EF">
        <w:t>–</w:t>
      </w:r>
      <w:r w:rsidRPr="007871EF">
        <w:tab/>
        <w:t>gezien de internationale mensenrechtenverdragen van de Verenigde Naties en de Raad van Europa,</w:t>
      </w:r>
    </w:p>
    <w:p w:rsidR="00853512" w:rsidRPr="007871EF" w:rsidRDefault="00853512" w:rsidP="00853512">
      <w:pPr>
        <w:pStyle w:val="NormalHanging12a"/>
        <w:rPr>
          <w:szCs w:val="24"/>
        </w:rPr>
      </w:pPr>
      <w:r w:rsidRPr="007871EF">
        <w:t>–</w:t>
      </w:r>
      <w:r w:rsidRPr="007871EF">
        <w:tab/>
        <w:t>gezien de lijst met criteria voor de rechtsstaat die door de Commissie van Venetië is goedgekeurd tijdens haar 106e plenaire vergadering te Venetië op 11 en 12 maart 2016,</w:t>
      </w:r>
    </w:p>
    <w:p w:rsidR="00853512" w:rsidRPr="007871EF" w:rsidRDefault="00853512" w:rsidP="00853512">
      <w:pPr>
        <w:pStyle w:val="NormalHanging12a"/>
        <w:rPr>
          <w:szCs w:val="24"/>
        </w:rPr>
      </w:pPr>
      <w:r w:rsidRPr="007871EF">
        <w:t>–</w:t>
      </w:r>
      <w:r w:rsidRPr="007871EF">
        <w:tab/>
        <w:t>gezien zijn resolutie van 12 september 2018 over een voorstel houdende een verzoek aan de Raad om overeenkomstig artikel 7, lid 1, van het Verdrag betreffende de Europese Unie te constateren dat er een duidelijk gevaar bestaat voor een ernstige schending door Hongarije van de waarden waarop de Unie berust</w:t>
      </w:r>
      <w:r w:rsidRPr="007871EF">
        <w:rPr>
          <w:rStyle w:val="FootnoteReference"/>
          <w:szCs w:val="24"/>
        </w:rPr>
        <w:footnoteReference w:id="1"/>
      </w:r>
      <w:r w:rsidRPr="007871EF">
        <w:t>,</w:t>
      </w:r>
    </w:p>
    <w:p w:rsidR="00853512" w:rsidRPr="007871EF" w:rsidRDefault="00853512" w:rsidP="00853512">
      <w:pPr>
        <w:pStyle w:val="NormalHanging12a"/>
        <w:rPr>
          <w:szCs w:val="24"/>
        </w:rPr>
      </w:pPr>
      <w:r w:rsidRPr="007871EF">
        <w:t>–</w:t>
      </w:r>
      <w:r w:rsidRPr="007871EF">
        <w:tab/>
        <w:t>gezien Verordening (EU, Euratom) 2020/2092 van het Europees Parlement en de Raad van 16 december 2020 betreffende een algemeen conditionaliteitsregime ter bescherming van de Uniebegroting</w:t>
      </w:r>
      <w:r w:rsidRPr="007871EF">
        <w:rPr>
          <w:rStyle w:val="FootnoteReference"/>
          <w:szCs w:val="24"/>
        </w:rPr>
        <w:footnoteReference w:id="2"/>
      </w:r>
      <w:r w:rsidRPr="007871EF">
        <w:t xml:space="preserve"> (de “verordening inzake conditionaliteit met </w:t>
      </w:r>
      <w:r w:rsidRPr="007871EF">
        <w:lastRenderedPageBreak/>
        <w:t>betrekking tot de rechtsstaat”),</w:t>
      </w:r>
    </w:p>
    <w:p w:rsidR="00853512" w:rsidRPr="007871EF" w:rsidRDefault="00853512" w:rsidP="00853512">
      <w:pPr>
        <w:pStyle w:val="NormalHanging12a"/>
        <w:rPr>
          <w:szCs w:val="24"/>
        </w:rPr>
      </w:pPr>
      <w:r w:rsidRPr="007871EF">
        <w:t>–</w:t>
      </w:r>
      <w:r w:rsidRPr="007871EF">
        <w:tab/>
        <w:t>gezien Besluit C(2023) 9014 van de Commissie van 13 december 2023 betreffende de herbeoordeling, op initiatief van de Commissie, van de naleving van de voorwaarden van artikel 4 van Verordening (EU, Euratom) 2020/2092 naar aanleiding van Uitvoeringsbesluit (EU) 2022/2506 van de Raad van 15 december 2022 met betrekking tot Hongarije,</w:t>
      </w:r>
    </w:p>
    <w:p w:rsidR="00853512" w:rsidRPr="007871EF" w:rsidRDefault="00853512" w:rsidP="00853512">
      <w:pPr>
        <w:pStyle w:val="NormalHanging12a"/>
        <w:rPr>
          <w:szCs w:val="24"/>
        </w:rPr>
      </w:pPr>
      <w:r w:rsidRPr="007871EF">
        <w:t>–</w:t>
      </w:r>
      <w:r w:rsidRPr="007871EF">
        <w:tab/>
        <w:t>gezien zijn resolutie van 15 september 2022 over het voorstel voor een besluit van de Raad houdende de constatering, overeenkomstig artikel 7, lid 1, van het Verdrag betreffende de Europese Unie, dat er een duidelijk gevaar bestaat voor een ernstige schending door Hongarije van de waarden waarop de Unie berust</w:t>
      </w:r>
      <w:r w:rsidRPr="007871EF">
        <w:rPr>
          <w:rStyle w:val="FootnoteReference"/>
          <w:szCs w:val="24"/>
        </w:rPr>
        <w:footnoteReference w:id="3"/>
      </w:r>
      <w:r w:rsidRPr="007871EF">
        <w:t>,</w:t>
      </w:r>
    </w:p>
    <w:p w:rsidR="00853512" w:rsidRPr="007871EF" w:rsidRDefault="00853512" w:rsidP="00853512">
      <w:pPr>
        <w:pStyle w:val="NormalHanging12a"/>
        <w:rPr>
          <w:szCs w:val="24"/>
        </w:rPr>
      </w:pPr>
      <w:r w:rsidRPr="007871EF">
        <w:t>–</w:t>
      </w:r>
      <w:r w:rsidRPr="007871EF">
        <w:tab/>
        <w:t>gezien zijn resolutie van 24 november 2022 over de beoordeling van de inachtneming door Hongarije van de rechtsstatelijke voorwaarden in het kader van de verordening inzake conditionaliteit met betrekking tot de rechtsstaat, en de stand van zaken met betrekking tot het Hongaarse herstel- en veerkrachtplan</w:t>
      </w:r>
      <w:r w:rsidRPr="007871EF">
        <w:rPr>
          <w:rStyle w:val="FootnoteReference"/>
          <w:szCs w:val="24"/>
        </w:rPr>
        <w:footnoteReference w:id="4"/>
      </w:r>
      <w:r w:rsidRPr="007871EF">
        <w:t>,</w:t>
      </w:r>
    </w:p>
    <w:p w:rsidR="00853512" w:rsidRPr="007871EF" w:rsidRDefault="00853512" w:rsidP="00853512">
      <w:pPr>
        <w:pStyle w:val="NormalHanging12a"/>
        <w:rPr>
          <w:szCs w:val="24"/>
        </w:rPr>
      </w:pPr>
      <w:r w:rsidRPr="007871EF">
        <w:t>–</w:t>
      </w:r>
      <w:r w:rsidRPr="007871EF">
        <w:tab/>
        <w:t>gezien zijn resolutie van 1 juni 2023 over de inbreuken op de rechtsstaat en de grondrechten in Hongarije en de bevroren EU-gelden</w:t>
      </w:r>
      <w:r w:rsidRPr="007871EF">
        <w:rPr>
          <w:rStyle w:val="FootnoteReference"/>
          <w:szCs w:val="24"/>
        </w:rPr>
        <w:footnoteReference w:id="5"/>
      </w:r>
      <w:r w:rsidRPr="007871EF">
        <w:t>,</w:t>
      </w:r>
    </w:p>
    <w:p w:rsidR="00853512" w:rsidRPr="007871EF" w:rsidRDefault="00853512" w:rsidP="00853512">
      <w:pPr>
        <w:pStyle w:val="NormalHanging12a"/>
        <w:rPr>
          <w:szCs w:val="24"/>
        </w:rPr>
      </w:pPr>
      <w:r w:rsidRPr="007871EF">
        <w:t>–</w:t>
      </w:r>
      <w:r w:rsidRPr="007871EF">
        <w:tab/>
        <w:t>gezien zijn resolutie van 18 januari 2024 over de situatie in Hongarije en bevroren EU-gelden</w:t>
      </w:r>
      <w:r w:rsidRPr="007871EF">
        <w:rPr>
          <w:rStyle w:val="FootnoteReference"/>
          <w:szCs w:val="24"/>
        </w:rPr>
        <w:footnoteReference w:id="6"/>
      </w:r>
      <w:r w:rsidRPr="007871EF">
        <w:t>,</w:t>
      </w:r>
    </w:p>
    <w:p w:rsidR="00853512" w:rsidRPr="007871EF" w:rsidRDefault="00853512" w:rsidP="00853512">
      <w:pPr>
        <w:pStyle w:val="NormalHanging12a"/>
        <w:rPr>
          <w:szCs w:val="24"/>
        </w:rPr>
      </w:pPr>
      <w:r w:rsidRPr="007871EF">
        <w:t>–</w:t>
      </w:r>
      <w:r w:rsidRPr="007871EF">
        <w:tab/>
        <w:t>gezien de landenhoofdstukken over Hongarije in de door de Commissie opgestelde jaarverslagen over de rechtsstaat,</w:t>
      </w:r>
    </w:p>
    <w:p w:rsidR="00853512" w:rsidRPr="007871EF" w:rsidRDefault="00853512" w:rsidP="00853512">
      <w:pPr>
        <w:pStyle w:val="NormalHanging12a"/>
        <w:rPr>
          <w:szCs w:val="24"/>
        </w:rPr>
      </w:pPr>
      <w:r w:rsidRPr="007871EF">
        <w:t>–</w:t>
      </w:r>
      <w:r w:rsidRPr="007871EF">
        <w:tab/>
        <w:t>gezien het advies van de Commissie van Venetië over de Hongaarse wet LXXXVIII van 2023 betreffende de bescherming van de nationale soevereiniteit, aangenomen tijdens de 138e plenaire vergadering te Venetië op 15 en 16 maart 2024,</w:t>
      </w:r>
    </w:p>
    <w:p w:rsidR="00853512" w:rsidRPr="007871EF" w:rsidRDefault="00853512" w:rsidP="00853512">
      <w:pPr>
        <w:pStyle w:val="NormalHanging12a"/>
        <w:rPr>
          <w:szCs w:val="24"/>
        </w:rPr>
      </w:pPr>
      <w:r w:rsidRPr="007871EF">
        <w:t>–</w:t>
      </w:r>
      <w:r w:rsidRPr="007871EF">
        <w:tab/>
        <w:t>gezien artikel 132, lid 2, van zijn Reglement,</w:t>
      </w:r>
    </w:p>
    <w:p w:rsidR="00853512" w:rsidRPr="007871EF" w:rsidRDefault="00853512" w:rsidP="00853512">
      <w:pPr>
        <w:pStyle w:val="NormalHanging12a"/>
        <w:rPr>
          <w:szCs w:val="24"/>
        </w:rPr>
      </w:pPr>
      <w:r w:rsidRPr="007871EF">
        <w:t>A.</w:t>
      </w:r>
      <w:r w:rsidRPr="007871EF">
        <w:tab/>
        <w:t>overwegende dat eerbied voor de menselijke waardigheid, vrijheid, democratie, gelijkheid, de rechtsstaat en eerbiediging van de mensenrechten, waaronder de rechten van personen die tot minderheden behoren, de waarden zijn waarop de Unie is gegrondvest, zoals neergelegd in artikel 2 VEU en zoals weerspiegeld in het Handvest en opgenomen in internationale mensenrechtenverdragen; overwegende dat deze waarden, die door de lidstaten worden gedeeld, de basis vormen van de rechten van de inwoners van de EU;</w:t>
      </w:r>
    </w:p>
    <w:p w:rsidR="00853512" w:rsidRPr="007871EF" w:rsidRDefault="00853512" w:rsidP="00853512">
      <w:pPr>
        <w:pStyle w:val="NormalHanging12a"/>
        <w:rPr>
          <w:szCs w:val="24"/>
        </w:rPr>
      </w:pPr>
      <w:r w:rsidRPr="007871EF">
        <w:t>B.</w:t>
      </w:r>
      <w:r w:rsidRPr="007871EF">
        <w:tab/>
        <w:t>overwegende dat het bestaan van een duidelijk gevaar voor een ernstige schending van de in artikel 2 VEU bedoelde waarden door een lidstaat niet alleen gevolgen heeft voor de lidstaat waar dit gevaar zich heeft voorgedaan, maar ook voor de andere lidstaten, voor het wederzijds vertrouwen tussen de lidstaten, voor de aard zelf van de EU en voor de grondrechten van haar burgers krachtens het EU-recht;</w:t>
      </w:r>
    </w:p>
    <w:p w:rsidR="00853512" w:rsidRPr="007871EF" w:rsidRDefault="00853512" w:rsidP="00853512">
      <w:pPr>
        <w:pStyle w:val="NormalHanging12a"/>
        <w:rPr>
          <w:szCs w:val="24"/>
        </w:rPr>
      </w:pPr>
      <w:r w:rsidRPr="007871EF">
        <w:lastRenderedPageBreak/>
        <w:t>C.</w:t>
      </w:r>
      <w:r w:rsidRPr="007871EF">
        <w:tab/>
        <w:t>overwegende dat het toepassingsgebied van artikel 7 VEU, in tegenstelling tot artikel 258 van het Verdrag betreffende de werking van de Europese Unie (VWEU), niet beperkt is tot de verplichtingen uit hoofde van de Verdragen, en overwegende dat de EU kan beoordelen of er een duidelijk gevaar bestaat voor een ernstige schending van de gemeenschappelijke waarden op gebieden die tot de bevoegdheden van de lidstaten behoren;</w:t>
      </w:r>
    </w:p>
    <w:p w:rsidR="00853512" w:rsidRPr="007871EF" w:rsidRDefault="00853512" w:rsidP="00853512">
      <w:pPr>
        <w:pStyle w:val="NormalHanging12a"/>
        <w:rPr>
          <w:szCs w:val="24"/>
        </w:rPr>
      </w:pPr>
      <w:r w:rsidRPr="007871EF">
        <w:t>D.</w:t>
      </w:r>
      <w:r w:rsidRPr="007871EF">
        <w:tab/>
        <w:t>overwegende dat de Raad in 2018 op voorstel van het Europees Parlement de procedure van artikel 7, lid 1, VEU heeft ingeleid teneinde een duidelijk gevaar van een ernstige schending door Hongarije van de in artikel 2 VEU bedoelde waarden aan te pakken; overwegende dat sinds het begin van de procedure zes hoorzittingen over de situatie in Hongarije in het kader van de procedure van artikel 7, lid 1, VEU in de Raad hebben plaatsgevonden, maar dat de Raad nog niet heeft getracht vast te stellen of er een dergelijk gevaar bestaat en geen aanbevelingen aan de regering van Hongarije heeft gedaan;</w:t>
      </w:r>
    </w:p>
    <w:p w:rsidR="00853512" w:rsidRPr="007871EF" w:rsidRDefault="00853512" w:rsidP="00853512">
      <w:pPr>
        <w:pStyle w:val="NormalHanging12a"/>
        <w:rPr>
          <w:szCs w:val="24"/>
        </w:rPr>
      </w:pPr>
      <w:r w:rsidRPr="007871EF">
        <w:t>E.</w:t>
      </w:r>
      <w:r w:rsidRPr="007871EF">
        <w:tab/>
        <w:t>overwegende dat de verordening inzake conditionaliteit met betrekking tot de rechtsstaat van het grootste belang is, aangezien dit het instrument is dat een doeltreffende bescherming van EU-middelen mogelijk maakt;</w:t>
      </w:r>
    </w:p>
    <w:p w:rsidR="00853512" w:rsidRPr="007871EF" w:rsidRDefault="00853512" w:rsidP="00853512">
      <w:pPr>
        <w:pStyle w:val="NormalHanging12a"/>
        <w:rPr>
          <w:szCs w:val="24"/>
        </w:rPr>
      </w:pPr>
      <w:r w:rsidRPr="007871EF">
        <w:t>F.</w:t>
      </w:r>
      <w:r w:rsidRPr="007871EF">
        <w:tab/>
        <w:t>overwegende dat de Commissie heeft besloten Hongarije 0,9 miljard EUR aan voorfinanciering toe te kennen in het kader van REPowerEU; overwegende dat een dergelijke voorfinanciering zonder voorwaarden kan worden verstrekt, maar niet zonder controles;</w:t>
      </w:r>
    </w:p>
    <w:p w:rsidR="00853512" w:rsidRPr="007871EF" w:rsidRDefault="00853512" w:rsidP="00853512">
      <w:pPr>
        <w:pStyle w:val="NormalHanging12a"/>
        <w:rPr>
          <w:bCs/>
          <w:szCs w:val="24"/>
        </w:rPr>
      </w:pPr>
      <w:r w:rsidRPr="007871EF">
        <w:t>G.</w:t>
      </w:r>
      <w:r w:rsidRPr="007871EF">
        <w:tab/>
        <w:t xml:space="preserve">overwegende dat het Parlement in zijn tussentijds verslag van </w:t>
      </w:r>
      <w:r w:rsidR="00943E89">
        <w:t>15 september</w:t>
      </w:r>
      <w:r w:rsidRPr="007871EF">
        <w:t xml:space="preserve"> 2022 oordeelde dat sinds de inleiding van de procedure overeenkomstig artikel 7, lid 1, VEU, er nog steeds veel zorgen bestaan over de naleving door Hongarije van de in artikel 2 VEU verankerde waarden, of dat deze zorgen aanzienlijk zijn toegenomen, onder meer ten aanzien van de onafhankelijkheid van de rechterlijke macht, corruptie, belangenconflicten, onafhankelijkheid en pluriformiteit van de media, de werking van het grondwettelijk stelsel en het kiesstelsel, en in de civiele ruimte;</w:t>
      </w:r>
    </w:p>
    <w:p w:rsidR="00853512" w:rsidRPr="007871EF" w:rsidRDefault="00853512" w:rsidP="00853512">
      <w:pPr>
        <w:pStyle w:val="NormalHanging12a"/>
        <w:rPr>
          <w:szCs w:val="24"/>
        </w:rPr>
      </w:pPr>
      <w:r w:rsidRPr="007871EF">
        <w:t>H.</w:t>
      </w:r>
      <w:r w:rsidRPr="007871EF">
        <w:tab/>
        <w:t>overwegende dat sinds de goedkeuring van het tussentijds verslag de situatie op sommige van deze gebieden in beperkte mate is verbeterd, op de meeste gebieden verontrustend is gebleven en op sommige andere gebieden verder is verslechterd; overwegende dat er nieuwe ernstige problemen zijn ontstaan als gevolg van het optreden van de Hongaarse regering;</w:t>
      </w:r>
    </w:p>
    <w:p w:rsidR="00853512" w:rsidRPr="007871EF" w:rsidRDefault="00853512" w:rsidP="00853512">
      <w:pPr>
        <w:pStyle w:val="NormalHanging12a"/>
        <w:rPr>
          <w:szCs w:val="24"/>
        </w:rPr>
      </w:pPr>
      <w:r w:rsidRPr="007871EF">
        <w:t>I.</w:t>
      </w:r>
      <w:r w:rsidRPr="007871EF">
        <w:tab/>
        <w:t>overwegende dat in april 2024 tienduizenden Hongaren de straat op gingen om te protesteren tegen de gijzeling van de staat en corruptie;</w:t>
      </w:r>
    </w:p>
    <w:p w:rsidR="00853512" w:rsidRPr="007871EF" w:rsidRDefault="00853512" w:rsidP="00853512">
      <w:pPr>
        <w:pStyle w:val="NormalHanging12a"/>
        <w:rPr>
          <w:szCs w:val="24"/>
        </w:rPr>
      </w:pPr>
      <w:r w:rsidRPr="007871EF">
        <w:t>J.</w:t>
      </w:r>
      <w:r w:rsidRPr="007871EF">
        <w:tab/>
        <w:t>overwegende dat de Hongaarse regering in 2022 en 2023 een wetgevingspakket met justitiële hervormingen heeft aangenomen om bepaalde beperkingen van de onafhankelijkheid van de rechterlijke macht aan te pakken, onder meer door de onafhankelijkheid van de nationale raad voor justitie te versterken; overwegende dat de niet-limitatieve lijst van ernstige tekortkomingen met betrekking tot de rechtsstaat in het rechtsstelsel die nog niet zijn verholpen, het volgende omvat:</w:t>
      </w:r>
    </w:p>
    <w:p w:rsidR="00853512" w:rsidRPr="007871EF" w:rsidRDefault="00853512" w:rsidP="007871EF">
      <w:pPr>
        <w:pStyle w:val="NormalHanging12a"/>
        <w:ind w:left="1134"/>
        <w:rPr>
          <w:szCs w:val="24"/>
        </w:rPr>
      </w:pPr>
      <w:r w:rsidRPr="007871EF">
        <w:t>–</w:t>
      </w:r>
      <w:r w:rsidRPr="007871EF">
        <w:tab/>
        <w:t>regels met betrekking tot de onschendbaarheid van de huidige voorzitter van de Curia, het Hongaarse hooggerechtshof;</w:t>
      </w:r>
    </w:p>
    <w:p w:rsidR="00853512" w:rsidRPr="007871EF" w:rsidRDefault="00853512" w:rsidP="007871EF">
      <w:pPr>
        <w:pStyle w:val="NormalHanging12a"/>
        <w:ind w:left="1134"/>
        <w:rPr>
          <w:szCs w:val="24"/>
        </w:rPr>
      </w:pPr>
      <w:r w:rsidRPr="007871EF">
        <w:lastRenderedPageBreak/>
        <w:t>–</w:t>
      </w:r>
      <w:r w:rsidRPr="007871EF">
        <w:tab/>
        <w:t>een gebrek aan zinvolle waarborgen en garanties voor de onafhankelijkheid van de Curia;</w:t>
      </w:r>
    </w:p>
    <w:p w:rsidR="00853512" w:rsidRPr="007871EF" w:rsidRDefault="00853512" w:rsidP="007871EF">
      <w:pPr>
        <w:pStyle w:val="NormalHanging12a"/>
        <w:ind w:left="1134"/>
        <w:rPr>
          <w:szCs w:val="24"/>
        </w:rPr>
      </w:pPr>
      <w:r w:rsidRPr="007871EF">
        <w:t>–</w:t>
      </w:r>
      <w:r w:rsidRPr="007871EF">
        <w:tab/>
        <w:t>een gebrek aan transparantie en automatisering in het systeem voor de toewijzing van zaken in de Curia en een gebrek aan transparantie met betrekking tot de regels voor de samenstelling van de panels;</w:t>
      </w:r>
    </w:p>
    <w:p w:rsidR="00853512" w:rsidRPr="007871EF" w:rsidRDefault="00853512" w:rsidP="007871EF">
      <w:pPr>
        <w:pStyle w:val="NormalHanging12a"/>
        <w:ind w:left="1134"/>
        <w:rPr>
          <w:szCs w:val="24"/>
        </w:rPr>
      </w:pPr>
      <w:r w:rsidRPr="007871EF">
        <w:t>–</w:t>
      </w:r>
      <w:r w:rsidRPr="007871EF">
        <w:tab/>
        <w:t>politieke en administratieve druk op de onafhankelijkheid van de nationale raad voor justitie en zijn leden, onder andere door middel van lastercampagnes;</w:t>
      </w:r>
    </w:p>
    <w:p w:rsidR="00853512" w:rsidRPr="007871EF" w:rsidRDefault="00853512" w:rsidP="007871EF">
      <w:pPr>
        <w:pStyle w:val="NormalHanging12a"/>
        <w:ind w:left="1134"/>
        <w:rPr>
          <w:szCs w:val="24"/>
        </w:rPr>
      </w:pPr>
      <w:r w:rsidRPr="007871EF">
        <w:t>–</w:t>
      </w:r>
      <w:r w:rsidRPr="007871EF">
        <w:tab/>
        <w:t>regels met betrekking tot de benoeming, bevordering en onafzetbaarheid van rechters;</w:t>
      </w:r>
    </w:p>
    <w:p w:rsidR="00853512" w:rsidRPr="007871EF" w:rsidRDefault="00853512" w:rsidP="007871EF">
      <w:pPr>
        <w:pStyle w:val="NormalHanging12a"/>
        <w:ind w:left="1134"/>
        <w:rPr>
          <w:szCs w:val="24"/>
        </w:rPr>
      </w:pPr>
      <w:r w:rsidRPr="007871EF">
        <w:t>–</w:t>
      </w:r>
      <w:r w:rsidRPr="007871EF">
        <w:tab/>
        <w:t>een gebrek aan zinvolle waarborgen en garanties voor de onafhankelijkheid van rechters die administratieve besluiten toetsen;</w:t>
      </w:r>
    </w:p>
    <w:p w:rsidR="00853512" w:rsidRPr="007871EF" w:rsidRDefault="00853512" w:rsidP="007871EF">
      <w:pPr>
        <w:pStyle w:val="NormalHanging12a"/>
        <w:ind w:left="1134"/>
        <w:rPr>
          <w:szCs w:val="24"/>
        </w:rPr>
      </w:pPr>
      <w:r w:rsidRPr="007871EF">
        <w:t>–</w:t>
      </w:r>
      <w:r w:rsidRPr="007871EF">
        <w:tab/>
        <w:t>een toenemend aantal belemmeringen voor prejudiciële verwijzingen naar het Hof van Justitie van de Europese Unie (HvJ-EU);</w:t>
      </w:r>
    </w:p>
    <w:p w:rsidR="00853512" w:rsidRPr="007871EF" w:rsidRDefault="00853512" w:rsidP="007871EF">
      <w:pPr>
        <w:pStyle w:val="NormalHanging12a"/>
        <w:ind w:left="1134"/>
        <w:rPr>
          <w:szCs w:val="24"/>
        </w:rPr>
      </w:pPr>
      <w:r w:rsidRPr="007871EF">
        <w:t>–</w:t>
      </w:r>
      <w:r w:rsidRPr="007871EF">
        <w:tab/>
        <w:t>gebrekkige regels inzake immuniteit en tuchtprocedures tegen aanklagers en rechters;</w:t>
      </w:r>
    </w:p>
    <w:p w:rsidR="00853512" w:rsidRPr="007871EF" w:rsidRDefault="00853512" w:rsidP="007871EF">
      <w:pPr>
        <w:pStyle w:val="NormalHanging12a"/>
        <w:ind w:left="1134"/>
        <w:rPr>
          <w:szCs w:val="24"/>
        </w:rPr>
      </w:pPr>
      <w:r w:rsidRPr="007871EF">
        <w:t>–</w:t>
      </w:r>
      <w:r w:rsidRPr="007871EF">
        <w:tab/>
        <w:t>politieke inmenging in het werk van de met vervolging belaste diensten en individuele aanklagers;</w:t>
      </w:r>
    </w:p>
    <w:p w:rsidR="00853512" w:rsidRPr="007871EF" w:rsidRDefault="00853512" w:rsidP="007871EF">
      <w:pPr>
        <w:pStyle w:val="NormalHanging12a"/>
        <w:ind w:left="1134"/>
        <w:rPr>
          <w:szCs w:val="24"/>
        </w:rPr>
      </w:pPr>
      <w:r w:rsidRPr="007871EF">
        <w:t>–</w:t>
      </w:r>
      <w:r w:rsidRPr="007871EF">
        <w:tab/>
        <w:t>een gebrek aan efficiënte ondersteunende diensten voor slachtoffers van misdrijven;</w:t>
      </w:r>
    </w:p>
    <w:p w:rsidR="00853512" w:rsidRPr="007871EF" w:rsidRDefault="00853512" w:rsidP="00853512">
      <w:pPr>
        <w:pStyle w:val="NormalHanging12a"/>
        <w:rPr>
          <w:szCs w:val="24"/>
        </w:rPr>
      </w:pPr>
      <w:r w:rsidRPr="007871EF">
        <w:t>K.</w:t>
      </w:r>
      <w:r w:rsidRPr="007871EF">
        <w:tab/>
        <w:t>overwegende dat de niet-limitatieve lijst van aanhoudende ernstige tekortkomingen op het gebied van corruptiebestrijding en belangenconflicten onder meer het volgende omvat:</w:t>
      </w:r>
    </w:p>
    <w:p w:rsidR="00853512" w:rsidRPr="007871EF" w:rsidRDefault="00853512" w:rsidP="007871EF">
      <w:pPr>
        <w:pStyle w:val="NormalHanging12a"/>
        <w:ind w:left="1134"/>
        <w:rPr>
          <w:szCs w:val="24"/>
        </w:rPr>
      </w:pPr>
      <w:r w:rsidRPr="007871EF">
        <w:t>–</w:t>
      </w:r>
      <w:r w:rsidRPr="007871EF">
        <w:tab/>
        <w:t>het ontbreken van een staat van dienst van onderzoeken, vervolgingen en definitieve beslissingen in corruptiezaken op hoog niveau;</w:t>
      </w:r>
    </w:p>
    <w:p w:rsidR="00853512" w:rsidRPr="007871EF" w:rsidRDefault="00853512" w:rsidP="007871EF">
      <w:pPr>
        <w:pStyle w:val="NormalHanging12a"/>
        <w:ind w:left="1134"/>
        <w:rPr>
          <w:szCs w:val="24"/>
        </w:rPr>
      </w:pPr>
      <w:r w:rsidRPr="007871EF">
        <w:t>–</w:t>
      </w:r>
      <w:r w:rsidRPr="007871EF">
        <w:tab/>
        <w:t>het ontbreken van strenge regels voor lobbyen, draaideuren en effectief toezicht op vermogensverklaringen;</w:t>
      </w:r>
    </w:p>
    <w:p w:rsidR="00853512" w:rsidRPr="007871EF" w:rsidRDefault="00853512" w:rsidP="007871EF">
      <w:pPr>
        <w:pStyle w:val="NormalHanging12a"/>
        <w:ind w:left="1134"/>
        <w:rPr>
          <w:szCs w:val="24"/>
        </w:rPr>
      </w:pPr>
      <w:r w:rsidRPr="007871EF">
        <w:t>–</w:t>
      </w:r>
      <w:r w:rsidRPr="007871EF">
        <w:tab/>
        <w:t>een gebrek aan voldoende competentie, empowerment, toegang tot informatie en passende middelen bij de integriteitsautoriteit;</w:t>
      </w:r>
    </w:p>
    <w:p w:rsidR="00853512" w:rsidRPr="007871EF" w:rsidRDefault="00853512" w:rsidP="007871EF">
      <w:pPr>
        <w:pStyle w:val="NormalHanging12a"/>
        <w:ind w:left="1134"/>
        <w:rPr>
          <w:szCs w:val="24"/>
        </w:rPr>
      </w:pPr>
      <w:r w:rsidRPr="007871EF">
        <w:t>–</w:t>
      </w:r>
      <w:r w:rsidRPr="007871EF">
        <w:tab/>
        <w:t>een gebrek aan openbare raadpleging en openbaar debat over anticorruptiemaatregelen;</w:t>
      </w:r>
    </w:p>
    <w:p w:rsidR="00853512" w:rsidRPr="007871EF" w:rsidRDefault="00853512" w:rsidP="007871EF">
      <w:pPr>
        <w:pStyle w:val="NormalHanging12a"/>
        <w:ind w:left="1134"/>
        <w:rPr>
          <w:szCs w:val="24"/>
        </w:rPr>
      </w:pPr>
      <w:r w:rsidRPr="007871EF">
        <w:t>–</w:t>
      </w:r>
      <w:r w:rsidRPr="007871EF">
        <w:tab/>
        <w:t>een gebrek aan verantwoordingsplicht van de met vervolging belaste diensten, ook in gevallen van nalatigheid, plichtsverzuim en crimineel gedrag;</w:t>
      </w:r>
    </w:p>
    <w:p w:rsidR="00853512" w:rsidRPr="007871EF" w:rsidRDefault="00853512" w:rsidP="007871EF">
      <w:pPr>
        <w:pStyle w:val="NormalHanging12a"/>
        <w:ind w:left="1134"/>
        <w:rPr>
          <w:szCs w:val="24"/>
        </w:rPr>
      </w:pPr>
      <w:r w:rsidRPr="007871EF">
        <w:t>–</w:t>
      </w:r>
      <w:r w:rsidRPr="007871EF">
        <w:tab/>
        <w:t>politieke inmenging in het werk van de met vervolging belaste diensten bij het opsporen van corruptie op hoog niveau en strafzaken;</w:t>
      </w:r>
    </w:p>
    <w:p w:rsidR="00853512" w:rsidRPr="007871EF" w:rsidRDefault="00853512" w:rsidP="00853512">
      <w:pPr>
        <w:pStyle w:val="NormalHanging12a"/>
        <w:rPr>
          <w:szCs w:val="24"/>
        </w:rPr>
      </w:pPr>
      <w:r w:rsidRPr="007871EF">
        <w:t>L.</w:t>
      </w:r>
      <w:r w:rsidRPr="007871EF">
        <w:tab/>
        <w:t>overwegende dat de niet-limitatieve lijst van aanhoudende ernstige tekortkomingen met betrekking tot mediavrijheid en -pluriformiteit het volgende omvat:</w:t>
      </w:r>
    </w:p>
    <w:p w:rsidR="00853512" w:rsidRPr="007871EF" w:rsidRDefault="00853512" w:rsidP="007871EF">
      <w:pPr>
        <w:pStyle w:val="NormalHanging12a"/>
        <w:ind w:left="1134"/>
        <w:rPr>
          <w:szCs w:val="24"/>
        </w:rPr>
      </w:pPr>
      <w:r w:rsidRPr="007871EF">
        <w:lastRenderedPageBreak/>
        <w:t>–</w:t>
      </w:r>
      <w:r w:rsidRPr="007871EF">
        <w:tab/>
        <w:t>een gebrek aan functionele onafhankelijkheid van de media-autoriteit en de coördinator voor digitale diensten;</w:t>
      </w:r>
    </w:p>
    <w:p w:rsidR="00853512" w:rsidRPr="007871EF" w:rsidRDefault="00853512" w:rsidP="007871EF">
      <w:pPr>
        <w:pStyle w:val="NormalHanging12a"/>
        <w:ind w:left="1134"/>
        <w:rPr>
          <w:szCs w:val="24"/>
        </w:rPr>
      </w:pPr>
      <w:r w:rsidRPr="007871EF">
        <w:t>–</w:t>
      </w:r>
      <w:r w:rsidRPr="007871EF">
        <w:tab/>
        <w:t>een gebrek aan redactionele en financiële onafhankelijkheid van de openbare omroep en een gebrek aan pluralisme van politieke standpunten bij de openbare omroep, die door de regerende meerderheid wordt gebruikt voor politieke propaganda;</w:t>
      </w:r>
    </w:p>
    <w:p w:rsidR="00853512" w:rsidRPr="007871EF" w:rsidRDefault="00853512" w:rsidP="007871EF">
      <w:pPr>
        <w:pStyle w:val="NormalHanging12a"/>
        <w:ind w:left="1134"/>
        <w:rPr>
          <w:szCs w:val="24"/>
        </w:rPr>
      </w:pPr>
      <w:r w:rsidRPr="007871EF">
        <w:t>–</w:t>
      </w:r>
      <w:r w:rsidRPr="007871EF">
        <w:tab/>
        <w:t>misbruik van overheidsreclame in regeringsgezinde media en een gebrek aan regels en transparantie op dit gebied;</w:t>
      </w:r>
    </w:p>
    <w:p w:rsidR="00853512" w:rsidRPr="007871EF" w:rsidRDefault="00853512" w:rsidP="007871EF">
      <w:pPr>
        <w:pStyle w:val="NormalHanging12a"/>
        <w:ind w:left="1134"/>
        <w:rPr>
          <w:szCs w:val="24"/>
        </w:rPr>
      </w:pPr>
      <w:r w:rsidRPr="007871EF">
        <w:t>–</w:t>
      </w:r>
      <w:r w:rsidRPr="007871EF">
        <w:tab/>
        <w:t>lastercampagnes tegen onafhankelijke journalisten en media;</w:t>
      </w:r>
    </w:p>
    <w:p w:rsidR="00853512" w:rsidRPr="007871EF" w:rsidRDefault="00853512" w:rsidP="007871EF">
      <w:pPr>
        <w:pStyle w:val="NormalHanging12a"/>
        <w:ind w:left="1134"/>
        <w:rPr>
          <w:szCs w:val="24"/>
        </w:rPr>
      </w:pPr>
      <w:r w:rsidRPr="007871EF">
        <w:t>–</w:t>
      </w:r>
      <w:r w:rsidRPr="007871EF">
        <w:tab/>
        <w:t>een groeiend aantal beperkingen op de toegang tot openbare informatie;</w:t>
      </w:r>
    </w:p>
    <w:p w:rsidR="00853512" w:rsidRPr="007871EF" w:rsidRDefault="00853512" w:rsidP="007871EF">
      <w:pPr>
        <w:pStyle w:val="NormalHanging12a"/>
        <w:ind w:left="1134"/>
        <w:rPr>
          <w:szCs w:val="24"/>
        </w:rPr>
      </w:pPr>
      <w:r w:rsidRPr="007871EF">
        <w:t>–</w:t>
      </w:r>
      <w:r w:rsidRPr="007871EF">
        <w:tab/>
        <w:t>een gebrek aan zinvol onderzoek naar de inzet van spyware gericht op onderzoeksjournalisten en mediaprofessionals;</w:t>
      </w:r>
    </w:p>
    <w:p w:rsidR="00853512" w:rsidRPr="007871EF" w:rsidRDefault="00853512" w:rsidP="007871EF">
      <w:pPr>
        <w:pStyle w:val="NormalHanging12a"/>
        <w:ind w:left="1134"/>
        <w:rPr>
          <w:szCs w:val="24"/>
        </w:rPr>
      </w:pPr>
      <w:r w:rsidRPr="007871EF">
        <w:t>–</w:t>
      </w:r>
      <w:r w:rsidRPr="007871EF">
        <w:tab/>
        <w:t>concentratie van de mediamarkt en buitensporige invloed van de overheid op het medialandschap (onder andere via de Centraal-Europese pers- en mediastichting, of KESMA zoals het in het Hongaars heet);</w:t>
      </w:r>
    </w:p>
    <w:p w:rsidR="00853512" w:rsidRPr="007871EF" w:rsidRDefault="00853512" w:rsidP="007871EF">
      <w:pPr>
        <w:pStyle w:val="NormalHanging12a"/>
        <w:ind w:left="1134"/>
        <w:rPr>
          <w:szCs w:val="24"/>
        </w:rPr>
      </w:pPr>
      <w:r w:rsidRPr="007871EF">
        <w:t>–</w:t>
      </w:r>
      <w:r w:rsidRPr="007871EF">
        <w:tab/>
        <w:t>de mogelijke onderwerping van mediakanalen en journalisten aan onderzoeken door het bureau voor de bescherming van de soevereiniteit (Sovereignty Protection Office, SPO);</w:t>
      </w:r>
    </w:p>
    <w:p w:rsidR="00853512" w:rsidRPr="007871EF" w:rsidRDefault="00853512" w:rsidP="00853512">
      <w:pPr>
        <w:pStyle w:val="NormalHanging12a"/>
        <w:rPr>
          <w:szCs w:val="24"/>
        </w:rPr>
      </w:pPr>
      <w:r w:rsidRPr="007871EF">
        <w:t>M.</w:t>
      </w:r>
      <w:r w:rsidRPr="007871EF">
        <w:tab/>
        <w:t>overwegende dat de niet-limitatieve lijst van aanhoudende ernstige tekortkomingen met betrekking tot het grondwettelijk en kiesstelsel, alsook de checks-and-balances, onder meer het volgende omvat:</w:t>
      </w:r>
    </w:p>
    <w:p w:rsidR="00853512" w:rsidRPr="007871EF" w:rsidRDefault="00853512" w:rsidP="007871EF">
      <w:pPr>
        <w:pStyle w:val="NormalHanging12a"/>
        <w:ind w:left="1134"/>
        <w:rPr>
          <w:szCs w:val="24"/>
        </w:rPr>
      </w:pPr>
      <w:r w:rsidRPr="007871EF">
        <w:t>–</w:t>
      </w:r>
      <w:r w:rsidRPr="007871EF">
        <w:tab/>
        <w:t>het ontbreken van eerlijke campagnevoorwaarden tijdens verkiezingen op lokaal en nationaal niveau en frequente wijzigingen van de kieswet;</w:t>
      </w:r>
    </w:p>
    <w:p w:rsidR="00853512" w:rsidRPr="007871EF" w:rsidRDefault="00853512" w:rsidP="007871EF">
      <w:pPr>
        <w:pStyle w:val="NormalHanging12a"/>
        <w:ind w:left="1134"/>
        <w:rPr>
          <w:szCs w:val="24"/>
        </w:rPr>
      </w:pPr>
      <w:r w:rsidRPr="007871EF">
        <w:t>–</w:t>
      </w:r>
      <w:r w:rsidRPr="007871EF">
        <w:tab/>
        <w:t>onvoldoende transparantie en verantwoordingsplicht bij het opstellen en goedkeuren van wetten;</w:t>
      </w:r>
    </w:p>
    <w:p w:rsidR="00853512" w:rsidRPr="007871EF" w:rsidRDefault="00853512" w:rsidP="007871EF">
      <w:pPr>
        <w:pStyle w:val="NormalHanging12a"/>
        <w:ind w:left="1134"/>
        <w:rPr>
          <w:bCs/>
          <w:szCs w:val="24"/>
        </w:rPr>
      </w:pPr>
      <w:r w:rsidRPr="007871EF">
        <w:t>–</w:t>
      </w:r>
      <w:r w:rsidRPr="007871EF">
        <w:tab/>
        <w:t>het voortbestaan van de officiële “noodtoestand” die de regering uitgebreide noodbevoegdheden verleent en haar in staat stelt om wetten van hogerhand terzijde te schuiven in nooddecreten;</w:t>
      </w:r>
    </w:p>
    <w:p w:rsidR="00853512" w:rsidRPr="007871EF" w:rsidRDefault="00853512" w:rsidP="007871EF">
      <w:pPr>
        <w:pStyle w:val="NormalHanging12a"/>
        <w:ind w:left="1134"/>
        <w:rPr>
          <w:szCs w:val="24"/>
        </w:rPr>
      </w:pPr>
      <w:r w:rsidRPr="007871EF">
        <w:t>–</w:t>
      </w:r>
      <w:r w:rsidRPr="007871EF">
        <w:tab/>
        <w:t>het ontbreken van een zinvolle openbare raadplegingsprocedure met betrekking tot belangrijke wetsvoorstellen;</w:t>
      </w:r>
    </w:p>
    <w:p w:rsidR="00853512" w:rsidRPr="007871EF" w:rsidRDefault="00853512" w:rsidP="007871EF">
      <w:pPr>
        <w:pStyle w:val="NormalHanging12a"/>
        <w:ind w:left="1134"/>
        <w:rPr>
          <w:szCs w:val="24"/>
        </w:rPr>
      </w:pPr>
      <w:r w:rsidRPr="007871EF">
        <w:t>–</w:t>
      </w:r>
      <w:r w:rsidRPr="007871EF">
        <w:tab/>
        <w:t>de machteloosheid van onafhankelijke organen en de druk op hun onafhankelijkheid;</w:t>
      </w:r>
    </w:p>
    <w:p w:rsidR="00853512" w:rsidRPr="007871EF" w:rsidRDefault="00853512" w:rsidP="007871EF">
      <w:pPr>
        <w:pStyle w:val="NormalHanging12a"/>
        <w:ind w:left="1134"/>
        <w:rPr>
          <w:bCs/>
          <w:szCs w:val="24"/>
        </w:rPr>
      </w:pPr>
      <w:r w:rsidRPr="007871EF">
        <w:t>–</w:t>
      </w:r>
      <w:r w:rsidRPr="007871EF">
        <w:tab/>
        <w:t>het gebruik van omnibuswetten om verschillende wetten te wijzigen;</w:t>
      </w:r>
    </w:p>
    <w:p w:rsidR="00853512" w:rsidRPr="007871EF" w:rsidRDefault="00853512" w:rsidP="00853512">
      <w:pPr>
        <w:pStyle w:val="NormalHanging12a"/>
        <w:rPr>
          <w:szCs w:val="24"/>
        </w:rPr>
      </w:pPr>
      <w:r w:rsidRPr="007871EF">
        <w:t>N.</w:t>
      </w:r>
      <w:r w:rsidRPr="007871EF">
        <w:tab/>
        <w:t>overwegende dat de niet-limitatieve lijst van aanhoudende ernstige tekortkomingen met betrekking tot het functioneren van het maatschappelijk middenveld het volgende omvat:</w:t>
      </w:r>
    </w:p>
    <w:p w:rsidR="00853512" w:rsidRPr="007871EF" w:rsidRDefault="00853512" w:rsidP="007871EF">
      <w:pPr>
        <w:pStyle w:val="NormalHanging12a"/>
        <w:ind w:left="1134"/>
        <w:rPr>
          <w:szCs w:val="24"/>
        </w:rPr>
      </w:pPr>
      <w:r w:rsidRPr="007871EF">
        <w:lastRenderedPageBreak/>
        <w:t>–</w:t>
      </w:r>
      <w:r w:rsidRPr="007871EF">
        <w:tab/>
        <w:t>het afschrikwekkende effect van verschillende wetten die gericht zijn op het beperken van het bestaan en functioneren van onafhankelijke maatschappelijke organisaties, zoals de wet op de transparantie van organisaties die buitenlandse fondsen ontvangen en de wet op de bescherming van de nationale soevereiniteit;</w:t>
      </w:r>
    </w:p>
    <w:p w:rsidR="00853512" w:rsidRPr="007871EF" w:rsidRDefault="00853512" w:rsidP="007871EF">
      <w:pPr>
        <w:pStyle w:val="NormalHanging12a"/>
        <w:ind w:left="1134"/>
        <w:rPr>
          <w:szCs w:val="24"/>
        </w:rPr>
      </w:pPr>
      <w:r w:rsidRPr="007871EF">
        <w:t>–</w:t>
      </w:r>
      <w:r w:rsidRPr="007871EF">
        <w:tab/>
        <w:t>lastercampagnes jegens en intimidatie van vertegenwoordigers van maatschappelijke organisaties;</w:t>
      </w:r>
    </w:p>
    <w:p w:rsidR="00853512" w:rsidRPr="007871EF" w:rsidRDefault="00853512" w:rsidP="007871EF">
      <w:pPr>
        <w:pStyle w:val="NormalHanging12a"/>
        <w:ind w:left="1134"/>
        <w:rPr>
          <w:szCs w:val="24"/>
        </w:rPr>
      </w:pPr>
      <w:r w:rsidRPr="007871EF">
        <w:t>–</w:t>
      </w:r>
      <w:r w:rsidRPr="007871EF">
        <w:tab/>
        <w:t>een gebrek aan overheidsfinanciering voor onafhankelijke maatschappelijke organisaties en financiële steun voor regeringsgezinde organisaties of organisaties die banden hebben met de regering;</w:t>
      </w:r>
    </w:p>
    <w:p w:rsidR="00853512" w:rsidRPr="007871EF" w:rsidRDefault="00853512" w:rsidP="007871EF">
      <w:pPr>
        <w:pStyle w:val="NormalHanging12a"/>
        <w:ind w:left="1134"/>
        <w:rPr>
          <w:szCs w:val="24"/>
        </w:rPr>
      </w:pPr>
      <w:r w:rsidRPr="007871EF">
        <w:t>–</w:t>
      </w:r>
      <w:r w:rsidRPr="007871EF">
        <w:tab/>
        <w:t>de mogelijke onderwerping van maatschappelijke organisaties en hun vertegenwoordigers aan toezicht en onderzoek door de SPO;</w:t>
      </w:r>
    </w:p>
    <w:p w:rsidR="00853512" w:rsidRPr="007871EF" w:rsidRDefault="00853512" w:rsidP="00853512">
      <w:pPr>
        <w:pStyle w:val="NormalHanging12a"/>
        <w:rPr>
          <w:szCs w:val="24"/>
        </w:rPr>
      </w:pPr>
      <w:r w:rsidRPr="007871EF">
        <w:t>O.</w:t>
      </w:r>
      <w:r w:rsidRPr="007871EF">
        <w:tab/>
        <w:t>overwegende dat de niet-limitatieve lijst van aanhoudende ernstige tekortkomingen met betrekking tot de bescherming van de financiële belangen van de EU het volgende omvat:</w:t>
      </w:r>
    </w:p>
    <w:p w:rsidR="00853512" w:rsidRPr="007871EF" w:rsidRDefault="00853512" w:rsidP="007871EF">
      <w:pPr>
        <w:pStyle w:val="NormalHanging12a"/>
        <w:ind w:left="1134"/>
        <w:rPr>
          <w:szCs w:val="24"/>
        </w:rPr>
      </w:pPr>
      <w:r w:rsidRPr="007871EF">
        <w:t>–</w:t>
      </w:r>
      <w:r w:rsidRPr="007871EF">
        <w:tab/>
        <w:t>de werking van de autoriteiten die de EU-begroting uitvoeren;</w:t>
      </w:r>
    </w:p>
    <w:p w:rsidR="00853512" w:rsidRPr="007871EF" w:rsidRDefault="00853512" w:rsidP="007871EF">
      <w:pPr>
        <w:pStyle w:val="NormalHanging12a"/>
        <w:ind w:left="1134"/>
        <w:rPr>
          <w:szCs w:val="24"/>
        </w:rPr>
      </w:pPr>
      <w:r w:rsidRPr="007871EF">
        <w:t>–</w:t>
      </w:r>
      <w:r w:rsidRPr="007871EF">
        <w:tab/>
        <w:t>systemische onregelmatigheden, tekortkomingen en zwakke punten in overheidsopdrachten, waaronder een groot aantal aanbestedingsprocedures met slechts één bieder en een gebrek aan concurrentie in het systeem van overheidsopdrachten;</w:t>
      </w:r>
    </w:p>
    <w:p w:rsidR="00853512" w:rsidRPr="007871EF" w:rsidRDefault="00853512" w:rsidP="007871EF">
      <w:pPr>
        <w:pStyle w:val="NormalHanging12a"/>
        <w:ind w:left="1134"/>
        <w:rPr>
          <w:szCs w:val="24"/>
        </w:rPr>
      </w:pPr>
      <w:r w:rsidRPr="007871EF">
        <w:t>–</w:t>
      </w:r>
      <w:r w:rsidRPr="007871EF">
        <w:tab/>
        <w:t>tekortkomingen in de audit- en controlemechanismen om een correct gebruik van EU-middelen te waarborgen;</w:t>
      </w:r>
    </w:p>
    <w:p w:rsidR="00853512" w:rsidRPr="007871EF" w:rsidRDefault="00853512" w:rsidP="007871EF">
      <w:pPr>
        <w:pStyle w:val="NormalHanging12a"/>
        <w:ind w:left="1134"/>
        <w:rPr>
          <w:szCs w:val="24"/>
        </w:rPr>
      </w:pPr>
      <w:r w:rsidRPr="007871EF">
        <w:t>–</w:t>
      </w:r>
      <w:r w:rsidRPr="007871EF">
        <w:tab/>
        <w:t>onvoldoende capaciteit om fraude, corruptie of andere inbreuken op de EU-wetgeving in verband met de uitvoering van de EU-begroting of met de bescherming van de financiële belangen van EU te voorkomen en te bestraffen;</w:t>
      </w:r>
    </w:p>
    <w:p w:rsidR="00853512" w:rsidRPr="007871EF" w:rsidRDefault="00853512" w:rsidP="007871EF">
      <w:pPr>
        <w:pStyle w:val="NormalHanging12a"/>
        <w:ind w:left="1134"/>
        <w:rPr>
          <w:szCs w:val="24"/>
        </w:rPr>
      </w:pPr>
      <w:r w:rsidRPr="007871EF">
        <w:t>–</w:t>
      </w:r>
      <w:r w:rsidRPr="007871EF">
        <w:tab/>
        <w:t>ontoereikende toepassing van het ARACHNE-instrument;</w:t>
      </w:r>
    </w:p>
    <w:p w:rsidR="00853512" w:rsidRPr="007871EF" w:rsidRDefault="00853512" w:rsidP="007871EF">
      <w:pPr>
        <w:pStyle w:val="NormalHanging12a"/>
        <w:ind w:left="1134"/>
        <w:rPr>
          <w:szCs w:val="24"/>
        </w:rPr>
      </w:pPr>
      <w:r w:rsidRPr="007871EF">
        <w:t>–</w:t>
      </w:r>
      <w:r w:rsidRPr="007871EF">
        <w:tab/>
        <w:t>een gebrek aan transparantie in het gebruik van EU-middelen door stichtingen van openbaar belang die activa beheren;</w:t>
      </w:r>
    </w:p>
    <w:p w:rsidR="00853512" w:rsidRPr="007871EF" w:rsidRDefault="00853512" w:rsidP="007871EF">
      <w:pPr>
        <w:pStyle w:val="NormalHanging12a"/>
        <w:ind w:left="1134"/>
        <w:rPr>
          <w:szCs w:val="24"/>
        </w:rPr>
      </w:pPr>
      <w:r w:rsidRPr="007871EF">
        <w:t>–</w:t>
      </w:r>
      <w:r w:rsidRPr="007871EF">
        <w:tab/>
        <w:t>het feit dat Hongarije geen lid is geworden van het Europees Openbaar Ministerie (EOM);</w:t>
      </w:r>
    </w:p>
    <w:p w:rsidR="00853512" w:rsidRPr="007871EF" w:rsidRDefault="00853512" w:rsidP="00853512">
      <w:pPr>
        <w:pStyle w:val="NormalHanging12a"/>
        <w:rPr>
          <w:szCs w:val="24"/>
        </w:rPr>
      </w:pPr>
      <w:r w:rsidRPr="007871EF">
        <w:t>P.</w:t>
      </w:r>
      <w:r w:rsidRPr="007871EF">
        <w:tab/>
        <w:t>overwegende dat de niet-limitatieve lijst van aanhoudende ernstige tekortkomingen met betrekking tot de naleving van de beginselen en regels van de interne markt het volgende omvat:</w:t>
      </w:r>
    </w:p>
    <w:p w:rsidR="00853512" w:rsidRPr="007871EF" w:rsidRDefault="00853512" w:rsidP="007871EF">
      <w:pPr>
        <w:pStyle w:val="NormalHanging12a"/>
        <w:ind w:left="1134"/>
        <w:rPr>
          <w:bCs/>
          <w:szCs w:val="24"/>
        </w:rPr>
      </w:pPr>
      <w:r w:rsidRPr="007871EF">
        <w:t>–</w:t>
      </w:r>
      <w:r w:rsidRPr="007871EF">
        <w:tab/>
        <w:t>discriminerende praktijken tegen ondernemingen die actief zijn op gebieden die van strategisch belang zijn voor de Hongaarse regering;</w:t>
      </w:r>
    </w:p>
    <w:p w:rsidR="00853512" w:rsidRPr="007871EF" w:rsidRDefault="00853512" w:rsidP="007871EF">
      <w:pPr>
        <w:pStyle w:val="NormalHanging12a"/>
        <w:ind w:left="1134"/>
        <w:rPr>
          <w:bCs/>
          <w:szCs w:val="24"/>
        </w:rPr>
      </w:pPr>
      <w:r w:rsidRPr="007871EF">
        <w:t>–</w:t>
      </w:r>
      <w:r w:rsidRPr="007871EF">
        <w:tab/>
        <w:t>het misbruik van openbare en wetgevende macht en het gebruik van intimidatietechnieken tegen economische actoren die actief zijn op gebieden die van strategisch belang zijn voor de Hongaarse regering;</w:t>
      </w:r>
    </w:p>
    <w:p w:rsidR="00853512" w:rsidRPr="007871EF" w:rsidRDefault="00853512" w:rsidP="00853512">
      <w:pPr>
        <w:pStyle w:val="NormalHanging12a"/>
        <w:rPr>
          <w:szCs w:val="24"/>
        </w:rPr>
      </w:pPr>
      <w:r w:rsidRPr="007871EF">
        <w:lastRenderedPageBreak/>
        <w:t>Q.</w:t>
      </w:r>
      <w:r w:rsidRPr="007871EF">
        <w:tab/>
        <w:t xml:space="preserve">overwegende dat de Hongaarse regering ook andere in </w:t>
      </w:r>
      <w:r w:rsidR="00943E89">
        <w:t>de resolutie van het Parlement van 15 september 2022</w:t>
      </w:r>
      <w:r w:rsidRPr="007871EF">
        <w:t xml:space="preserve"> genoemde punten van zorg met betrekking tot de grondrechten </w:t>
      </w:r>
      <w:bookmarkStart w:id="7" w:name="_GoBack"/>
      <w:bookmarkEnd w:id="7"/>
      <w:r w:rsidRPr="007871EF">
        <w:t>niet heeft aangepakt, zoals:</w:t>
      </w:r>
    </w:p>
    <w:p w:rsidR="00853512" w:rsidRPr="007871EF" w:rsidRDefault="00853512" w:rsidP="007871EF">
      <w:pPr>
        <w:pStyle w:val="NormalHanging12a"/>
        <w:ind w:left="1134"/>
        <w:rPr>
          <w:szCs w:val="24"/>
        </w:rPr>
      </w:pPr>
      <w:r w:rsidRPr="007871EF">
        <w:t>–</w:t>
      </w:r>
      <w:r w:rsidRPr="007871EF">
        <w:tab/>
        <w:t>academische vrijheid;</w:t>
      </w:r>
    </w:p>
    <w:p w:rsidR="00853512" w:rsidRPr="007871EF" w:rsidRDefault="00853512" w:rsidP="007871EF">
      <w:pPr>
        <w:pStyle w:val="NormalHanging12a"/>
        <w:ind w:left="1134"/>
        <w:rPr>
          <w:szCs w:val="24"/>
        </w:rPr>
      </w:pPr>
      <w:r w:rsidRPr="007871EF">
        <w:t>–</w:t>
      </w:r>
      <w:r w:rsidRPr="007871EF">
        <w:tab/>
        <w:t>vrijheid van godsdienst; </w:t>
      </w:r>
    </w:p>
    <w:p w:rsidR="00853512" w:rsidRPr="007871EF" w:rsidRDefault="00853512" w:rsidP="007871EF">
      <w:pPr>
        <w:pStyle w:val="NormalHanging12a"/>
        <w:ind w:left="1134"/>
        <w:rPr>
          <w:szCs w:val="24"/>
        </w:rPr>
      </w:pPr>
      <w:r w:rsidRPr="007871EF">
        <w:t>–</w:t>
      </w:r>
      <w:r w:rsidRPr="007871EF">
        <w:tab/>
        <w:t>het recht op gelijke behandeling, met inbegrip van de rechten van lhbtiq’ers;</w:t>
      </w:r>
    </w:p>
    <w:p w:rsidR="00853512" w:rsidRPr="007871EF" w:rsidRDefault="00853512" w:rsidP="007871EF">
      <w:pPr>
        <w:pStyle w:val="NormalHanging12a"/>
        <w:ind w:left="1134"/>
        <w:rPr>
          <w:szCs w:val="24"/>
        </w:rPr>
      </w:pPr>
      <w:r w:rsidRPr="007871EF">
        <w:t>–</w:t>
      </w:r>
      <w:r w:rsidRPr="007871EF">
        <w:tab/>
        <w:t>de rechten van personen die tot minderheden behoren, waaronder de rechten van Roma en joden; bescherming tegen haatdragende uitspraken tegen minderheden;</w:t>
      </w:r>
    </w:p>
    <w:p w:rsidR="00853512" w:rsidRPr="007871EF" w:rsidRDefault="00853512" w:rsidP="007871EF">
      <w:pPr>
        <w:pStyle w:val="NormalHanging12a"/>
        <w:ind w:left="1134"/>
        <w:rPr>
          <w:szCs w:val="24"/>
        </w:rPr>
      </w:pPr>
      <w:r w:rsidRPr="007871EF">
        <w:t>–</w:t>
      </w:r>
      <w:r w:rsidRPr="007871EF">
        <w:tab/>
        <w:t>de grondrechten van migranten, asielzoekers en vluchtelingen;</w:t>
      </w:r>
    </w:p>
    <w:p w:rsidR="00853512" w:rsidRPr="007871EF" w:rsidRDefault="00853512" w:rsidP="007871EF">
      <w:pPr>
        <w:pStyle w:val="NormalHanging12a"/>
        <w:ind w:left="1134"/>
        <w:rPr>
          <w:szCs w:val="24"/>
        </w:rPr>
      </w:pPr>
      <w:r w:rsidRPr="007871EF">
        <w:t>–</w:t>
      </w:r>
      <w:r w:rsidRPr="007871EF">
        <w:tab/>
        <w:t>economische en sociale rechten;</w:t>
      </w:r>
    </w:p>
    <w:p w:rsidR="00853512" w:rsidRPr="007871EF" w:rsidRDefault="00853512" w:rsidP="00853512">
      <w:pPr>
        <w:pStyle w:val="NormalHanging12a"/>
        <w:rPr>
          <w:szCs w:val="24"/>
        </w:rPr>
      </w:pPr>
      <w:r w:rsidRPr="007871EF">
        <w:t>R.</w:t>
      </w:r>
      <w:r w:rsidRPr="007871EF">
        <w:tab/>
        <w:t>overwegende dat de wet op de bescherming van de nationale soevereiniteit op 23 december 2023 in werking is getreden; overwegende dat als gevolg hiervan de nieuwe SPO is opgericht en het wetboek van strafrecht is gewijzigd om onder andere een gevangenisstraf voor te schrijven voor het gebruik van financiering uit het buitenland voor politieke campagnes; overwegende dat de Commissaris voor de Mensenrechten van de Raad van Europa in haar verklaring van 27 november 2023 heeft aangegeven dat het ontwerp van die wet een aanzienlijk risico voor de mensenrechten inhoudt en moet worden ingetrokken; overwegende dat de Commissie van Venetië in haar advies van 18 maart 2024 opmerkte dat beperkingen op buitenlandse financiering voor politieke partijen en verkiezingscampagnes gebruikelijk waren en in beginsel in overeenstemming zijn met internationale beste praktijken en normen, maar dat de wetswijzigingen niet duidelijk omschreven welke campagneactiviteiten verboden waren en hoe kon worden vastgesteld dat deze met buitenlandse middelen waren gefinancierd; overwegende dat de Commissie van Venetië in haar advies ook opmerkte dat de amendementen geen rekening houden met de samenwerking van politieke partijen op internationaal niveau, financiering door internationale organisaties uitsluiten of voorzien in de naleving van internationale verplichtingen, waaronder de verplichtingen die voortvloeien uit het EU-lidmaatschap; overwegende dat de Commissie op 7 februari 2024 besloot de Commissie een inbreukprocedure tegen Hongarije in te leiden, omdat zij van mening was dat de wetgeving in strijd was met verschillende bepalingen van het primaire en secundaire EU-recht, waaronder de democratische waarden van de EU, het beginsel van democratie en het kiesrecht van EU-burgers, en verschillende in het Handvest verankerde grondrechten, zoals het recht op eerbiediging van het privé-leven en van het familie- en gezinsleven, het recht op bescherming van persoonsgegevens, de vrijheid van meningsuiting en van informatie, de vrijheid van vereniging, het kiesrecht van EU-burgers, het recht op een doeltreffende voorziening in rechte en op een onpartijdig gerecht, het beginsel dat zelfincriminatie verboden is en het professioneel verschoningsrecht, de vereisten van de EU-wetgeving inzake gegevensbescherming en diverse regels die van toepassing zijn op de interne markt;</w:t>
      </w:r>
    </w:p>
    <w:p w:rsidR="00853512" w:rsidRPr="007871EF" w:rsidRDefault="00853512" w:rsidP="00853512">
      <w:pPr>
        <w:pStyle w:val="NormalHanging12a"/>
        <w:rPr>
          <w:szCs w:val="24"/>
        </w:rPr>
      </w:pPr>
      <w:r w:rsidRPr="007871EF">
        <w:t>S.</w:t>
      </w:r>
      <w:r w:rsidRPr="007871EF">
        <w:tab/>
        <w:t xml:space="preserve">overwegende dat het HvJ-EU sinds de goedkeuring van het tussentijds verslag in zijn </w:t>
      </w:r>
      <w:r w:rsidRPr="007871EF">
        <w:lastRenderedPageBreak/>
        <w:t>arrest in zaak C-823/21</w:t>
      </w:r>
      <w:r w:rsidRPr="007871EF">
        <w:rPr>
          <w:rStyle w:val="FootnoteReference"/>
          <w:szCs w:val="24"/>
        </w:rPr>
        <w:footnoteReference w:id="7"/>
      </w:r>
      <w:r w:rsidRPr="007871EF">
        <w:t xml:space="preserve">, </w:t>
      </w:r>
      <w:r w:rsidRPr="007871EF">
        <w:rPr>
          <w:i/>
        </w:rPr>
        <w:t>Commissie/Hongarije,</w:t>
      </w:r>
      <w:r w:rsidRPr="007871EF">
        <w:t xml:space="preserve"> heeft verklaard dat Hongarije, door een verzoek om internationale bescherming afhankelijk te stellen van een intentieverklaring op een Hongaarse ambassade in een derde land, zijn verplichtingen op grond van het EU-asielrecht niet is nagekomen;</w:t>
      </w:r>
    </w:p>
    <w:p w:rsidR="00853512" w:rsidRPr="007871EF" w:rsidRDefault="00853512" w:rsidP="00853512">
      <w:pPr>
        <w:pStyle w:val="NormalHanging12a"/>
        <w:rPr>
          <w:szCs w:val="24"/>
        </w:rPr>
      </w:pPr>
      <w:r w:rsidRPr="007871EF">
        <w:t>T.</w:t>
      </w:r>
      <w:r w:rsidRPr="007871EF">
        <w:tab/>
        <w:t xml:space="preserve">overwegende dat in de </w:t>
      </w:r>
      <w:r w:rsidRPr="007871EF">
        <w:rPr>
          <w:color w:val="000000"/>
        </w:rPr>
        <w:t>arresten van het Europees Hof voor de Rechten van de Mens (EHRM) van 10 november 2022</w:t>
      </w:r>
      <w:r w:rsidRPr="007871EF">
        <w:rPr>
          <w:color w:val="000000"/>
          <w:sz w:val="27"/>
        </w:rPr>
        <w:t xml:space="preserve"> </w:t>
      </w:r>
      <w:r w:rsidRPr="007871EF">
        <w:t xml:space="preserve">in de zaak </w:t>
      </w:r>
      <w:r w:rsidRPr="007871EF">
        <w:rPr>
          <w:i/>
        </w:rPr>
        <w:t>Bakirdzi en E.C.</w:t>
      </w:r>
      <w:r w:rsidRPr="007871EF">
        <w:t xml:space="preserve"> tegen </w:t>
      </w:r>
      <w:r w:rsidRPr="007871EF">
        <w:rPr>
          <w:i/>
        </w:rPr>
        <w:t>Hongarije</w:t>
      </w:r>
      <w:r w:rsidRPr="007871EF">
        <w:t xml:space="preserve"> (</w:t>
      </w:r>
      <w:hyperlink r:id="rId9" w:anchor="{%22appno%22:[%2249636/14%22]}" w:tgtFrame="_blank" w:history="1">
        <w:r w:rsidRPr="007871EF">
          <w:rPr>
            <w:rStyle w:val="Hyperlink"/>
            <w:shd w:val="clear" w:color="auto" w:fill="FFFFFF"/>
          </w:rPr>
          <w:t>49636/14</w:t>
        </w:r>
      </w:hyperlink>
      <w:r w:rsidR="008A57D2" w:rsidRPr="007871EF">
        <w:rPr>
          <w:rStyle w:val="Hyperlink"/>
          <w:shd w:val="clear" w:color="auto" w:fill="FFFFFF"/>
        </w:rPr>
        <w:t xml:space="preserve"> </w:t>
      </w:r>
      <w:r w:rsidRPr="007871EF">
        <w:rPr>
          <w:shd w:val="clear" w:color="auto" w:fill="FFFFFF"/>
        </w:rPr>
        <w:t>en</w:t>
      </w:r>
      <w:r w:rsidR="008A57D2" w:rsidRPr="007871EF">
        <w:rPr>
          <w:shd w:val="clear" w:color="auto" w:fill="FFFFFF"/>
        </w:rPr>
        <w:t xml:space="preserve"> </w:t>
      </w:r>
      <w:hyperlink r:id="rId10" w:anchor="{%22appno%22:[%2265678/14%22]}" w:tgtFrame="_blank" w:history="1">
        <w:r w:rsidRPr="007871EF">
          <w:rPr>
            <w:rStyle w:val="Hyperlink"/>
            <w:shd w:val="clear" w:color="auto" w:fill="FFFFFF"/>
          </w:rPr>
          <w:t>65678/14</w:t>
        </w:r>
      </w:hyperlink>
      <w:r w:rsidRPr="007871EF">
        <w:t xml:space="preserve">), die definitief is geworden op 3 april 2023, en van 30 maart 2023 in de zaak </w:t>
      </w:r>
      <w:r w:rsidRPr="007871EF">
        <w:rPr>
          <w:i/>
        </w:rPr>
        <w:t>Szolcsán</w:t>
      </w:r>
      <w:r w:rsidRPr="007871EF">
        <w:t xml:space="preserve"> tegen </w:t>
      </w:r>
      <w:r w:rsidRPr="007871EF">
        <w:rPr>
          <w:i/>
        </w:rPr>
        <w:t>Hongarije (</w:t>
      </w:r>
      <w:r w:rsidRPr="007871EF">
        <w:rPr>
          <w:rStyle w:val="textcolumn"/>
          <w:shd w:val="clear" w:color="auto" w:fill="FFFFFF"/>
        </w:rPr>
        <w:t>24408/16</w:t>
      </w:r>
      <w:r w:rsidRPr="007871EF">
        <w:t>), die definitief is geworden op 30 juni 2023, het EHRM schendingen heeft vastgesteld met betrekking tot het stemrecht van kiezers van nationale minderheden en met betrekking tot het onderwijs van Roma-kinderen in gescheiden klassen of scholen zonder dat er passende maatregelen zijn genomen om de ongelijkheden te corrigeren;</w:t>
      </w:r>
    </w:p>
    <w:p w:rsidR="00853512" w:rsidRPr="007871EF" w:rsidRDefault="00853512" w:rsidP="00853512">
      <w:pPr>
        <w:pStyle w:val="NormalHanging12a"/>
        <w:rPr>
          <w:szCs w:val="24"/>
        </w:rPr>
      </w:pPr>
      <w:r w:rsidRPr="007871EF">
        <w:t>U.</w:t>
      </w:r>
      <w:r w:rsidRPr="007871EF">
        <w:tab/>
        <w:t xml:space="preserve">overwegende dat het Comité van Ministers van de Raad van Europa in zijn besluiten betreffende het lopende verscherpte toezicht op de uitvoering van de arresten van het EHRM in de zaken en groepen zaken </w:t>
      </w:r>
      <w:r w:rsidRPr="007871EF">
        <w:rPr>
          <w:i/>
        </w:rPr>
        <w:t>Szabó en Vissy</w:t>
      </w:r>
      <w:r w:rsidRPr="007871EF">
        <w:t xml:space="preserve"> tegen </w:t>
      </w:r>
      <w:r w:rsidRPr="007871EF">
        <w:rPr>
          <w:i/>
        </w:rPr>
        <w:t>Hongarije</w:t>
      </w:r>
      <w:r w:rsidRPr="007871EF">
        <w:rPr>
          <w:rStyle w:val="FootnoteReference"/>
          <w:i/>
          <w:szCs w:val="24"/>
        </w:rPr>
        <w:footnoteReference w:id="8"/>
      </w:r>
      <w:r w:rsidRPr="007871EF">
        <w:t xml:space="preserve">, </w:t>
      </w:r>
      <w:r w:rsidRPr="007871EF">
        <w:rPr>
          <w:i/>
        </w:rPr>
        <w:t>Gazsó</w:t>
      </w:r>
      <w:r w:rsidRPr="007871EF">
        <w:t xml:space="preserve"> tegen </w:t>
      </w:r>
      <w:r w:rsidRPr="007871EF">
        <w:rPr>
          <w:i/>
        </w:rPr>
        <w:t>Hongarije</w:t>
      </w:r>
      <w:r w:rsidRPr="007871EF">
        <w:rPr>
          <w:rStyle w:val="FootnoteReference"/>
          <w:i/>
          <w:szCs w:val="24"/>
        </w:rPr>
        <w:footnoteReference w:id="9"/>
      </w:r>
      <w:r w:rsidRPr="007871EF">
        <w:t xml:space="preserve">, </w:t>
      </w:r>
      <w:r w:rsidRPr="007871EF">
        <w:rPr>
          <w:i/>
        </w:rPr>
        <w:t>Ilias en Ahmed</w:t>
      </w:r>
      <w:r w:rsidRPr="007871EF">
        <w:t xml:space="preserve"> tegen </w:t>
      </w:r>
      <w:r w:rsidRPr="007871EF">
        <w:rPr>
          <w:i/>
        </w:rPr>
        <w:t>Hongarije</w:t>
      </w:r>
      <w:r w:rsidRPr="007871EF">
        <w:rPr>
          <w:rStyle w:val="FootnoteReference"/>
          <w:i/>
          <w:szCs w:val="24"/>
        </w:rPr>
        <w:footnoteReference w:id="10"/>
      </w:r>
      <w:r w:rsidRPr="007871EF">
        <w:t xml:space="preserve"> en </w:t>
      </w:r>
      <w:r w:rsidRPr="007871EF">
        <w:rPr>
          <w:i/>
        </w:rPr>
        <w:t>Baka</w:t>
      </w:r>
      <w:r w:rsidRPr="007871EF">
        <w:t xml:space="preserve"> tegen </w:t>
      </w:r>
      <w:r w:rsidRPr="007871EF">
        <w:rPr>
          <w:i/>
        </w:rPr>
        <w:t>Hongarije</w:t>
      </w:r>
      <w:r w:rsidRPr="007871EF">
        <w:rPr>
          <w:rStyle w:val="FootnoteReference"/>
          <w:i/>
          <w:szCs w:val="24"/>
        </w:rPr>
        <w:footnoteReference w:id="11"/>
      </w:r>
      <w:r w:rsidRPr="007871EF">
        <w:t xml:space="preserve"> opnieuw zijn bezorgdheid heeft geuit over de niet-uitvoering van deze arresten;</w:t>
      </w:r>
    </w:p>
    <w:p w:rsidR="00853512" w:rsidRPr="007871EF" w:rsidRDefault="00853512" w:rsidP="00853512">
      <w:pPr>
        <w:pStyle w:val="NormalHanging12a"/>
        <w:rPr>
          <w:szCs w:val="24"/>
        </w:rPr>
      </w:pPr>
      <w:r w:rsidRPr="007871EF">
        <w:t>V.</w:t>
      </w:r>
      <w:r w:rsidRPr="007871EF">
        <w:tab/>
        <w:t xml:space="preserve">overwegende dat </w:t>
      </w:r>
      <w:r w:rsidRPr="007871EF">
        <w:rPr>
          <w:shd w:val="clear" w:color="auto" w:fill="FFFFFF"/>
        </w:rPr>
        <w:t>de Groep van Staten tegen Corruptie (</w:t>
      </w:r>
      <w:r w:rsidRPr="007871EF">
        <w:t>Greco) in zijn evaluatieverslag over de vijfde evaluatieronde met betrekking tot Hongarije op talrijke punten zijn bezorgdheid heeft uitgesproken over de doeltreffendheid van het in Hongarije bestaande kader ter voorkoming van corruptie bij personen met leidinggevende functies en leden van de Hongaarse nationale politie en de nationale beschermingsdienst; overwegende dat Greco heeft aangegeven dat een gemeenschappelijk en algemeen kenmerk van het openbaar bestuur en de wetshandhavingsinstanties in Hongarije is dat de meeste maatregelen inzake integriteit en corruptiepreventie gericht zijn op ambtenaren van het lage en middenkader, maar dat het integriteitskader dat van toepassing is op personen met uitvoerende topfuncties zeer zwak is en dat de voorwaarden voor de benoeming van hogere leidinggevenden bij de politie en de nationale beschermingsdienst het risico van politisering in zich dragen;</w:t>
      </w:r>
    </w:p>
    <w:p w:rsidR="00853512" w:rsidRPr="007871EF" w:rsidRDefault="00853512" w:rsidP="00853512">
      <w:pPr>
        <w:pStyle w:val="NormalHanging12a"/>
        <w:rPr>
          <w:szCs w:val="24"/>
        </w:rPr>
      </w:pPr>
      <w:r w:rsidRPr="007871EF">
        <w:t>W.</w:t>
      </w:r>
      <w:r w:rsidRPr="007871EF">
        <w:tab/>
        <w:t xml:space="preserve">overwegende dat de Europese Commissie tegen Racisme en Onverdraagzaamheid in haar verslag enkele positieve ontwikkelingen in Hongarije toejuicht, maar haar bezorgdheid uitsprak over de afschaffing van de autoriteit voor gelijke behandeling, de stigmatisering van studenten uit gemarginaliseerde milieus en gezinnen met een laag inkomen, zoals Roma-studenten, de aanzienlijke verslechtering van de mensenrechten van lhbti’ers, het steeds xenofobere openbare discours en politieke uitingen die met name gericht zijn tegen vluchtelingen, asielzoekers en migranten, moslims en lhbti’ers, de uiterst beperkte doeltreffendheid van het rechtskader inzake haatzaaiende uitlatingen, de niet-uitvoering van de nationale strategieën voor sociale inclusie, de beëindiging van </w:t>
      </w:r>
      <w:r w:rsidRPr="007871EF">
        <w:lastRenderedPageBreak/>
        <w:t>de overheidssteun voor de integratie van vluchtelingen en personen aan wie subsidiaire bescherming is verleend, en de beperkte toegang tot asiel in het land;</w:t>
      </w:r>
    </w:p>
    <w:p w:rsidR="00853512" w:rsidRPr="007871EF" w:rsidRDefault="00853512" w:rsidP="00853512">
      <w:pPr>
        <w:pStyle w:val="NormalHanging12a"/>
        <w:rPr>
          <w:szCs w:val="24"/>
        </w:rPr>
      </w:pPr>
      <w:r w:rsidRPr="007871EF">
        <w:t>X.</w:t>
      </w:r>
      <w:r w:rsidRPr="007871EF">
        <w:tab/>
        <w:t>overwegende dat het VN-Comité voor de uitbanning van discriminatie van vrouwen in zijn slotopmerkingen zijn bezorgdheid heeft geuit over seksuele en reproductieve gezondheid en rechten en over het feit dat het Hongaarse gelijkheidsbeleid uitsluitend gebaseerd is op het concept van het gezin en de vrouw in de eerste plaats als echtgenote en moeder beschouwt, en Hongarije heeft aanbevolen maatregelen te nemen om het publieke discours dat tegen gender gericht is, aan te pakken;</w:t>
      </w:r>
    </w:p>
    <w:p w:rsidR="00853512" w:rsidRPr="007871EF" w:rsidRDefault="00853512" w:rsidP="00853512">
      <w:pPr>
        <w:pStyle w:val="NormalHanging12a"/>
        <w:rPr>
          <w:szCs w:val="24"/>
        </w:rPr>
      </w:pPr>
      <w:r w:rsidRPr="007871EF">
        <w:t>Y.</w:t>
      </w:r>
      <w:r w:rsidRPr="007871EF">
        <w:tab/>
        <w:t xml:space="preserve">overwegende dat de vertegenwoordiger voor mediavrijheid van </w:t>
      </w:r>
      <w:r w:rsidRPr="007871EF">
        <w:rPr>
          <w:shd w:val="clear" w:color="auto" w:fill="FFFFFF"/>
        </w:rPr>
        <w:t>de Organisatie voor Veiligheid en Samenwerking in Europa</w:t>
      </w:r>
      <w:r w:rsidRPr="007871EF">
        <w:t xml:space="preserve"> in haar verklaring na een officieel bezoek aan Hongarije verklaarde dat de situatie op het gebied van de mediavrijheid in Hongarije de indruk wekt dat er sprake is van een systematische aanpak waarbij voor sommige stemmen niet dezelfde basisvoorwaarden gelden om te worden gehoord;</w:t>
      </w:r>
    </w:p>
    <w:p w:rsidR="00853512" w:rsidRPr="007871EF" w:rsidRDefault="00853512" w:rsidP="00853512">
      <w:pPr>
        <w:pStyle w:val="NormalHanging12a"/>
        <w:rPr>
          <w:szCs w:val="24"/>
        </w:rPr>
      </w:pPr>
      <w:r w:rsidRPr="007871EF">
        <w:t>Z.</w:t>
      </w:r>
      <w:r w:rsidRPr="007871EF">
        <w:tab/>
        <w:t>overwegende dat de Raad in zijn aanbeveling over het nationale hervormingsprogramma 2023 van Hongarije en met een advies van de Raad over het convergentieprogramma 2023 van Hongarije (COM(2023)0617) heeft aanbevolen dat Hongarije maatregelen neemt om de toereikendheid van het socialebijstandsstelsel te verbeteren, de toegang tot effectieve actieve arbeidsmarktmaatregelen te verbeteren, te zorgen voor een effectieve sociale dialoog en het regelgevingskader en de concurrentie in de dienstensector te verbeteren overeenkomstig de beginselen van de eengemaakte markt en de rechtsstaat;</w:t>
      </w:r>
    </w:p>
    <w:p w:rsidR="00853512" w:rsidRPr="007871EF" w:rsidRDefault="00853512" w:rsidP="00853512">
      <w:pPr>
        <w:pStyle w:val="NormalHanging12a"/>
        <w:rPr>
          <w:szCs w:val="24"/>
        </w:rPr>
      </w:pPr>
      <w:r w:rsidRPr="007871EF">
        <w:t>AA.</w:t>
      </w:r>
      <w:r w:rsidRPr="007871EF">
        <w:tab/>
        <w:t>overwegende dat de Hongaarse regering meerdere arresten van het Hongaarse grondwettelijk hof, het HvJ-EU en het EHRM met betrekking tot schendingen door Hongarije van in artikel 2 VEU verankerde waarden niet heeft uitgevoerd en geen gevolg heeft gegeven aan de overgrote meerderheid van de aanbevelingen in het verslag over de rechtsstaat van de Commissie van 2023 of de aanbevelingen van andere internationale organen zoals Greco, de Commissie van Venetië en andere;</w:t>
      </w:r>
    </w:p>
    <w:p w:rsidR="00853512" w:rsidRPr="007871EF" w:rsidRDefault="00853512" w:rsidP="00853512">
      <w:pPr>
        <w:pStyle w:val="NormalHanging12a"/>
        <w:rPr>
          <w:szCs w:val="24"/>
        </w:rPr>
      </w:pPr>
      <w:r w:rsidRPr="007871EF">
        <w:t>1.</w:t>
      </w:r>
      <w:r w:rsidRPr="007871EF">
        <w:tab/>
        <w:t>is ontzet over de aanhoudende systematische en opzettelijke schending van de democratie, de rechtsstaat en de grondrechten in Hongarije, waarvoor de Hongaarse regering verantwoordelijkheid draagt;</w:t>
      </w:r>
    </w:p>
    <w:p w:rsidR="00853512" w:rsidRPr="007871EF" w:rsidRDefault="00853512" w:rsidP="00853512">
      <w:pPr>
        <w:pStyle w:val="NormalHanging12a"/>
        <w:rPr>
          <w:szCs w:val="24"/>
        </w:rPr>
      </w:pPr>
      <w:r w:rsidRPr="007871EF">
        <w:t>2.</w:t>
      </w:r>
      <w:r w:rsidRPr="007871EF">
        <w:tab/>
        <w:t>benadrukt dat de eerbiediging van de in artikel 2 VEU verankerde waarden in Hongarije aanzienlijk is verslechterd sinds artikel 7, lid 1, VEU in werking is getreden, en betreurt ten zeerste dat het gebrek aan doortastend optreden van de Commissie en de Raad heeft bijgedragen tot de ineenstorting van de democratie, de rechtsstaat en de grondrechten in dat land, waardoor het volgens de desbetreffende indicatoren is veranderd in een hybride regime van electorale autocratie;</w:t>
      </w:r>
    </w:p>
    <w:p w:rsidR="00853512" w:rsidRPr="007871EF" w:rsidRDefault="00853512" w:rsidP="00853512">
      <w:pPr>
        <w:pStyle w:val="NormalHanging12a"/>
        <w:rPr>
          <w:szCs w:val="24"/>
        </w:rPr>
      </w:pPr>
      <w:r w:rsidRPr="007871EF">
        <w:t>3.</w:t>
      </w:r>
      <w:r w:rsidRPr="007871EF">
        <w:tab/>
        <w:t>veroordeelt de goedkeuring van de wet op de bescherming van de nationale soevereiniteit en de oprichting van de SPO met uitgebreide bevoegdheden en een streng systeem van toezicht en sancties, die fundamenteel indruist tegen democratische normen, zoals het beginsel van vrije en eerlijke verkiezingen, de rechtsstaat en de grondrechten, en meerdere EU-wetten schendt; is ingenomen met de inbreukprocedure van de Commissie tegen Hongarije over deze kwestie; verzoekt de Hongaarse regering de wet onmiddellijk in te trekken</w:t>
      </w:r>
      <w:r w:rsidR="008A57D2" w:rsidRPr="007871EF">
        <w:t xml:space="preserve">; verzoekt de Commissie het </w:t>
      </w:r>
      <w:proofErr w:type="spellStart"/>
      <w:r w:rsidR="008A57D2" w:rsidRPr="007871EF">
        <w:t>HvJ</w:t>
      </w:r>
      <w:proofErr w:type="spellEnd"/>
      <w:r w:rsidR="008A57D2" w:rsidRPr="007871EF">
        <w:t xml:space="preserve">-EU te verzoeken de toepassing van bovengenoemde wet onmiddellijk op te schorten als voorlopige </w:t>
      </w:r>
      <w:r w:rsidR="008A57D2" w:rsidRPr="007871EF">
        <w:lastRenderedPageBreak/>
        <w:t>maatregel, aangezien deze wet in strijd is met het beginsel van vrije en eerlijke verkiezingen;</w:t>
      </w:r>
    </w:p>
    <w:p w:rsidR="00853512" w:rsidRPr="007871EF" w:rsidRDefault="00853512" w:rsidP="00853512">
      <w:pPr>
        <w:pStyle w:val="NormalHanging12a"/>
        <w:rPr>
          <w:szCs w:val="24"/>
        </w:rPr>
      </w:pPr>
      <w:r w:rsidRPr="007871EF">
        <w:t>4.</w:t>
      </w:r>
      <w:r w:rsidRPr="007871EF">
        <w:tab/>
        <w:t>betreurt het onvermogen van de Raad om zinvolle vooruitgang te boeken in de lopende procedure op grond van artikel 7, lid 1, VEU en herhaalt zijn oproep om de situatie te verbeteren door regelmatig hoorzittingen te houden, reeds lang bestaande en nieuwe problemen die de rechtsstaat, de democratie en de grondrechten aantasten, snel aan te pakken en concrete aanbevelingen te doen met termijnen voor de uitvoering ervan; verzoekt de Raad na elke hoorzitting uitgebreide notulen en conclusies te publiceren; benadrukt dat het Parlement in alle procedures in verband met artikel 7 VEU zijn met redenen omkleed voorstel aan de Raad moet kunnen voorleggen, hoorzittingen op grond van artikel 7 VEU moet kunnen bijwonen en in elke fase van de procedure onverwijld en volledig op de hoogte moet worden gehouden; verzoekt de Commissie en de lidstaten het initiatief te nemen tot en de Europese Raad te laten bepalen of Hongarije zich schuldig heeft gemaakt aan ernstige en voortdurende schendingen van de EU-waarden overeenkomstig artikel 7, lid 2, VEU, mocht er voor het einde van het Belgische voorzitterschap geen vooruitgang zijn geboekt; benadrukt dat de Raad medeverantwoordelijk is voor de bescherming van de in artikel 2 VEU verankerde waarden en dat het niet beschermen van deze waarden langdurige en potentieel schadelijke gevolgen zou hebben;</w:t>
      </w:r>
    </w:p>
    <w:p w:rsidR="00853512" w:rsidRPr="007871EF" w:rsidRDefault="00853512" w:rsidP="00853512">
      <w:pPr>
        <w:pStyle w:val="NormalHanging12a"/>
        <w:rPr>
          <w:szCs w:val="24"/>
        </w:rPr>
      </w:pPr>
      <w:r w:rsidRPr="007871EF">
        <w:t>5.</w:t>
      </w:r>
      <w:r w:rsidRPr="007871EF">
        <w:tab/>
        <w:t>beklemtoont de belangrijke rol van het voorzitterschap van de Raad om de werkzaamheden van de Raad in verband met EU-wetgeving aan te zwengelen en tegelijkertijd de continuïteit van de EU-agenda te waarborgen en de Raad te vertegenwoordigen in de betrekkingen met de andere instellingen van de EU; herhaalt zijn bezorgdheid over het feit dat de Hongaarse regering niet in staat zal zijn om zich op geloofwaardige wijze van deze taak te kwijten in 2024, aangezien zij het EU-recht niet naleeft en de in artikel 2 VEU verankerde waarden en het beginsel van loyale samenwerking niet eerbiedigt; betreurt dat de Raad nog geen oplossing heeft gevonden voor het probleem van de Hongaarse regeringsvertegenwoordigers die de vergaderingen van de Raad over democratie, de rechtsstaat en de grondrechten voorzitten, met inbegrip van de vergaderingen die verband houden met de bescherming van de financiële belangen en de begroting van de EU; benadrukt dat deze uitdaging komt op het cruciale moment van de Europese verkiezingen en de vorming van de Commissie; betreurt dat er geen oplossing is gevonden en herhaalt bereid te zijn maatregelen te nemen om de geloofwaardigheid van de Unie te verdedigen met betrekking tot de in artikel 2 VEU verankerde waarden op het gebied van samenwerking met de Raad;</w:t>
      </w:r>
    </w:p>
    <w:p w:rsidR="00853512" w:rsidRPr="007871EF" w:rsidRDefault="00853512" w:rsidP="00853512">
      <w:pPr>
        <w:pStyle w:val="NormalHanging12a"/>
        <w:rPr>
          <w:szCs w:val="24"/>
        </w:rPr>
      </w:pPr>
      <w:r w:rsidRPr="007871EF">
        <w:t>6.</w:t>
      </w:r>
      <w:r w:rsidRPr="007871EF">
        <w:tab/>
        <w:t>verzoekt de Raad en de Commissie meer aandacht te besteden aan de aanpak van de systemische ontmanteling van de rechtsstaat, alsook aan de wisselwerking tussen de verschillende schendingen van waarden die in zijn resoluties zijn vastgesteld; wijst erop dat de EU alle waarden die zijn verankerd in artikel 2 VEU met evenveel vastberadenheid moet verdedigen, en dat het nalaten hiervan de democratische instellingen ondermijnt en uiteindelijk de mensenrechten en het leven van iedereen in Hongarije aantast;</w:t>
      </w:r>
    </w:p>
    <w:p w:rsidR="00853512" w:rsidRPr="007871EF" w:rsidRDefault="00853512" w:rsidP="00853512">
      <w:pPr>
        <w:pStyle w:val="NormalHanging12a"/>
        <w:rPr>
          <w:szCs w:val="24"/>
        </w:rPr>
      </w:pPr>
      <w:r w:rsidRPr="007871EF">
        <w:t>7.</w:t>
      </w:r>
      <w:r w:rsidRPr="007871EF">
        <w:tab/>
        <w:t xml:space="preserve">herhaalt zijn verzoek aan de Commissie om ten volle gebruik te maken van de ter beschikking staande instrumenten om het duidelijke risico op een ernstige schending door Hongarije van de waarden waarop de EU berust, aan te pakken, en denkt hierbij met name aan versnelde inbreukprocedures, verzoeken om voorlopige maatregelen bij het HVJ-EU en acties met betrekking tot het gebrek aan uitvoering van zijn uitspraken; </w:t>
      </w:r>
      <w:r w:rsidRPr="007871EF">
        <w:lastRenderedPageBreak/>
        <w:t>herinnert aan het belang van de verordening inzake conditionaliteit met betrekking tot de rechtsstaat en is verheugd over het besluit van de Commissie van 13 december 2023 waarin wordt bevestigd dat het risico voor de Uniebegroting sinds december 2022 ongewijzigd is gebleven, hetgeen leidt tot de verlenging van de in het kader van de verordening genomen maatregelen; verzoekt de Commissie onmiddellijk actie te ondernemen in het kader van de verordening met betrekking tot andere schendingen van de rechtsstaat;</w:t>
      </w:r>
    </w:p>
    <w:p w:rsidR="00853512" w:rsidRPr="007871EF" w:rsidRDefault="00853512" w:rsidP="00853512">
      <w:pPr>
        <w:pStyle w:val="NormalHanging12a"/>
        <w:rPr>
          <w:szCs w:val="24"/>
        </w:rPr>
      </w:pPr>
      <w:r w:rsidRPr="007871EF">
        <w:t>8.</w:t>
      </w:r>
      <w:r w:rsidRPr="007871EF">
        <w:tab/>
        <w:t xml:space="preserve">herhaalt in deze context zijn ernstige bezorgdheid over het besluit dat de horizontale randvoorwaarde van het Handvest is vervuld met betrekking tot de onafhankelijkheid van de rechterlijke macht, waardoor de Hongaarse autoriteiten verzoeken om terugbetaling tot 10,2 miljard EUR kunnen indienen zonder dat er sprake is van adequate controlemechanismen of openbare aanbestedingsprocedures om goed financieel beheer of de bescherming van de EU-begroting te waarborgen; herinnert aan het verzoek dat het Parlement op 25 maart 2024 overeenkomstig artikel 263 VWEU bij het HVJ-EU heeft ingediend om de wettigheid van besluit C(2023) 9014 te toetsen; kijkt uit naar een snelle afhandeling van de zaak; herhaalt zijn verzoek aan de Commissie om haar besluit </w:t>
      </w:r>
      <w:r w:rsidR="008A57D2" w:rsidRPr="007871EF">
        <w:t>in te trekken</w:t>
      </w:r>
      <w:r w:rsidRPr="007871EF">
        <w:t xml:space="preserve">, met name in het licht van de nationale maatregelen die sinds de goedkeuring ervan zijn genomen en de uitgelekte onthullingen van de voormalige Hongaarse minister van Justitie die duiden op een gebrek aan onafhankelijkheid van het openbaar ministerie en politieke inmenging in strafprocessen; verzoekt de Commissie </w:t>
      </w:r>
      <w:r w:rsidR="008A57D2" w:rsidRPr="007871EF">
        <w:t xml:space="preserve">de </w:t>
      </w:r>
      <w:r w:rsidRPr="007871EF">
        <w:t xml:space="preserve">middelen te </w:t>
      </w:r>
      <w:r w:rsidR="008A57D2" w:rsidRPr="007871EF">
        <w:t xml:space="preserve">blokkeren </w:t>
      </w:r>
      <w:r w:rsidRPr="007871EF">
        <w:t>totdat alle relevante wetgeving volledig is uitgevoerd, de goedgekeurde maatregelen hun doeltreffendheid in de praktijk hebben bewezen en Hongarije alle relevante arresten van het HVJ-EU en het EHRM heeft uitgevoerd; verzoekt de Commissie de voorfinanciering in het kader van EU-financiering grondig te controleren om ervoor te zorgen dat de middelen worden besteed overeenkomstig de doelstellingen van de desbetreffende wetgeving; herhaalt zijn verzoek aan Hongarije om zo spoedig mogelijk lid te worden van het EOM;</w:t>
      </w:r>
      <w:r w:rsidR="00B9351D" w:rsidRPr="007871EF">
        <w:t xml:space="preserve"> verzoekt de Commissie er bij Hongarije op aan te dringen toe te treden tot het EOM;</w:t>
      </w:r>
    </w:p>
    <w:p w:rsidR="00853512" w:rsidRPr="007871EF" w:rsidRDefault="00853512" w:rsidP="00853512">
      <w:pPr>
        <w:pStyle w:val="NormalHanging12a"/>
        <w:rPr>
          <w:szCs w:val="24"/>
        </w:rPr>
      </w:pPr>
      <w:r w:rsidRPr="007871EF">
        <w:t>9.</w:t>
      </w:r>
      <w:r w:rsidRPr="007871EF">
        <w:tab/>
        <w:t>dringt erop aan dat de maatregelen die vereist zijn voor het vrijgeven van EU-financiering, zoals gedefinieerd in de relevante besluiten die zijn genomen in het kader van de verordening gemeenschappelijke bepalingen (GB-verordening)</w:t>
      </w:r>
      <w:r w:rsidRPr="007871EF">
        <w:rPr>
          <w:rStyle w:val="FootnoteReference"/>
          <w:szCs w:val="24"/>
        </w:rPr>
        <w:footnoteReference w:id="12"/>
      </w:r>
      <w:r w:rsidRPr="007871EF">
        <w:t>, de verordening inzake de herstel- en veerkrachtfaciliteit</w:t>
      </w:r>
      <w:r w:rsidRPr="007871EF">
        <w:rPr>
          <w:rStyle w:val="FootnoteReference"/>
          <w:szCs w:val="24"/>
        </w:rPr>
        <w:footnoteReference w:id="13"/>
      </w:r>
      <w:r w:rsidRPr="007871EF">
        <w:t xml:space="preserve"> en de verordening inzake conditionaliteit met betrekking tot de rechtsstaat, op coherente wijze moeten worden beoordeeld als een integraal pakket en dat er geen betalingen mogen worden gedaan, zelfs niet als er vooruitgang is geboekt op een of meer gebieden, maar er op een ander gebied nog steeds tekortkomingen bestaan; wijst erop dat het onbegrijpelijk is dat middelen in het kader van de GB-verordening worden vrijgegeven onder verwijzing naar verbeteringen in de onafhankelijkheid van de rechterlijke macht, terwijl middelen in het kader van de </w:t>
      </w:r>
      <w:r w:rsidRPr="007871EF">
        <w:lastRenderedPageBreak/>
        <w:t>herstel- en veerkrachtfaciliteit en het conditionaliteitsstelsel geblokkeerd blijven vanwege aanhoudende tekortkomingen met betrekking tot de onafhankelijkheid van de rechterlijke macht;</w:t>
      </w:r>
    </w:p>
    <w:p w:rsidR="00853512" w:rsidRPr="007871EF" w:rsidRDefault="00853512" w:rsidP="00853512">
      <w:pPr>
        <w:pStyle w:val="NormalHanging12a"/>
        <w:rPr>
          <w:szCs w:val="24"/>
        </w:rPr>
      </w:pPr>
      <w:r w:rsidRPr="007871EF">
        <w:t>10.</w:t>
      </w:r>
      <w:r w:rsidRPr="007871EF">
        <w:tab/>
        <w:t>neemt kennis van de oprichting van de integriteitsautoriteit als een van de corrigerende maatregelen die moeten worden uitgevoerd in het kader van de verordening inzake conditionaliteit met betrekking tot de rechtsstaat; is van mening dat de loutere oprichting van de instelling niet als voldoende kan worden beschouwd om de huidige problemen aan te pakken en is van mening dat de naleving van de respectieve corrigerende maatregelen moet worden beoordeeld op basis van het functioneren van die instelling in de praktijk; is van mening dat de integriteitsautoriteit, indien zij de nodige prerogatieven en uitvoeringsbevoegdheden krijgt, een aantal punten van zorg in verband met de rechtsstaat in Hongarije kan aanpakken, met name de bestrijding van corruptie; vreest echter dat het in de praktijk niet over de bevoegdheden en prerogatieven beschikt om haar taken naar behoren te vervullen, zoals in het eerste jaar van haar bestaan is gebleken; dringt erop aan dat de autoriteit meer bevoegdheden krijgt en dat deze bevoegdheden uitvoerbaar zijn, met name door haar voldoende toegang te verlenen tot relevante databanken, haar onderzoeksbevoegdheden te versterken en de goedkeuring van haar aanbevelingen verplicht te stellen;</w:t>
      </w:r>
    </w:p>
    <w:p w:rsidR="00853512" w:rsidRPr="007871EF" w:rsidRDefault="00853512" w:rsidP="00853512">
      <w:pPr>
        <w:pStyle w:val="NormalHanging12a"/>
        <w:rPr>
          <w:szCs w:val="24"/>
        </w:rPr>
      </w:pPr>
      <w:r w:rsidRPr="007871EF">
        <w:t>11.</w:t>
      </w:r>
      <w:r w:rsidRPr="007871EF">
        <w:tab/>
        <w:t>benadrukt dat de naleving van het EU-recht, met inbegrip van de internemarktregels, een kernpijler van het beginsel van de rechtsstaat vormt; verzoekt de Commissie om bij de evaluatie van de situatie van de rechtsstaat in elke lidstaat ook de situatie van de interne markt in die lidstaat te beoordelen; is bezorgd over het machtsmisbruik en de systematische discriminerende praktijken van de Hongaarse autoriteiten tegen ondernemingen die actief zijn op gebieden die van strategisch belang zijn voor de Hongaarse regering en oligarchen; wijst erop dat dit heeft geleid tot een klimaat van discriminatie en angst dat in strijd is met de pijlers van de interne markt en dat sommige ondernemingen en hun legitieme zakelijke belangen ernstig in gevaar brengt en hen de facto van de Hongaarse markt verdrijft; verzoekt de Commissie om bij de beoordeling van de situatie van de rechtsstaat in Hongarije bijzondere aandacht te besteden aan de naleving van de regels van de interne markt; verzoekt de Commissie na te gaan of de wetten op gebieden die voor de Hongaarse regering van strategisch belang zijn, in overeenstemming zijn met de geldende Europese wetgeving; wijst erop dat de Commissie de plicht heeft om snel gevolg te geven aan klachten van ondernemingen die systematisch het doelwit zijn van de Hongaarse autoriteiten en om relevante zaken voor te leggen aan het HVJ-EU;</w:t>
      </w:r>
    </w:p>
    <w:p w:rsidR="00853512" w:rsidRPr="007871EF" w:rsidRDefault="00853512" w:rsidP="00853512">
      <w:pPr>
        <w:pStyle w:val="NormalHanging12a"/>
        <w:rPr>
          <w:szCs w:val="24"/>
        </w:rPr>
      </w:pPr>
      <w:r w:rsidRPr="007871EF">
        <w:t>12.</w:t>
      </w:r>
      <w:r w:rsidRPr="007871EF">
        <w:tab/>
        <w:t>betreurt het feit dat Hongarije misbruik heeft gemaakt van zijn vetorecht in de Raad door te verhinderen dat Oekraïne essentiële hulp krijgt, waardoor de strategische belangen van de EU worden ondermijnd; veroordeelt het algemene beleid van de Hongaarse regering ten aanzien van Rusland;</w:t>
      </w:r>
    </w:p>
    <w:p w:rsidR="00853512" w:rsidRPr="007871EF" w:rsidRDefault="00853512" w:rsidP="00853512">
      <w:pPr>
        <w:pStyle w:val="NormalHanging12a"/>
        <w:rPr>
          <w:szCs w:val="24"/>
        </w:rPr>
      </w:pPr>
      <w:r w:rsidRPr="007871EF">
        <w:t>13.</w:t>
      </w:r>
      <w:r w:rsidRPr="007871EF">
        <w:tab/>
        <w:t>herhaalt zijn oproep aan de Commissie om ervoor te zorgen dat de eindontvangers of begunstigden van EU-middelen niet verstoken blijven van deze middelen, zoals uiteengezet in de verordening inzake conditionaliteit met betrekking tot de rechtsstaat; vraagt de Commissie op zoek te gaan naar manieren om EU-middelen via lokale en regionale overheden en het maatschappelijk middenveld te verdelen indien de betrokken regering niet meewerkt om de tekortkomingen in de uitvoering van de rechtsstaat te verhelpen;</w:t>
      </w:r>
    </w:p>
    <w:p w:rsidR="00853512" w:rsidRPr="007871EF" w:rsidRDefault="00853512" w:rsidP="00853512">
      <w:pPr>
        <w:pStyle w:val="NormalHanging12a"/>
        <w:rPr>
          <w:szCs w:val="24"/>
        </w:rPr>
      </w:pPr>
      <w:r w:rsidRPr="007871EF">
        <w:lastRenderedPageBreak/>
        <w:t>14.</w:t>
      </w:r>
      <w:r w:rsidRPr="007871EF">
        <w:tab/>
        <w:t>benadrukt dat de Hongaarse autoriteiten transparantie en gelijke kansen moeten waarborgen voor personen, ondernemingen, het maatschappelijk middenveld, niet-gouvernementele organisaties en lokale en regionale overheden die toegang willen krijgen tot EU-financiering, en moeten zorgen voor onafhankelijk gerechtelijk toezicht en onpartijdige en doeltreffende klachtenmechanismen; veroordeelt de gemelde systemische discriminerende praktijken ten aanzien van academici, journalisten, politieke partijen en het maatschappelijk middenveld, alsook ten aanzien van ondernemingen in bepaalde sectoren;</w:t>
      </w:r>
    </w:p>
    <w:p w:rsidR="00853512" w:rsidRPr="007871EF" w:rsidRDefault="00853512" w:rsidP="00853512">
      <w:pPr>
        <w:pStyle w:val="NormalHanging12a"/>
        <w:rPr>
          <w:szCs w:val="24"/>
        </w:rPr>
      </w:pPr>
      <w:r w:rsidRPr="007871EF">
        <w:t>15.</w:t>
      </w:r>
      <w:r w:rsidRPr="007871EF">
        <w:tab/>
        <w:t>verzoekt de Commissie steun te verlenen aan een onafhankelijk maatschappelijk middenveld in Hongarije dat de in artikel 2 VEU verankerde waarden waarborgt, met name door gebruik te maken van het programma “Burgers, gelijkheid, rechten en waarden”; herhaalt zijn oproep aan de Commissie om een alomvattende strategie voor het maatschappelijk middenveld vast te stellen voor de bescherming en ontwikkeling van de ruimte voor het maatschappelijk middenveld in de EU, waarin alle bestaande instrumenten worden geïntegreerd en een reeks specifieke maatregelen wordt geschetst om de ruimte voor het maatschappelijk middenveld te beschermen en te versterken;</w:t>
      </w:r>
    </w:p>
    <w:p w:rsidR="00853512" w:rsidRPr="007871EF" w:rsidRDefault="00853512" w:rsidP="00853512">
      <w:pPr>
        <w:pStyle w:val="NormalHanging12a"/>
        <w:rPr>
          <w:szCs w:val="24"/>
        </w:rPr>
      </w:pPr>
      <w:r w:rsidRPr="007871EF">
        <w:t>16.</w:t>
      </w:r>
      <w:r w:rsidRPr="007871EF">
        <w:tab/>
        <w:t>herhaalt zijn verzoek aan de Commissie en de Raad om onmiddellijk onderhandelingen te beginnen met het Parlement over een EU-mechanisme voor democratie, de rechtsstaat en grondrechten in de vorm van een interinstitutioneel akkoord, en over het opnemen van een permanente beleidscyclus tussen de EU-instellingen;</w:t>
      </w:r>
    </w:p>
    <w:p w:rsidR="00853512" w:rsidRPr="007871EF" w:rsidRDefault="00853512" w:rsidP="00853512">
      <w:pPr>
        <w:pStyle w:val="NormalHanging12a"/>
        <w:rPr>
          <w:szCs w:val="24"/>
        </w:rPr>
      </w:pPr>
      <w:r w:rsidRPr="007871EF">
        <w:t>17.</w:t>
      </w:r>
      <w:r w:rsidRPr="007871EF">
        <w:tab/>
        <w:t>verzoekt zijn Voorzitter deze resolutie te doen toekomen aan de Raad, de Commissie, de regeringen en parlementen van de lidstaten, de Raad van Europa, de Organisatie voor Veiligheid en Samenwerking in Europa en de Verenigde Naties.</w:t>
      </w:r>
    </w:p>
    <w:p w:rsidR="00853512" w:rsidRPr="007871EF" w:rsidRDefault="00853512" w:rsidP="00853512"/>
    <w:sectPr w:rsidR="00853512" w:rsidRPr="007871EF" w:rsidSect="007C5F2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B7E" w:rsidRPr="007C5F2A" w:rsidRDefault="00091B7E">
      <w:r w:rsidRPr="007C5F2A">
        <w:separator/>
      </w:r>
    </w:p>
  </w:endnote>
  <w:endnote w:type="continuationSeparator" w:id="0">
    <w:p w:rsidR="00091B7E" w:rsidRPr="007C5F2A" w:rsidRDefault="00091B7E">
      <w:r w:rsidRPr="007C5F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5F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5F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5F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B7E" w:rsidRPr="007C5F2A" w:rsidRDefault="00091B7E">
      <w:r w:rsidRPr="007C5F2A">
        <w:separator/>
      </w:r>
    </w:p>
  </w:footnote>
  <w:footnote w:type="continuationSeparator" w:id="0">
    <w:p w:rsidR="00091B7E" w:rsidRPr="007C5F2A" w:rsidRDefault="00091B7E">
      <w:r w:rsidRPr="007C5F2A">
        <w:continuationSeparator/>
      </w:r>
    </w:p>
  </w:footnote>
  <w:footnote w:id="1">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rStyle w:val="Emphasis"/>
          <w:sz w:val="24"/>
          <w:shd w:val="clear" w:color="auto" w:fill="FFFFFF"/>
          <w:lang w:val="nl-NL"/>
        </w:rPr>
        <w:tab/>
      </w:r>
      <w:r w:rsidRPr="007871EF">
        <w:rPr>
          <w:rStyle w:val="Emphasis"/>
          <w:i w:val="0"/>
          <w:sz w:val="24"/>
          <w:shd w:val="clear" w:color="auto" w:fill="FFFFFF"/>
          <w:lang w:val="nl-NL"/>
        </w:rPr>
        <w:t>PB C 433 van 23.12.2019, blz. 66.</w:t>
      </w:r>
    </w:p>
  </w:footnote>
  <w:footnote w:id="2">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rStyle w:val="Emphasis"/>
          <w:sz w:val="24"/>
          <w:shd w:val="clear" w:color="auto" w:fill="FFFFFF"/>
          <w:lang w:val="nl-NL"/>
        </w:rPr>
        <w:tab/>
      </w:r>
      <w:r w:rsidRPr="007871EF">
        <w:rPr>
          <w:rStyle w:val="Emphasis"/>
          <w:i w:val="0"/>
          <w:sz w:val="24"/>
          <w:shd w:val="clear" w:color="auto" w:fill="FFFFFF"/>
          <w:lang w:val="nl-NL"/>
        </w:rPr>
        <w:t>PB L 433</w:t>
      </w:r>
      <w:r w:rsidR="00943E89">
        <w:rPr>
          <w:rStyle w:val="Emphasis"/>
          <w:i w:val="0"/>
          <w:sz w:val="24"/>
          <w:shd w:val="clear" w:color="auto" w:fill="FFFFFF"/>
          <w:lang w:val="nl-NL"/>
        </w:rPr>
        <w:t> </w:t>
      </w:r>
      <w:r w:rsidRPr="007871EF">
        <w:rPr>
          <w:rStyle w:val="Emphasis"/>
          <w:i w:val="0"/>
          <w:sz w:val="24"/>
          <w:shd w:val="clear" w:color="auto" w:fill="FFFFFF"/>
          <w:lang w:val="nl-NL"/>
        </w:rPr>
        <w:t>I van 22.12.2020, blz. 1.</w:t>
      </w:r>
    </w:p>
  </w:footnote>
  <w:footnote w:id="3">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rStyle w:val="Emphasis"/>
          <w:sz w:val="24"/>
          <w:shd w:val="clear" w:color="auto" w:fill="FFFFFF"/>
          <w:lang w:val="nl-NL"/>
        </w:rPr>
        <w:tab/>
      </w:r>
      <w:r w:rsidRPr="007871EF">
        <w:rPr>
          <w:rStyle w:val="Emphasis"/>
          <w:i w:val="0"/>
          <w:sz w:val="24"/>
          <w:shd w:val="clear" w:color="auto" w:fill="FFFFFF"/>
          <w:lang w:val="nl-NL"/>
        </w:rPr>
        <w:t>PB C 125 van 5.4.2023, blz. 463.</w:t>
      </w:r>
    </w:p>
  </w:footnote>
  <w:footnote w:id="4">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rStyle w:val="Emphasis"/>
          <w:sz w:val="24"/>
          <w:shd w:val="clear" w:color="auto" w:fill="FFFFFF"/>
          <w:lang w:val="nl-NL"/>
        </w:rPr>
        <w:tab/>
      </w:r>
      <w:r w:rsidRPr="007871EF">
        <w:rPr>
          <w:rStyle w:val="Emphasis"/>
          <w:i w:val="0"/>
          <w:sz w:val="24"/>
          <w:shd w:val="clear" w:color="auto" w:fill="FFFFFF"/>
          <w:lang w:val="nl-NL"/>
        </w:rPr>
        <w:t>PB C 167 van 11.5.2023, blz. 74.</w:t>
      </w:r>
    </w:p>
  </w:footnote>
  <w:footnote w:id="5">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rStyle w:val="Emphasis"/>
          <w:sz w:val="24"/>
          <w:shd w:val="clear" w:color="auto" w:fill="FFFFFF"/>
          <w:lang w:val="nl-NL"/>
        </w:rPr>
        <w:tab/>
      </w:r>
      <w:r w:rsidRPr="007871EF">
        <w:rPr>
          <w:rStyle w:val="Emphasis"/>
          <w:i w:val="0"/>
          <w:sz w:val="24"/>
          <w:shd w:val="clear" w:color="auto" w:fill="FFFFFF"/>
          <w:lang w:val="nl-NL"/>
        </w:rPr>
        <w:t>PB C, C/2023/1223, van 21.12.2023, ELI: http://data.europa.eu/eli/C/2023/1223/oj.</w:t>
      </w:r>
    </w:p>
  </w:footnote>
  <w:footnote w:id="6">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sz w:val="24"/>
          <w:lang w:val="nl-NL"/>
        </w:rPr>
        <w:tab/>
      </w:r>
      <w:r w:rsidRPr="007C5F2A">
        <w:rPr>
          <w:sz w:val="24"/>
          <w:lang w:val="nl-NL"/>
        </w:rPr>
        <w:t>Aangenomen teksten, P9_</w:t>
      </w:r>
      <w:proofErr w:type="gramStart"/>
      <w:r w:rsidRPr="007C5F2A">
        <w:rPr>
          <w:sz w:val="24"/>
          <w:lang w:val="nl-NL"/>
        </w:rPr>
        <w:t>TA(</w:t>
      </w:r>
      <w:proofErr w:type="gramEnd"/>
      <w:r w:rsidRPr="007C5F2A">
        <w:rPr>
          <w:sz w:val="24"/>
          <w:lang w:val="nl-NL"/>
        </w:rPr>
        <w:t>2024)0053.</w:t>
      </w:r>
    </w:p>
  </w:footnote>
  <w:footnote w:id="7">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sz w:val="24"/>
          <w:lang w:val="nl-NL"/>
        </w:rPr>
        <w:tab/>
      </w:r>
      <w:r w:rsidRPr="007C5F2A">
        <w:rPr>
          <w:sz w:val="24"/>
          <w:lang w:val="nl-NL"/>
        </w:rPr>
        <w:t xml:space="preserve">Arrest van het Hof van Justitie van 22 juni 2023, </w:t>
      </w:r>
      <w:r w:rsidRPr="007C5F2A">
        <w:rPr>
          <w:i/>
          <w:iCs/>
          <w:sz w:val="24"/>
          <w:lang w:val="nl-NL"/>
        </w:rPr>
        <w:t>Commissie/Hongarije</w:t>
      </w:r>
      <w:r w:rsidRPr="007C5F2A">
        <w:rPr>
          <w:sz w:val="24"/>
          <w:lang w:val="nl-NL"/>
        </w:rPr>
        <w:t>, C-823/21, ECLI:EU:C:2023:504.</w:t>
      </w:r>
    </w:p>
  </w:footnote>
  <w:footnote w:id="8">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sz w:val="24"/>
          <w:lang w:val="nl-NL"/>
        </w:rPr>
        <w:tab/>
      </w:r>
      <w:r w:rsidRPr="007C5F2A">
        <w:rPr>
          <w:sz w:val="24"/>
          <w:lang w:val="nl-NL"/>
        </w:rPr>
        <w:t xml:space="preserve">Arrest van het EHRM van 12 januari 2016, </w:t>
      </w:r>
      <w:r w:rsidRPr="007C5F2A">
        <w:rPr>
          <w:i/>
          <w:sz w:val="24"/>
          <w:lang w:val="nl-NL"/>
        </w:rPr>
        <w:t xml:space="preserve">Szabó en Vissy </w:t>
      </w:r>
      <w:r w:rsidRPr="007C5F2A">
        <w:rPr>
          <w:sz w:val="24"/>
          <w:lang w:val="nl-NL"/>
        </w:rPr>
        <w:t>tegen</w:t>
      </w:r>
      <w:r w:rsidRPr="007C5F2A">
        <w:rPr>
          <w:i/>
          <w:sz w:val="24"/>
          <w:lang w:val="nl-NL"/>
        </w:rPr>
        <w:t xml:space="preserve"> Hongarije</w:t>
      </w:r>
      <w:r w:rsidRPr="007C5F2A">
        <w:rPr>
          <w:sz w:val="24"/>
          <w:lang w:val="nl-NL"/>
        </w:rPr>
        <w:t>, 37148/14, dat op 6 juni 2016 definitief is geworden.</w:t>
      </w:r>
    </w:p>
  </w:footnote>
  <w:footnote w:id="9">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sz w:val="24"/>
          <w:lang w:val="nl-NL"/>
        </w:rPr>
        <w:tab/>
      </w:r>
      <w:r w:rsidRPr="007C5F2A">
        <w:rPr>
          <w:sz w:val="24"/>
          <w:lang w:val="nl-NL"/>
        </w:rPr>
        <w:t xml:space="preserve">Arrest van het EHRM van 16 juli 2016, </w:t>
      </w:r>
      <w:r w:rsidRPr="007C5F2A">
        <w:rPr>
          <w:i/>
          <w:sz w:val="24"/>
          <w:lang w:val="nl-NL"/>
        </w:rPr>
        <w:t>Gazsó</w:t>
      </w:r>
      <w:r w:rsidRPr="007C5F2A">
        <w:rPr>
          <w:sz w:val="24"/>
          <w:lang w:val="nl-NL"/>
        </w:rPr>
        <w:t xml:space="preserve"> tegen </w:t>
      </w:r>
      <w:r w:rsidRPr="007C5F2A">
        <w:rPr>
          <w:i/>
          <w:sz w:val="24"/>
          <w:lang w:val="nl-NL"/>
        </w:rPr>
        <w:t>Hongarije</w:t>
      </w:r>
      <w:r w:rsidRPr="007C5F2A">
        <w:rPr>
          <w:sz w:val="24"/>
          <w:lang w:val="nl-NL"/>
        </w:rPr>
        <w:t>, 48322/12, dat op 16 oktober 2015 definitief is geworden.</w:t>
      </w:r>
    </w:p>
  </w:footnote>
  <w:footnote w:id="10">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sz w:val="24"/>
          <w:lang w:val="nl-NL"/>
        </w:rPr>
        <w:tab/>
      </w:r>
      <w:r w:rsidRPr="007C5F2A">
        <w:rPr>
          <w:sz w:val="24"/>
          <w:lang w:val="nl-NL"/>
        </w:rPr>
        <w:t xml:space="preserve">Arrest van het EHRM van 14 maart 2017, </w:t>
      </w:r>
      <w:r w:rsidRPr="007C5F2A">
        <w:rPr>
          <w:i/>
          <w:sz w:val="24"/>
          <w:lang w:val="nl-NL"/>
        </w:rPr>
        <w:t>Ilias en Ahmed</w:t>
      </w:r>
      <w:r w:rsidRPr="007C5F2A">
        <w:rPr>
          <w:sz w:val="24"/>
          <w:lang w:val="nl-NL"/>
        </w:rPr>
        <w:t xml:space="preserve"> tegen </w:t>
      </w:r>
      <w:r w:rsidRPr="007C5F2A">
        <w:rPr>
          <w:i/>
          <w:sz w:val="24"/>
          <w:lang w:val="nl-NL"/>
        </w:rPr>
        <w:t>Hongarije</w:t>
      </w:r>
      <w:r w:rsidRPr="007C5F2A">
        <w:rPr>
          <w:sz w:val="24"/>
          <w:lang w:val="nl-NL"/>
        </w:rPr>
        <w:t>, 47287/15.</w:t>
      </w:r>
    </w:p>
  </w:footnote>
  <w:footnote w:id="11">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sz w:val="24"/>
          <w:lang w:val="nl-NL"/>
        </w:rPr>
        <w:tab/>
      </w:r>
      <w:r w:rsidRPr="007C5F2A">
        <w:rPr>
          <w:sz w:val="24"/>
          <w:lang w:val="nl-NL"/>
        </w:rPr>
        <w:t xml:space="preserve">Arrest van het EHRM van 23 juni 2016, </w:t>
      </w:r>
      <w:r w:rsidRPr="007C5F2A">
        <w:rPr>
          <w:i/>
          <w:sz w:val="24"/>
          <w:lang w:val="nl-NL"/>
        </w:rPr>
        <w:t>Baka</w:t>
      </w:r>
      <w:r w:rsidRPr="007C5F2A">
        <w:rPr>
          <w:sz w:val="24"/>
          <w:lang w:val="nl-NL"/>
        </w:rPr>
        <w:t xml:space="preserve"> tegen </w:t>
      </w:r>
      <w:r w:rsidRPr="007C5F2A">
        <w:rPr>
          <w:i/>
          <w:sz w:val="24"/>
          <w:lang w:val="nl-NL"/>
        </w:rPr>
        <w:t>Hongarije</w:t>
      </w:r>
      <w:r w:rsidRPr="007C5F2A">
        <w:rPr>
          <w:sz w:val="24"/>
          <w:lang w:val="nl-NL"/>
        </w:rPr>
        <w:t>, 20261/12.</w:t>
      </w:r>
    </w:p>
  </w:footnote>
  <w:footnote w:id="12">
    <w:p w:rsidR="00853512" w:rsidRPr="007C5F2A" w:rsidRDefault="00853512" w:rsidP="007C5F2A">
      <w:pPr>
        <w:pStyle w:val="FootnoteText"/>
        <w:ind w:left="567" w:hanging="567"/>
        <w:rPr>
          <w:sz w:val="24"/>
          <w:lang w:val="nl-NL"/>
        </w:rPr>
      </w:pPr>
      <w:r w:rsidRPr="007C5F2A">
        <w:rPr>
          <w:rStyle w:val="FootnoteReference"/>
          <w:sz w:val="24"/>
          <w:lang w:val="nl-NL"/>
        </w:rPr>
        <w:footnoteRef/>
      </w:r>
      <w:r w:rsidR="007C5F2A" w:rsidRPr="007C5F2A">
        <w:rPr>
          <w:sz w:val="24"/>
          <w:shd w:val="clear" w:color="auto" w:fill="FFFFFF"/>
          <w:lang w:val="nl-NL"/>
        </w:rPr>
        <w:tab/>
      </w:r>
      <w:r w:rsidRPr="007C5F2A">
        <w:rPr>
          <w:sz w:val="24"/>
          <w:shd w:val="clear" w:color="auto" w:fill="FFFFFF"/>
          <w:lang w:val="nl-NL"/>
        </w:rPr>
        <w:t xml:space="preserve">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w:t>
      </w:r>
      <w:r w:rsidRPr="007871EF">
        <w:rPr>
          <w:rStyle w:val="Emphasis"/>
          <w:i w:val="0"/>
          <w:sz w:val="24"/>
          <w:shd w:val="clear" w:color="auto" w:fill="FFFFFF"/>
          <w:lang w:val="nl-NL"/>
        </w:rPr>
        <w:t>(PB L 231 van 30.6.2021, blz. 159).</w:t>
      </w:r>
    </w:p>
  </w:footnote>
  <w:footnote w:id="13">
    <w:p w:rsidR="00853512" w:rsidRPr="007C5F2A" w:rsidRDefault="00853512" w:rsidP="007871EF">
      <w:pPr>
        <w:pStyle w:val="title-bold"/>
        <w:shd w:val="clear" w:color="auto" w:fill="FFFFFF"/>
        <w:spacing w:before="0" w:beforeAutospacing="0" w:after="75" w:afterAutospacing="0"/>
        <w:ind w:left="567" w:hanging="567"/>
      </w:pPr>
      <w:r w:rsidRPr="007C5F2A">
        <w:rPr>
          <w:rStyle w:val="FootnoteReference"/>
          <w:szCs w:val="20"/>
        </w:rPr>
        <w:footnoteRef/>
      </w:r>
      <w:r w:rsidR="007C5F2A" w:rsidRPr="007C5F2A">
        <w:tab/>
      </w:r>
      <w:r w:rsidRPr="007C5F2A">
        <w:t xml:space="preserve">Verordening (EU) 2021/241 van het Europees Parlement en de Raad van 12 februari 2021 tot instelling van de herstel- en veerkrachtfaciliteit </w:t>
      </w:r>
      <w:r w:rsidRPr="008A67EB">
        <w:rPr>
          <w:rStyle w:val="Emphasis"/>
          <w:i w:val="0"/>
        </w:rPr>
        <w:t>(PB L 57 van 18.2.2021, blz. 17).</w:t>
      </w:r>
      <w:r w:rsidR="007C5F2A" w:rsidRPr="007C5F2A">
        <w:t xml:space="preserve"> </w:t>
      </w:r>
      <w:r w:rsidR="007C5F2A" w:rsidRPr="007C5F2A">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5F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5F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5F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NL"/>
    <w:docVar w:name="dvnumam" w:val="0"/>
    <w:docVar w:name="dvpe" w:val="760.687"/>
    <w:docVar w:name="dvtitre" w:val="Resolutie van het Europees Parlement van xx april 2024 over de lopende hoorzittingen in het kader van artikel 7, lid 1, VEU over Hongarije om de rechtstaat te versterken en de budgettaire gevolgen daarvan (2024/2683(RSP))"/>
  </w:docVars>
  <w:rsids>
    <w:rsidRoot w:val="00091B7E"/>
    <w:rsid w:val="00002272"/>
    <w:rsid w:val="00064002"/>
    <w:rsid w:val="000677B9"/>
    <w:rsid w:val="000831BA"/>
    <w:rsid w:val="00091B7E"/>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4EE"/>
    <w:rsid w:val="005C2568"/>
    <w:rsid w:val="006037C0"/>
    <w:rsid w:val="00651877"/>
    <w:rsid w:val="006631B6"/>
    <w:rsid w:val="00680577"/>
    <w:rsid w:val="006F74FA"/>
    <w:rsid w:val="00731ADD"/>
    <w:rsid w:val="00734777"/>
    <w:rsid w:val="00747932"/>
    <w:rsid w:val="00751A4A"/>
    <w:rsid w:val="00756632"/>
    <w:rsid w:val="00762C74"/>
    <w:rsid w:val="00786EC0"/>
    <w:rsid w:val="007871EF"/>
    <w:rsid w:val="007C5F2A"/>
    <w:rsid w:val="007D1690"/>
    <w:rsid w:val="007E22AD"/>
    <w:rsid w:val="00817416"/>
    <w:rsid w:val="00842779"/>
    <w:rsid w:val="00853512"/>
    <w:rsid w:val="00865F67"/>
    <w:rsid w:val="00881A7B"/>
    <w:rsid w:val="008840E5"/>
    <w:rsid w:val="00887B3E"/>
    <w:rsid w:val="008A57D2"/>
    <w:rsid w:val="008A67EB"/>
    <w:rsid w:val="008C2AC6"/>
    <w:rsid w:val="00930C23"/>
    <w:rsid w:val="0093193B"/>
    <w:rsid w:val="00943E8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51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A010F6"/>
  <w15:chartTrackingRefBased/>
  <w15:docId w15:val="{65AD9C42-584D-4AA8-9A44-D52D73B7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53512"/>
    <w:pPr>
      <w:spacing w:after="240"/>
      <w:ind w:left="567" w:hanging="567"/>
    </w:pPr>
  </w:style>
  <w:style w:type="character" w:styleId="Emphasis">
    <w:name w:val="Emphasis"/>
    <w:basedOn w:val="DefaultParagraphFont"/>
    <w:uiPriority w:val="20"/>
    <w:qFormat/>
    <w:rsid w:val="00853512"/>
    <w:rPr>
      <w:i/>
      <w:iCs/>
    </w:rPr>
  </w:style>
  <w:style w:type="character" w:styleId="Hyperlink">
    <w:name w:val="Hyperlink"/>
    <w:basedOn w:val="DefaultParagraphFont"/>
    <w:uiPriority w:val="99"/>
    <w:unhideWhenUsed/>
    <w:rsid w:val="00853512"/>
    <w:rPr>
      <w:color w:val="0000FF"/>
      <w:u w:val="single"/>
    </w:rPr>
  </w:style>
  <w:style w:type="character" w:customStyle="1" w:styleId="textcolumn">
    <w:name w:val="textcolumn"/>
    <w:basedOn w:val="DefaultParagraphFont"/>
    <w:rsid w:val="00853512"/>
  </w:style>
  <w:style w:type="paragraph" w:customStyle="1" w:styleId="title-bold">
    <w:name w:val="title-bold"/>
    <w:basedOn w:val="Normal"/>
    <w:rsid w:val="00853512"/>
    <w:pPr>
      <w:widowControl/>
      <w:spacing w:before="100" w:beforeAutospacing="1" w:after="100" w:afterAutospacing="1"/>
    </w:pPr>
    <w:rPr>
      <w:szCs w:val="24"/>
    </w:rPr>
  </w:style>
  <w:style w:type="paragraph" w:styleId="BalloonText">
    <w:name w:val="Balloon Text"/>
    <w:basedOn w:val="Normal"/>
    <w:link w:val="BalloonTextChar"/>
    <w:rsid w:val="008A67EB"/>
    <w:rPr>
      <w:rFonts w:ascii="Segoe UI" w:hAnsi="Segoe UI" w:cs="Segoe UI"/>
      <w:sz w:val="18"/>
      <w:szCs w:val="18"/>
    </w:rPr>
  </w:style>
  <w:style w:type="character" w:customStyle="1" w:styleId="BalloonTextChar">
    <w:name w:val="Balloon Text Char"/>
    <w:basedOn w:val="DefaultParagraphFont"/>
    <w:link w:val="BalloonText"/>
    <w:rsid w:val="008A67E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hyperlink" Target="https://hudoc.echr.coe.int/en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986D8-9F3B-4B58-949E-517C28BAD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5196</Words>
  <Characters>30703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HARTMANS Pelle</cp:lastModifiedBy>
  <cp:revision>2</cp:revision>
  <cp:lastPrinted>2004-11-19T15:42:00Z</cp:lastPrinted>
  <dcterms:created xsi:type="dcterms:W3CDTF">2024-06-20T17:15:00Z</dcterms:created>
  <dcterms:modified xsi:type="dcterms:W3CDTF">2024-06-20T17:15:00Z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B9-0223/2024</vt:lpwstr>
  </property>
  <property fmtid="{D5CDD505-2E9C-101B-9397-08002B2CF9AE}" pid="4" name="&lt;Type&gt;">
    <vt:lpwstr>RR</vt:lpwstr>
  </property>
</Properties>
</file>