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0C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0C70" w:rsidRDefault="00AD4AB0" w:rsidP="0010095E">
            <w:pPr>
              <w:pStyle w:val="EPName"/>
            </w:pPr>
            <w:r w:rsidRPr="00110C70">
              <w:t>Parlament Europejski</w:t>
            </w:r>
          </w:p>
          <w:p w:rsidR="00751A4A" w:rsidRPr="00110C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0C7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10C70" w:rsidRDefault="00187494" w:rsidP="0010095E">
            <w:pPr>
              <w:pStyle w:val="EPLogo"/>
            </w:pPr>
            <w:r w:rsidRPr="00110C70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0C70" w:rsidRDefault="00D058B8" w:rsidP="004C5D52">
      <w:pPr>
        <w:pStyle w:val="LineTop"/>
      </w:pPr>
    </w:p>
    <w:p w:rsidR="00680577" w:rsidRPr="00110C70" w:rsidRDefault="00AD4AB0" w:rsidP="00680577">
      <w:pPr>
        <w:pStyle w:val="EPBodyTA1"/>
      </w:pPr>
      <w:r w:rsidRPr="00110C70">
        <w:t>TEKSTY PRZYJĘTE</w:t>
      </w:r>
    </w:p>
    <w:p w:rsidR="00D058B8" w:rsidRPr="00110C70" w:rsidRDefault="00D058B8" w:rsidP="00D058B8">
      <w:pPr>
        <w:pStyle w:val="LineBottom"/>
      </w:pPr>
    </w:p>
    <w:p w:rsidR="00AD4AB0" w:rsidRPr="00110C70" w:rsidRDefault="00AD4AB0" w:rsidP="00AD4AB0">
      <w:pPr>
        <w:pStyle w:val="ATHeading1"/>
      </w:pPr>
      <w:bookmarkStart w:id="0" w:name="TANumber"/>
      <w:r w:rsidRPr="00110C70">
        <w:t>P9_TA(2024)</w:t>
      </w:r>
      <w:bookmarkEnd w:id="0"/>
      <w:r w:rsidR="00386FBF" w:rsidRPr="00110C70">
        <w:t>0</w:t>
      </w:r>
      <w:r w:rsidR="00386FBF">
        <w:t>367</w:t>
      </w:r>
    </w:p>
    <w:p w:rsidR="00AD4AB0" w:rsidRPr="00110C70" w:rsidRDefault="00AD4AB0" w:rsidP="00AD4AB0">
      <w:pPr>
        <w:pStyle w:val="ATHeading2"/>
      </w:pPr>
      <w:bookmarkStart w:id="1" w:name="title"/>
      <w:r w:rsidRPr="00110C70">
        <w:t>Trwające wysłuchania na mocy art. 7 ust. 1 TUE dotyczące Węgier i służące umocnieniu praworządności oraz ich skutki dla budżetu</w:t>
      </w:r>
      <w:bookmarkEnd w:id="1"/>
    </w:p>
    <w:p w:rsidR="00AD4AB0" w:rsidRPr="00110C70" w:rsidRDefault="00AD4AB0" w:rsidP="00AD4AB0">
      <w:pPr>
        <w:rPr>
          <w:i/>
          <w:vanish/>
        </w:rPr>
      </w:pPr>
      <w:r w:rsidRPr="00110C70">
        <w:rPr>
          <w:i/>
        </w:rPr>
        <w:fldChar w:fldCharType="begin"/>
      </w:r>
      <w:r w:rsidRPr="00110C70">
        <w:rPr>
          <w:i/>
        </w:rPr>
        <w:instrText xml:space="preserve"> TC"(</w:instrText>
      </w:r>
      <w:bookmarkStart w:id="2" w:name="DocNumber"/>
      <w:r w:rsidRPr="00110C70">
        <w:rPr>
          <w:i/>
        </w:rPr>
        <w:instrText>B</w:instrText>
      </w:r>
      <w:proofErr w:type="gramStart"/>
      <w:r w:rsidRPr="00110C70">
        <w:rPr>
          <w:i/>
        </w:rPr>
        <w:instrText>9-0223/2024</w:instrText>
      </w:r>
      <w:bookmarkEnd w:id="2"/>
      <w:r w:rsidRPr="00110C70">
        <w:rPr>
          <w:i/>
        </w:rPr>
        <w:instrText>)"\l</w:instrText>
      </w:r>
      <w:proofErr w:type="gramEnd"/>
      <w:r w:rsidRPr="00110C70">
        <w:rPr>
          <w:i/>
        </w:rPr>
        <w:instrText xml:space="preserve">3 \n&gt; \* MERGEFORMAT </w:instrText>
      </w:r>
      <w:r w:rsidRPr="00110C70">
        <w:rPr>
          <w:i/>
        </w:rPr>
        <w:fldChar w:fldCharType="end"/>
      </w:r>
    </w:p>
    <w:p w:rsidR="00AD4AB0" w:rsidRPr="00110C70" w:rsidRDefault="00AD4AB0" w:rsidP="00AD4AB0">
      <w:pPr>
        <w:rPr>
          <w:vanish/>
        </w:rPr>
      </w:pPr>
      <w:bookmarkStart w:id="3" w:name="PE"/>
      <w:r w:rsidRPr="00110C70">
        <w:rPr>
          <w:vanish/>
        </w:rPr>
        <w:t>PE760.687</w:t>
      </w:r>
      <w:bookmarkEnd w:id="3"/>
    </w:p>
    <w:p w:rsidR="00AD4AB0" w:rsidRPr="00110C70" w:rsidRDefault="00AD4AB0" w:rsidP="00AD4AB0">
      <w:pPr>
        <w:pStyle w:val="ATHeading3"/>
      </w:pPr>
      <w:bookmarkStart w:id="4" w:name="Sujet"/>
      <w:r w:rsidRPr="00110C70">
        <w:t xml:space="preserve">Rezolucja Parlamentu Europejskiego z dnia </w:t>
      </w:r>
      <w:r w:rsidR="00F17558">
        <w:t>24 kwietnia</w:t>
      </w:r>
      <w:r w:rsidRPr="00110C70">
        <w:t xml:space="preserve"> 2024 r. w sprawie trwających wysłuchań na mocy art. 7 ust. 1 TUE dotyczących Węgier i służących umocnieniu praworządności oraz ich skutków dla </w:t>
      </w:r>
      <w:proofErr w:type="gramStart"/>
      <w:r w:rsidRPr="00110C70">
        <w:t xml:space="preserve">budżetu </w:t>
      </w:r>
      <w:bookmarkEnd w:id="4"/>
      <w:r w:rsidRPr="00110C70">
        <w:t xml:space="preserve"> </w:t>
      </w:r>
      <w:bookmarkStart w:id="5" w:name="References"/>
      <w:r w:rsidRPr="00110C70">
        <w:t>(2024/2683(RSP</w:t>
      </w:r>
      <w:proofErr w:type="gramEnd"/>
      <w:r w:rsidRPr="00110C70">
        <w:t>))</w:t>
      </w:r>
      <w:bookmarkEnd w:id="5"/>
    </w:p>
    <w:p w:rsidR="00AD4AB0" w:rsidRPr="00110C70" w:rsidRDefault="00AD4AB0" w:rsidP="00AD4AB0"/>
    <w:p w:rsidR="008570D5" w:rsidRPr="00110C70" w:rsidRDefault="008570D5" w:rsidP="008570D5">
      <w:pPr>
        <w:pStyle w:val="NormalHanging12a"/>
      </w:pPr>
      <w:bookmarkStart w:id="6" w:name="TextBodyBegin"/>
      <w:bookmarkEnd w:id="6"/>
      <w:r w:rsidRPr="00110C70">
        <w:rPr>
          <w:i/>
        </w:rPr>
        <w:t>Parlament Europejski</w:t>
      </w:r>
      <w:r w:rsidRPr="00110C70">
        <w:t>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Traktat o Unii Europejskiej (TUE), w szczególności jego art. 2, art. 4 ust. 3 i art. 7 ust. 1,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Kartę praw podstawowych Unii Europejskiej (zwaną dalej „Kartą”),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europejską konwencję praw człowieka i załączone do niej protokoły,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Powszechną deklarację praw człowieka,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międzynarodowe traktaty ONZ i Rady Europy dotyczące praw człowieka,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 xml:space="preserve">uwzględniając listę kontrolną dotyczącą praworządności przyjętą przez Komisję Wenecką na 106. </w:t>
      </w:r>
      <w:proofErr w:type="gramStart"/>
      <w:r w:rsidRPr="00110C70">
        <w:t>sesji</w:t>
      </w:r>
      <w:proofErr w:type="gramEnd"/>
      <w:r w:rsidRPr="00110C70">
        <w:t xml:space="preserve"> plenarnej w Wenecji 11 i 12 marca 2016 r.,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swoją rezolucję z dnia 12 września 2018 r. w sprawie wniosku wzywającego Radę, aby stwierdziła, zgodnie z art. 7 ust. 1 Traktatu o Unii Europejskiej, istnienie wyraźnego ryzyka poważnego naruszenia przez Węgry wartości, na których opiera się Unia</w:t>
      </w:r>
      <w:r w:rsidRPr="00110C70">
        <w:rPr>
          <w:rStyle w:val="FootnoteReference"/>
          <w:szCs w:val="24"/>
        </w:rPr>
        <w:footnoteReference w:id="1"/>
      </w:r>
      <w:r w:rsidRPr="00110C70">
        <w:t>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rozporządzenie Parlamentu Europejskiego i Rady (UE, Euratom) 2020/2092 z dnia 16 grudnia 2020 r. w sprawie ogólnego systemu warunkowości służącego ochronie budżetu Unii</w:t>
      </w:r>
      <w:r w:rsidRPr="00110C70">
        <w:rPr>
          <w:rStyle w:val="FootnoteReference"/>
          <w:szCs w:val="24"/>
        </w:rPr>
        <w:footnoteReference w:id="2"/>
      </w:r>
      <w:r w:rsidRPr="00110C70">
        <w:t xml:space="preserve"> (rozporządzenie w sprawie warunkowości w zakresie praworządności),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 xml:space="preserve">uwzględniając decyzję Komisji C(2023) 8999 z dnia 13 grudnia 2023 r. w sprawie </w:t>
      </w:r>
      <w:r w:rsidRPr="00110C70">
        <w:lastRenderedPageBreak/>
        <w:t>ponownej oceny, z inicjatywy Komisji, spełnienia warunków określonych w art. 4 rozporządzenia (UE, Euratom) 2020/2092 w następstwie decyzji wykonawczej Rady (UE) 2022/2506 z dnia 15 grudnia 2022 r. dotyczącej Węgier,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swoją rezolucję z dnia 15 września 2022 r. w sprawie wniosku dotyczącego decyzji Rady w sprawie stwierdzenia, zgodnie z art. 7 ust. 1 Traktatu o Unii Europejskiej, istnienia wyraźnego ryzyka poważnego naruszenia przez Węgry wartości, na których opiera się Unia</w:t>
      </w:r>
      <w:r w:rsidRPr="00110C70">
        <w:rPr>
          <w:rStyle w:val="FootnoteReference"/>
          <w:szCs w:val="24"/>
        </w:rPr>
        <w:footnoteReference w:id="3"/>
      </w:r>
      <w:r w:rsidRPr="00110C70">
        <w:t xml:space="preserve">,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swoją rezolucję z dnia 24 listopada 2022 r. w sprawie oceny przestrzegania przez Węgry warunków dotyczących praworządności na mocy rozporządzenia w sprawie warunkowości oraz stanu prac nad węgierskim planem odbudowy i zwiększania odporności</w:t>
      </w:r>
      <w:r w:rsidRPr="00110C70">
        <w:rPr>
          <w:rStyle w:val="FootnoteReference"/>
          <w:szCs w:val="24"/>
        </w:rPr>
        <w:footnoteReference w:id="4"/>
      </w:r>
      <w:r w:rsidRPr="00110C70">
        <w:t xml:space="preserve">,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swoją rezolucję z dnia 1 czerwca 2023 r. w sprawie naruszania zasad państwa prawnego i praw podstawowych na Węgrzech oraz zamrożonych funduszy UE</w:t>
      </w:r>
      <w:r w:rsidRPr="00110C70">
        <w:rPr>
          <w:rStyle w:val="FootnoteReference"/>
          <w:szCs w:val="24"/>
        </w:rPr>
        <w:footnoteReference w:id="5"/>
      </w:r>
      <w:r w:rsidRPr="00110C70">
        <w:t>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swoją rezolucję z dnia 18 stycznia 2024 r. w sprawie sytuacji na Węgrzech i zamrożonych funduszy unijnych</w:t>
      </w:r>
      <w:r w:rsidRPr="00110C70">
        <w:rPr>
          <w:rStyle w:val="FootnoteReference"/>
          <w:szCs w:val="24"/>
        </w:rPr>
        <w:footnoteReference w:id="6"/>
      </w:r>
      <w:r w:rsidRPr="00110C70">
        <w:t>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poświęcone Węgrom rozdziały sprawozdań Komisji na temat praworządności,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 xml:space="preserve">uwzględniając opinię Komisji Weneckiej w sprawie węgierskiej ustawy LXXXVIII z 2023 r. o ochronie suwerenności narodowej, przyjętą na 138. </w:t>
      </w:r>
      <w:proofErr w:type="gramStart"/>
      <w:r w:rsidRPr="00110C70">
        <w:t>sesji</w:t>
      </w:r>
      <w:proofErr w:type="gramEnd"/>
      <w:r w:rsidRPr="00110C70">
        <w:t xml:space="preserve"> plenarnej w Wenecji 15 i 16 marca 2024 r.,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uwzględniając art. 132 ust. 2 Regulaminu,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A.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Unia opiera się na takich wartościach jak poszanowanie godności ludzkiej, wolność, demokracja, równość, praworządność i poszanowanie praw człowieka, w tym praw osób należących do mniejszości, co znajduje wyraz w art. 2 TUE, jest odzwierciedlone w Karcie i zapisane w międzynarodowych traktatach dotyczących praw człowieka; mając na uwadze, że te wspólne dla państw członkowskich wartości stanowią fundament praw osób mieszkających w UE;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B.</w:t>
      </w:r>
      <w:r w:rsidRPr="00110C70">
        <w:tab/>
        <w:t>mając na uwadze, że wyraźne ryzyko poważnego naruszenia przez państwo członkowskie wartości, o których mowa w art. 2 TUE, nie dotyczy wyłącznie tego państwa członkowskiego, ale wpływa też na pozostałe państwa członkowskie, na ich wzajemne zaufanie, a nawet na charakter samej UE i prawa podstawowe przysługujące obywatelom na mocy prawa UE;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C.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przeciwieństwie do art. 258 Traktatu o funkcjonowaniu Unii Europejskiej (TFUE) art. 7 TUE nie ogranicza się do obowiązków wynikających z traktatów, oraz mając na uwadze, że Unia może ocenić, czy istnieje wyraźne ryzyko </w:t>
      </w:r>
      <w:r w:rsidRPr="00110C70">
        <w:lastRenderedPageBreak/>
        <w:t>poważnego naruszenia wspólnych wartości w obszarach należących do kompetencji państw członkowskich;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D.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2018 r. Rada wszczęła na wniosek Parlamentu Europejskiego procedurę określoną w art. 7 ust. 1 TUE, aby wyeliminować wyraźne ryzyko poważnego naruszenia przez Węgry wartości zapisanych w art. 2 TUE; mając na uwadze, że od początku procedury przewidzianej w art. 7 ust. 1 TUE w Radzie odbyło się sześć wysłuchań na temat sytuacji na Węgrzech, ale Rada nie próbowała jeszcze stwierdzić, czy takie ryzyko istnieje, i nie skierowała żadnych zaleceń do rządu Węgier;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E.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rozporządzenie w sprawie warunkowości w zakresie praworządności ma ogromne znaczenie, ponieważ umożliwia skuteczną ochronę funduszy UE;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F.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Komisja postanowiła przyznać Węgrom w ramach REPowerEU zaliczkę w wysokości 0,9 mld EUR; mając na uwadze, że taką zaliczkę można przyznać bez żadnych warunków, ale nie bez kontroli;</w:t>
      </w:r>
    </w:p>
    <w:p w:rsidR="008570D5" w:rsidRPr="00110C70" w:rsidRDefault="008570D5" w:rsidP="008570D5">
      <w:pPr>
        <w:pStyle w:val="NormalHanging12a"/>
        <w:rPr>
          <w:bCs/>
          <w:szCs w:val="24"/>
        </w:rPr>
      </w:pPr>
      <w:r w:rsidRPr="00110C70">
        <w:t>G.</w:t>
      </w:r>
      <w:r w:rsidRPr="00110C70">
        <w:tab/>
        <w:t>mając na uwadze, że w rezolucji z 15 września 2022 r. Parlament uznał, że od czasu rozpoczęcia procedury przewidzianej w art. 7 ust. 1 TUE wiele obaw dotyczących przestrzegania przez Węgry wartości zapisanych w art. 2 TUE utrzymywało się lub znacznie się zwiększyło, np. w odniesieniu do niezależności wymiaru sprawiedliwości, korupcji, konfliktów interesów, niezależności i pluralizmu mediów, funkcjonowania ładu konstytucyjnego i systemu wyborczego oraz przestrzeni obywatelskiej;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H.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od czasu przyjęcia tej rezolucji sytuacja w niektórych obszarach nieznacznie się poprawiła, w większości z nich jest nadal niepokojąca, a w kilku jeszcze bardziej się pogorszyła; mając na uwadze, że w wyniku działań rządu węgierskiego pojawiły się nowe poważne problemy;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I.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kwietniu 2024 r. kilkadziesiąt tysięcy Węgrów wyszło na ulice, aby zaprotestować przeciw zawłaszczaniu państwa i korupcji;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J.</w:t>
      </w:r>
      <w:r w:rsidRPr="00110C70">
        <w:tab/>
        <w:t>mając na uwadze, że w 2023 r. rząd Węgier przyjął pakiet reform ustawodawczych mający poprawić niektóre aspekty niezależności wymiaru sprawiedliwości, w tym wzmocnić niezależność Krajowej Rady Sądownictwa (KRS); mając na uwadze, że nieusunięte jeszcze poważne uchybienia związane z praworządnością w wymiarze sprawiedliwości obejmują między innymi: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przepisy dotyczące nieusuwalności obecnego prezesa węgierskiego Sądu Najwyższego (SN),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istotnych zabezpieczeń i gwarancji niezależności SN,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przejrzystości i automatyzacji systemu przydzielania spraw w SN oraz brak przejrzystości zasad dotyczących składów orzekających,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naciski polityczne i administracyjne na niezależność KRS i jej członków, np. przez kampanie oszczerstw,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przepisy o mianowaniu, awansowaniu i nieusuwalności sędziów,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lastRenderedPageBreak/>
        <w:t>–</w:t>
      </w:r>
      <w:r w:rsidRPr="00110C70">
        <w:tab/>
        <w:t>brak istotnych zabezpieczeń i gwarancji niezawisłości sędziów orzekających w sprawie decyzji administracyjnych,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coraz więcej utrudnień w występowaniu do Trybunału Sprawiedliwości Unii Europejskiej (TSUE) o wydanie orzeczenia w trybie prejudycjalnym,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braki w przepisach o immunitecie i postępowaniach dyscyplinarnych wobec prokuratorów i sędziów,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ingerencję polityczną w prace prokuratury i prokuratorów,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skutecznego wsparcia dla ofiar przestępstw;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K.</w:t>
      </w:r>
      <w:r w:rsidRPr="00110C70">
        <w:tab/>
        <w:t>mając na uwadze, że utrzymujące się poważne uchybienia związane z walką z korupcją i konfliktami interesów obejmują między innymi: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danych o dochodzeniach, ściganiu i prawomocnych wyrokach w sprawach dotyczących korupcji na wysokim szczeblu;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rygorystycznych uregulowań dotyczących lobbingu, efektu „drzwi obrotowych” i skutecznej kontroli oświadczeń majątkowych,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wystarczających kompetencji, uprawnień, dostępu do informacji i odpowiednich zasobów w Urzędzie ds. Etyki,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konsultacji publicznych i debaty publicznej na temat środków antykorupcyjnych,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rozliczalności prokuratury, np. w przypadkach zaniedbań, przekroczenia obowiązków czy zachowań o charakterze przestępczym,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 xml:space="preserve">ingerencję polityczną w prace prokuratury ścigającej przypadki korupcji i przestępstw z udziałem funkcjonariuszy wysokiego szczebla;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L.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utrzymujące się poważne uchybienia związane z wolnością i pluralizmem mediów obejmują między innymi: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funkcjonalnej niezależności rady ds. mediów i koordynatora ds. usług cyfrowych,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niezależności redakcyjnej i finansowej mediów publicznych oraz brak pluralizmu poglądów politycznych przedstawianych w mediach publicznych, które rządząca większość wykorzystuje do propagandy politycznej,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nadużywanie reklam państwowych w mediach prorządowych oraz brak przepisów i przejrzystości w tym zakresie,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kampanie oszczerstw przeciwko niezależnym dziennikarzom i mediom,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coraz więcej ograniczeń w dostępie do informacji publicznej,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merytorycznych dochodzeń w sprawie stosowania oprogramowania szpiegowskiego wobec dziennikarzy śledczych i pracowników mediów,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 xml:space="preserve">koncentrację rynku mediów i nadmierny wpływ rządu na krajobraz medialny (np. za </w:t>
      </w:r>
      <w:r w:rsidRPr="00110C70">
        <w:rPr>
          <w:shd w:val="clear" w:color="auto" w:fill="FFFFFF"/>
        </w:rPr>
        <w:lastRenderedPageBreak/>
        <w:t>pośrednictwem Środkowoeuropejskiej Fundacji Prasy i Mediów (KESMA)</w:t>
      </w:r>
      <w:r w:rsidRPr="00110C70">
        <w:t>),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możliwość objęcia mediów i dziennikarzy śledztwami prowadzonymi przez urząd ochrony suwerenności;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M.</w:t>
      </w:r>
      <w:r w:rsidRPr="00110C70">
        <w:tab/>
        <w:t>mając na uwadze, że utrzymujące się poważne uchybienia związane z ładem konstytucyjnym i systemem wyborczym oraz mechanizmami kontroli i równowagi obejmują między innymi: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równych warunków prowadzenia kampanii wyborczych na szczeblu lokalnym i krajowym oraz częste nowelizacje ordynacji wyborczej,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niewystarczającą przejrzystość i rozliczalność w procesie przygotowywania i uchwalania ustaw,</w:t>
      </w:r>
    </w:p>
    <w:p w:rsidR="008570D5" w:rsidRPr="00110C70" w:rsidRDefault="008570D5" w:rsidP="008570D5">
      <w:pPr>
        <w:pStyle w:val="NormalHanging12a"/>
        <w:rPr>
          <w:bCs/>
          <w:szCs w:val="24"/>
        </w:rPr>
      </w:pPr>
      <w:r w:rsidRPr="00110C70">
        <w:t>–</w:t>
      </w:r>
      <w:r w:rsidRPr="00110C70">
        <w:tab/>
        <w:t>utrzymanie oficjalnego „stanu zagrożenia” przyznającego rządowi szerokie uprawnienia nadzwyczajne i umożliwiającego mu uchylanie dekretami nadzwyczajnymi ustaw znajdujących się wyżej w hierarchii aktów prawnych,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merytorycznych konsultacji publicznych na temat ważnych projektów ustaw,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pozbawienie uprawnień niezależnych organów i wywieranie presji na ich niezależność,</w:t>
      </w:r>
    </w:p>
    <w:p w:rsidR="008570D5" w:rsidRPr="00110C70" w:rsidRDefault="008570D5" w:rsidP="008570D5">
      <w:pPr>
        <w:pStyle w:val="NormalHanging12a"/>
        <w:rPr>
          <w:bCs/>
          <w:szCs w:val="24"/>
        </w:rPr>
      </w:pPr>
      <w:r w:rsidRPr="00110C70">
        <w:t>–</w:t>
      </w:r>
      <w:r w:rsidRPr="00110C70">
        <w:tab/>
        <w:t>stosowanie ustaw zbiorczych do zmiany różnych ustaw;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N.</w:t>
      </w:r>
      <w:r w:rsidRPr="00110C70">
        <w:tab/>
        <w:t>mając na uwadze, że utrzymujące się poważne uchybienia związane z funkcjonowaniem społeczeństwa obywatelskiego obejmują między innymi: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efekt mrożący spowodowany różnymi przepisami mającymi ograniczyć istnienie i funkcjonowanie niezależnych organizacji społeczeństwa obywatelskiego, takimi jak ustawa o przejrzystości organizacji otrzymujących fundusze z zagranicy i ustawa o ochronie suwerenności narodowej,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kampanie oszczerstw i nękanie przedstawicieli organizacji społeczeństwa obywatelskiego,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finansowania publicznego dla niezależnych organizacji społeczeństwa obywatelskiego oraz wsparcie finansowe dla organizacji prorządowych lub organizacji powiązanych z rządem,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możliwość objęcia organizacji społeczeństwa obywatelskiego i ich przedstawicieli nadzorem i dochodzeniami urzędu ochrony suwerenności;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O.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utrzymujące się poważne uchybienia związane z ochroną interesów finansowych UE obejmują między innymi: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funkcjonowanie organów wykonujących budżet UE,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systemowe nieprawidłowości, uchybienia i niedociągnięcia w zamówieniach publicznych, w tym wysoki odsetek procedur przetargowych z jedną ofertą i brak konkurencji w systemie zamówień publicznych,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lastRenderedPageBreak/>
        <w:t>–</w:t>
      </w:r>
      <w:r w:rsidRPr="00110C70">
        <w:tab/>
        <w:t>niedociągnięcia mechanizmów audytu i kontroli, które powinny gwarantować należyte wykorzystanie funduszy UE,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niedostateczne zdolności, by zapobiegać nadużyciom finansowym, korupcji czy innym naruszeniom prawa Unii w związku z wykonywaniem budżetu UE lub z ochroną interesów finansowych UE oraz karać za nie,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nieprawidłowe stosowanie narzędzia ARACHNE,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brak przejrzystości w wykorzystywaniu funduszy UE przez fundacje zarządzające aktywami publicznymi,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nieprzystąpienie przez Węgry do Prokuratury Europejskiej;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P.</w:t>
      </w:r>
      <w:r w:rsidRPr="00110C70">
        <w:tab/>
        <w:t>mając na uwadze, że utrzymujące się poważne uchybienia związane z przestrzeganiem zasad wspólnego rynku obejmują między innymi:</w:t>
      </w:r>
    </w:p>
    <w:p w:rsidR="008570D5" w:rsidRPr="00110C70" w:rsidRDefault="008570D5" w:rsidP="008570D5">
      <w:pPr>
        <w:pStyle w:val="NormalHanging12a"/>
        <w:rPr>
          <w:bCs/>
          <w:szCs w:val="24"/>
        </w:rPr>
      </w:pPr>
      <w:r w:rsidRPr="00110C70">
        <w:t>–</w:t>
      </w:r>
      <w:r w:rsidRPr="00110C70">
        <w:tab/>
        <w:t>praktyki dyskryminacyjne wobec przedsiębiorstw działających w dziedzinach uznanych za strategicznie ważne dla rządu węgierskiego,</w:t>
      </w:r>
    </w:p>
    <w:p w:rsidR="008570D5" w:rsidRPr="00110C70" w:rsidRDefault="008570D5" w:rsidP="008570D5">
      <w:pPr>
        <w:pStyle w:val="NormalHanging12a"/>
        <w:rPr>
          <w:bCs/>
          <w:szCs w:val="24"/>
        </w:rPr>
      </w:pPr>
      <w:r w:rsidRPr="00110C70">
        <w:t>–</w:t>
      </w:r>
      <w:r w:rsidRPr="00110C70">
        <w:tab/>
        <w:t>nadużywanie władzy publicznej i ustawodawczej oraz stosowanie technik zastraszania podmiotów gospodarczych działających w dziedzinach uznanych za strategicznie ważne dla rządu węgierskiego;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Q.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rząd węgierski nie rozwiązał też innych problemów, wskazanych w rezolucji Parlamentu z 15 września 2022 r., w zakresie praw podstawowych, takich jak: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wolność akademicka,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wolność religii, 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prawo do równego traktowania, w tym prawa osób LGBTIQ,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prawa osób należących do mniejszości, w tym Romów i Żydów, ochrona przed nienawistnymi wypowiedziami przeciwko mniejszościom,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prawa podstawowe migrantów, osób ubiegających się o azyl i uchodźców,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–</w:t>
      </w:r>
      <w:r w:rsidRPr="00110C70">
        <w:tab/>
        <w:t>prawa gospodarcze i społeczne;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R.</w:t>
      </w:r>
      <w:r w:rsidRPr="00110C70">
        <w:tab/>
        <w:t xml:space="preserve">mając na uwadze, że 23 grudnia 2023 r. weszła w życie ustawa o ochronie suwerenności narodowej; mając na uwadze, że w związku z tym utworzono nowy urząd ochrony suwerenności i zmieniono kodeks karny, wprowadzając, między innymi, karę pozbawienia wolności za wykorzystywanie środków finansowych pochodzących z zagranicy do finansowania kampanii politycznych; mając na uwadze, że w oświadczeniu z 27 listopada 2023 r. Komisarz Praw Człowieka Rady Europy wskazała, że projekt tej ustawy stanowi poważne zagrożenie dla praw człowieka i należy od niego odstąpić; mając na uwadze ustalenie Komisji Weneckiej zawarte w opinii z 18 marca 2024 r., zgodnie z którym chociaż ograniczenia dotyczące zagranicznego finansowania partii </w:t>
      </w:r>
      <w:proofErr w:type="gramStart"/>
      <w:r w:rsidRPr="00110C70">
        <w:t>politycznych</w:t>
      </w:r>
      <w:proofErr w:type="gramEnd"/>
      <w:r w:rsidRPr="00110C70">
        <w:t xml:space="preserve"> i kampanii wyborczych są powszechnie przyjęte i co do zasady zgodne z najlepszymi praktykami i standardami międzynarodowymi, to w zmianach </w:t>
      </w:r>
      <w:r w:rsidRPr="00110C70">
        <w:lastRenderedPageBreak/>
        <w:t xml:space="preserve">prawnych wprowadzanych na Węgrzech nie określono jasno, jakiego rodzaju działania w ramach kampanii są zakazane ani w jaki sposób można stwierdzić, że były one finansowane z funduszy zagranicznych; mając na uwadze, że Komisja Wenecka zauważyła również w swojej opinii, iż zmiany te nie uwzględniają współpracy partii politycznych na szczeblu międzynarodowym i wykluczają finansowanie przez organizacje międzynarodowe, a ponadto nie przewidują przestrzegania zobowiązań międzynarodowych, w tym zobowiązań wynikających z członkostwa w UE; mając na uwadze, że 7 lutego 2024 r. Komisja podjęła </w:t>
      </w:r>
      <w:proofErr w:type="gramStart"/>
      <w:r w:rsidRPr="00110C70">
        <w:t>decyzję</w:t>
      </w:r>
      <w:proofErr w:type="gramEnd"/>
      <w:r w:rsidRPr="00110C70">
        <w:t xml:space="preserve"> o wszczęciu wobec Węgier postępowania w sprawie uchybienia zobowiązaniom państwa członkowskiego, ponieważ uznała, że przepisy te naruszają szereg postanowień prawa pierwotnego i przepisów prawa wtórnego UE, w tym wartości demokratyczne Unii, zasadę demokracji i prawa wyborcze obywateli UE, a także szereg praw podstawowych zapisanych w Karcie, takich jak prawo do poszanowania życia prywatnego i rodzinnego, prawo do ochrony danych osobowych, wolność wypowiedzi i informacji, wolność zrzeszania się, prawa wyborcze obywateli UE, prawo do skutecznego środka prawnego i dostępu do bezstronnego sądu, prawo do nieświadczenia przeciwko sobie oraz prawniczą tajemnicę zawodową, a także wymogi prawa UE dotyczące ochrony danych oraz </w:t>
      </w:r>
      <w:proofErr w:type="gramStart"/>
      <w:r w:rsidRPr="00110C70">
        <w:t>szereg</w:t>
      </w:r>
      <w:proofErr w:type="gramEnd"/>
      <w:r w:rsidRPr="00110C70">
        <w:t xml:space="preserve"> przepisów mających zastosowanie do jednolitego rynku;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S.</w:t>
      </w:r>
      <w:r w:rsidRPr="00110C70">
        <w:tab/>
        <w:t>mając na uwadze, że od czasu przyjęcia sprawozdania okresowego TSUE stwierdził w wyroku C-823/21</w:t>
      </w:r>
      <w:r w:rsidRPr="00110C70">
        <w:rPr>
          <w:rStyle w:val="FootnoteReference"/>
          <w:szCs w:val="24"/>
        </w:rPr>
        <w:footnoteReference w:id="7"/>
      </w:r>
      <w:r w:rsidRPr="00110C70">
        <w:t>, Komisja/Węgry, że uzależniając możliwość złożenia wniosku o udzielenie ochrony międzynarodowej od wymogu złożenia w ambasadzie węgierskiej znajdującej się w państwie trzecim oświadczenia o zamiarze wszczęcia procedury azylowej, Węgry uchybiły zobowiązaniom ciążącym na nich na mocy unijnego prawa azylowego;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T.</w:t>
      </w:r>
      <w:r w:rsidRPr="00110C70">
        <w:tab/>
        <w:t xml:space="preserve">mając na uwadze, że w wyrokach Europejskiego Trybunału Praw Człowieka (ETPC): z 10 listopada 2022 r. w sprawie </w:t>
      </w:r>
      <w:r w:rsidRPr="00110C70">
        <w:rPr>
          <w:i/>
        </w:rPr>
        <w:t xml:space="preserve">Bakirdzi i E.C. </w:t>
      </w:r>
      <w:proofErr w:type="gramStart"/>
      <w:r w:rsidRPr="00110C70">
        <w:rPr>
          <w:i/>
        </w:rPr>
        <w:t>przeciwko</w:t>
      </w:r>
      <w:proofErr w:type="gramEnd"/>
      <w:r w:rsidRPr="00110C70">
        <w:rPr>
          <w:i/>
        </w:rPr>
        <w:t xml:space="preserve"> Węgrom</w:t>
      </w:r>
      <w:r w:rsidRPr="00110C70">
        <w:t xml:space="preserve"> (</w:t>
      </w:r>
      <w:hyperlink r:id="rId9" w:anchor="{%22appno%22:[%2249636/14%22]}" w:tgtFrame="_blank" w:history="1">
        <w:r w:rsidRPr="00110C70">
          <w:rPr>
            <w:rStyle w:val="Hyperlink"/>
            <w:shd w:val="clear" w:color="auto" w:fill="FFFFFF"/>
          </w:rPr>
          <w:t>49636/14</w:t>
        </w:r>
      </w:hyperlink>
      <w:r w:rsidRPr="00110C70">
        <w:rPr>
          <w:shd w:val="clear" w:color="auto" w:fill="FFFFFF"/>
        </w:rPr>
        <w:t> i </w:t>
      </w:r>
      <w:hyperlink r:id="rId10" w:anchor="{%22appno%22:[%2265678/14%22]}" w:tgtFrame="_blank" w:history="1">
        <w:r w:rsidRPr="00110C70">
          <w:rPr>
            <w:rStyle w:val="Hyperlink"/>
            <w:shd w:val="clear" w:color="auto" w:fill="FFFFFF"/>
          </w:rPr>
          <w:t>65678/14</w:t>
        </w:r>
      </w:hyperlink>
      <w:r w:rsidRPr="00110C70">
        <w:t xml:space="preserve">), który stał się prawomocny 3 kwietnia 2023 r., oraz z 30 marca 2023 r. w sprawie </w:t>
      </w:r>
      <w:r w:rsidRPr="00110C70">
        <w:rPr>
          <w:i/>
        </w:rPr>
        <w:t>Szolcsán przeciwko Węgrom</w:t>
      </w:r>
      <w:r w:rsidRPr="00110C70">
        <w:t xml:space="preserve"> (</w:t>
      </w:r>
      <w:r w:rsidRPr="00110C70">
        <w:rPr>
          <w:rStyle w:val="textcolumn"/>
          <w:shd w:val="clear" w:color="auto" w:fill="FFFFFF"/>
        </w:rPr>
        <w:t>24408/16</w:t>
      </w:r>
      <w:r w:rsidRPr="00110C70">
        <w:t>), który stał się prawomocny 30 czerwca 2023 r., ETPC stwierdził naruszenie praw wyborców należących do mniejszości narodowych oraz naruszenie w odniesieniu do edukacji dzieci romskich w oddzielnych klasach lub szkołach bez podejmowania odpowiednich środków w celu zwalczania nierówności;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U.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decyzjach dotyczących obowiązującego wzmocnionego nadzoru nad wykonaniem wyroków Europejskiego Trybunału Praw Człowieka w sprawach i w grupach spraw </w:t>
      </w:r>
      <w:r w:rsidRPr="00110C70">
        <w:rPr>
          <w:i/>
        </w:rPr>
        <w:t>Szabó i Vissy przeciwko Węgrom</w:t>
      </w:r>
      <w:r w:rsidRPr="00110C70">
        <w:rPr>
          <w:rStyle w:val="FootnoteReference"/>
          <w:i/>
          <w:szCs w:val="24"/>
        </w:rPr>
        <w:footnoteReference w:id="8"/>
      </w:r>
      <w:r w:rsidRPr="00110C70">
        <w:t xml:space="preserve">, </w:t>
      </w:r>
      <w:r w:rsidRPr="00110C70">
        <w:rPr>
          <w:i/>
        </w:rPr>
        <w:t>Gazsó przeciwko Węgrom</w:t>
      </w:r>
      <w:r w:rsidRPr="00110C70">
        <w:rPr>
          <w:rStyle w:val="FootnoteReference"/>
          <w:i/>
          <w:szCs w:val="24"/>
        </w:rPr>
        <w:footnoteReference w:id="9"/>
      </w:r>
      <w:r w:rsidRPr="00110C70">
        <w:t xml:space="preserve">, </w:t>
      </w:r>
      <w:r w:rsidRPr="00110C70">
        <w:rPr>
          <w:i/>
        </w:rPr>
        <w:t>Ilias i Ahmed przeciwko Węgrom</w:t>
      </w:r>
      <w:r w:rsidRPr="00110C70">
        <w:rPr>
          <w:rStyle w:val="FootnoteReference"/>
          <w:i/>
          <w:szCs w:val="24"/>
        </w:rPr>
        <w:footnoteReference w:id="10"/>
      </w:r>
      <w:r w:rsidRPr="00110C70">
        <w:t xml:space="preserve"> oraz </w:t>
      </w:r>
      <w:r w:rsidRPr="00110C70">
        <w:rPr>
          <w:i/>
        </w:rPr>
        <w:t>Baka przeciwko Węgrom</w:t>
      </w:r>
      <w:r w:rsidRPr="00110C70">
        <w:rPr>
          <w:rStyle w:val="FootnoteReference"/>
          <w:i/>
          <w:szCs w:val="24"/>
        </w:rPr>
        <w:footnoteReference w:id="11"/>
      </w:r>
      <w:r w:rsidRPr="00110C70">
        <w:t xml:space="preserve"> Komitet Ministrów Rady Europy ponownie wyraził zaniepokojenie brakiem wykonania tych wyroków;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lastRenderedPageBreak/>
        <w:t>V.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swoim sprawozdaniu oceniającym z piątej rundy oceny Węgier </w:t>
      </w:r>
      <w:r w:rsidRPr="00110C70">
        <w:rPr>
          <w:shd w:val="clear" w:color="auto" w:fill="FFFFFF"/>
        </w:rPr>
        <w:t>Grupa Państw Przeciwko Korupcji</w:t>
      </w:r>
      <w:r w:rsidRPr="00110C70">
        <w:t xml:space="preserve"> (GRECO) wyraziła liczne obawy dotyczące skuteczności stosowanych na Węgrzech mechanizmów zapobiegania korupcji wśród osób pełniących najwyższe funkcje kierownicze oraz funkcjonariuszy węgierskiej policji krajowej i krajowej służby ochrony; mając na uwadze, że GRECO wskazała, iż wspólną i ogólną cechą administracji publicznej i organów ścigania na Węgrzech jest to, że większość środków służących zapewnieniu uczciwości i zapobieganiu korupcji dotyczy urzędników niskiego i średniego szczebla, natomiast środki w tej dziedzinie mające zastosowanie do osób pełniących najwyższe funkcje kierownicze są bardzo słabe, a warunki mianowania kadry kierowniczej </w:t>
      </w:r>
      <w:proofErr w:type="gramStart"/>
      <w:r w:rsidRPr="00110C70">
        <w:t>wyższego</w:t>
      </w:r>
      <w:proofErr w:type="gramEnd"/>
      <w:r w:rsidRPr="00110C70">
        <w:t xml:space="preserve"> szczebla w policji i krajowej służbie ochrony rodzą ryzyko upolitycznienia;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W.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swoim sprawozdaniu Europejska Komisja przeciwko Rasizmowi i Nietolerancji z zadowoleniem przyjęła pozytywny rozwój sytuacji na Węgrzech w niektórych aspektach, ale wyraziła przy tym obawy dotyczące likwidacji Urzędu ds. Równego Traktowania, stygmatyzacji studentów ze środowisk znajdujących się w niekorzystnej sytuacji i rodzin o niskich dochodach, takich jak studenci romscy, znacznego pogorszenia się sytuacji osób LGBTI w zakresie praw człowieka, coraz bardziej ksenofobicznego dyskursu publicznego i wypowiedzi politycznych stygmatyzujących, w szczególności, uchodźców, osoby ubiegające się o azyl i migrantów, muzułmanów i osoby LGBTI, niezwykle ograniczonej skuteczności ram prawnych dotyczących mowy nienawiści, braku wdrożenia krajowych strategii włączenia społecznego, </w:t>
      </w:r>
      <w:proofErr w:type="gramStart"/>
      <w:r w:rsidRPr="00110C70">
        <w:t>zakończenia</w:t>
      </w:r>
      <w:proofErr w:type="gramEnd"/>
      <w:r w:rsidRPr="00110C70">
        <w:t xml:space="preserve"> państwowego wsparcia integracji uchodźców i osób objętych ochroną uzupełniającą oraz ograniczonego dostępu do azylu w tym kraju;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X.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swoich uwagach końcowych Komitet ONZ ds. Likwidacji Dyskryminacji Kobiet wyraził zaniepokojenie zdrowiem seksualnym i reprodukcyjnym oraz prawami w tej dziedzinie, a także faktem, że polityka równości Węgier opiera się wyłącznie na koncepcji rodziny i za główną rolę kobiety uznaje bycie żoną i matką, a także zalecił Węgrom podjęcie środków w celu rozwiązania problemu antygenderowego dyskursu publicznego;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Y.</w:t>
      </w:r>
      <w:r w:rsidRPr="00110C70">
        <w:tab/>
      </w:r>
      <w:proofErr w:type="gramStart"/>
      <w:r w:rsidRPr="00110C70">
        <w:t>mając</w:t>
      </w:r>
      <w:proofErr w:type="gramEnd"/>
      <w:r w:rsidRPr="00110C70">
        <w:t xml:space="preserve"> na uwadze, że w oświadczeniu wydanym po oficjalnej wizycie na Węgrzech przedstawicielka </w:t>
      </w:r>
      <w:r w:rsidRPr="00110C70">
        <w:rPr>
          <w:shd w:val="clear" w:color="auto" w:fill="FFFFFF"/>
        </w:rPr>
        <w:t>Organizacji Bezpieczeństwa i Współpracy w Europie</w:t>
      </w:r>
      <w:r w:rsidRPr="00110C70">
        <w:t xml:space="preserve"> ds. wolności mediów stwierdziła, iż jeśli chodzi o wolność mediów na Węgrzech, widoczne jest systemowe podejście odmawiające niektórym podmiotom równych podstawowych możliwości docierania do odbiorców;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Z.</w:t>
      </w:r>
      <w:r w:rsidRPr="00110C70">
        <w:tab/>
        <w:t>mając na uwadze, że w zaleceniu w sprawie krajowego programu reform Węgier na 2023 r., zawierającym opinię Rady na temat przedstawionego przez Węgry programu konwergencji na 2023 r. (COM</w:t>
      </w:r>
      <w:proofErr w:type="gramStart"/>
      <w:r w:rsidRPr="00110C70">
        <w:t>(2023)0617), Rada</w:t>
      </w:r>
      <w:proofErr w:type="gramEnd"/>
      <w:r w:rsidRPr="00110C70">
        <w:t xml:space="preserve"> zaleciła Węgrom podjęcie działań w celu poprawy adekwatności systemu pomocy społecznej, poprawy dostępu do skutecznych aktywnych środków rynku pracy, zapewnienia skutecznego dialogu społecznego oraz poprawy ram regulacyjnych i konkurencji w sektorze usług zgodnie z zasadami jednolitego rynku i praworządności;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AA.</w:t>
      </w:r>
      <w:r w:rsidRPr="00110C70">
        <w:tab/>
        <w:t xml:space="preserve">mając na uwadze, że rząd węgierski nie wykonał szeregu wyroków węgierskiego Trybunału Konstytucyjnego, TSUE i Europejskiego Trybunału Praw Człowieka dotyczących naruszeń przez Węgry wartości zapisanych w art. 2 TUE i nie zastosował się do znacznej większości zaleceń zawartych w sprawozdaniu Komisji na temat praworządności z 2023 r. ani do zaleceń innych organów międzynarodowych, takich jak </w:t>
      </w:r>
      <w:r w:rsidRPr="00110C70">
        <w:lastRenderedPageBreak/>
        <w:t>GRECO, Komisja Wenecka czy innych;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1.</w:t>
      </w:r>
      <w:r w:rsidRPr="00110C70">
        <w:tab/>
      </w:r>
      <w:r w:rsidR="005B5A95">
        <w:t>J</w:t>
      </w:r>
      <w:r w:rsidRPr="00110C70">
        <w:t>est zbulwersowany utrzymującym się systemowym i umyślnym naruszaniem demokracji, praworządności i praw podstawowych na Węgrzech, za które odpowiedzialność ponosi rząd węgierski;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2.</w:t>
      </w:r>
      <w:r w:rsidRPr="00110C70">
        <w:tab/>
      </w:r>
      <w:proofErr w:type="gramStart"/>
      <w:r w:rsidR="005B5A95">
        <w:t>p</w:t>
      </w:r>
      <w:r w:rsidR="005B5A95" w:rsidRPr="00110C70">
        <w:t>odkreśla</w:t>
      </w:r>
      <w:proofErr w:type="gramEnd"/>
      <w:r w:rsidRPr="00110C70">
        <w:t>, że od czasu uruchomienia art. 7 ust. 1 TUE poszanowanie na Węgrzech wartości zapisanych w art. 2 TUE znacznie się pogorszyło, i wyraża głębokie ubolewanie, iż brak zdecydowanych działań ze strony Komisji i Rady przyczynił się do załamania demokracji, praworządności i praw podstawowych w tym kraju i do przekształcenia go, jak wynika z odnośnych wskaźników, w hybrydowy system autokracji wyborczej;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3.</w:t>
      </w:r>
      <w:r w:rsidRPr="00110C70">
        <w:tab/>
      </w:r>
      <w:proofErr w:type="gramStart"/>
      <w:r w:rsidR="005B5A95">
        <w:t>p</w:t>
      </w:r>
      <w:r w:rsidR="005B5A95" w:rsidRPr="00110C70">
        <w:t>otępia</w:t>
      </w:r>
      <w:proofErr w:type="gramEnd"/>
      <w:r w:rsidR="005B5A95" w:rsidRPr="00110C70">
        <w:t xml:space="preserve"> </w:t>
      </w:r>
      <w:r w:rsidRPr="00110C70">
        <w:t>przyjęcie ustawy o ochronie suwerenności narodowej oraz utworzenie urzędu ochrony suwerenności o szerokich uprawnieniach i rygorystycznym systemie nadzoru i sankcji, które to działania stanowią zasadniczo pogwałcenie standardów demokracji, takich jak zasada wolnych i uczciwych wyborów, praworządność i prawa podstawowe, a także naruszenie szeregu przepisów i postanowień prawa UE; z zadowoleniem przyjmuje prowadzone przez Komisję wobec Węgier postępowanie w sprawie uchybienia zobowiązaniom państwa członkowskiego w tej sprawie; wzywa rząd Węgier do natychmiastowego uchylenia tej ustawy;</w:t>
      </w:r>
      <w:r w:rsidR="005B5A95" w:rsidRPr="005B5A95">
        <w:t xml:space="preserve"> wzywa Komisję, aby wystąpiła do TSUE o natychmiastowe zawieszenie stosowania tej ustawy jako środka tymczasowego, ponieważ ustawa ta ma wpływ na zasadę wolnych i uczciwych </w:t>
      </w:r>
      <w:proofErr w:type="gramStart"/>
      <w:r w:rsidR="005B5A95" w:rsidRPr="005B5A95">
        <w:t>wyborów</w:t>
      </w:r>
      <w:proofErr w:type="gramEnd"/>
      <w:r w:rsidR="005B5A95" w:rsidRPr="005B5A95">
        <w:t>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4.</w:t>
      </w:r>
      <w:r w:rsidRPr="00110C70">
        <w:tab/>
      </w:r>
      <w:proofErr w:type="gramStart"/>
      <w:r w:rsidR="005B5A95">
        <w:t>u</w:t>
      </w:r>
      <w:r w:rsidR="005B5A95" w:rsidRPr="00110C70">
        <w:t>bolewa</w:t>
      </w:r>
      <w:proofErr w:type="gramEnd"/>
      <w:r w:rsidR="005B5A95" w:rsidRPr="00110C70">
        <w:t xml:space="preserve"> </w:t>
      </w:r>
      <w:r w:rsidRPr="00110C70">
        <w:t xml:space="preserve">nad niezdolnością Rady do poczynienia znaczących postępów w toczącej się procedurze przewidzianej w art. 7 ust. 1 TUE i ponawia apel o poprawę sytuacji poprzez organizowanie regularnych wysłuchań, szybkie reagowanie na problemy, zarówno istniejące od długiego czasu, jak i nowe, w zakresie praworządności, demokracji i praw podstawowych oraz o wydawanie konkretnych zaleceń wraz z terminami wdrożenia; wzywa Radę do publikowania po każdym wysłuchaniu szczegółowych protokołów i konkluzji; nalega, aby we wszystkich postępowaniach związanych z art. 7 TUE Parlament mógł przedstawiać Radzie uzasadniony wniosek, uczestniczyć w wysłuchaniach na podstawie art. 7 TUE oraz niezwłocznie otrzymywać pełne informacje na każdym etapie procedury; wzywa Komisję i </w:t>
      </w:r>
      <w:proofErr w:type="gramStart"/>
      <w:r w:rsidRPr="00110C70">
        <w:t>państwa</w:t>
      </w:r>
      <w:proofErr w:type="gramEnd"/>
      <w:r w:rsidRPr="00110C70">
        <w:t xml:space="preserve"> członkowskie do wszczęcia postępowania na podstawie art. 7 ust. 2 TUE, a Radę Europejską do ustalenia, czy Węgry dopuściły się poważnych i stałych naruszeń wartości UE w rozumieniu art. 7 ust. 2 TUE, w przypadku braku postępów przed zakończeniem prezydencji belgijskiej; podkreśla, że Rada jest współodpowiedzialna za ochronę wartości zapisanych w art. 2 TUE, a konsekwencje porażki w tej dziedzinie byłyby długotrwałe i potencjalnie bardzo szkodliwe;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5.</w:t>
      </w:r>
      <w:r w:rsidRPr="00110C70">
        <w:tab/>
      </w:r>
      <w:proofErr w:type="gramStart"/>
      <w:r w:rsidR="005B5A95">
        <w:t>p</w:t>
      </w:r>
      <w:r w:rsidRPr="00110C70">
        <w:t>odkreśla</w:t>
      </w:r>
      <w:proofErr w:type="gramEnd"/>
      <w:r w:rsidRPr="00110C70">
        <w:t xml:space="preserve"> istotną rolę prezydencji Rady w przyspieszaniu prac Rady nad prawodawstwem UE, w zapewnieniu ciągłości agendy UE i reprezentowaniu Rady w stosunkach z pozostałymi instytucjami UE; ponownie wyraża obawę, że w 2024 r. rząd węgierski nie będzie w stanie wiarygodnie wypełnić tego zadania, skoro nie przestrzega przepisów prawa UE i wartości zapisanych w art. 2 TUE ani zasady lojalnej współpracy; ubolewa, że Rada nie znalazła jeszcze rozwiązania tego problemu, a przedstawiciele rządu węgierskiego będą przewodniczyć posiedzeniom Rady dotyczącym demokracji, praworządności i praw podstawowych, w tym spotkaniom związanym z ochroną interesów finansowych i budżetu UE; podkreśla, że wyzwanie to pojawia się w kluczowym </w:t>
      </w:r>
      <w:proofErr w:type="gramStart"/>
      <w:r w:rsidRPr="00110C70">
        <w:t>momencie</w:t>
      </w:r>
      <w:proofErr w:type="gramEnd"/>
      <w:r w:rsidRPr="00110C70">
        <w:t xml:space="preserve">, jakim są wybory europejskie i formowanie </w:t>
      </w:r>
      <w:r w:rsidRPr="00110C70">
        <w:lastRenderedPageBreak/>
        <w:t>nowego składu Komisji; ubolewa nad tym, że nie znaleziono rozwiązania tego problemu, i ponownie wyraża gotowość do podjęcia działań w obronie wiarygodności Unii w dziedzinie wartości zapisanych w art. 2 TUE w odniesieniu do współpracy z Radą;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6.</w:t>
      </w:r>
      <w:r w:rsidRPr="00110C70">
        <w:tab/>
      </w:r>
      <w:proofErr w:type="gramStart"/>
      <w:r w:rsidR="005B5A95">
        <w:t>a</w:t>
      </w:r>
      <w:r w:rsidR="005B5A95" w:rsidRPr="00110C70">
        <w:t>peluje</w:t>
      </w:r>
      <w:proofErr w:type="gramEnd"/>
      <w:r w:rsidR="005B5A95" w:rsidRPr="00110C70">
        <w:t xml:space="preserve"> </w:t>
      </w:r>
      <w:r w:rsidRPr="00110C70">
        <w:t>do Rady i Komisji, aby zwróciły większą uwagę na systemowy demontaż praworządności, a także na wzajemne powiązania między poszczególnymi naruszeniami wartości wskazanymi w rezolucjach; podkreśla, że UE powinna z równą determinacją bronić wszystkich wartości zapisanych w art. 2 TUE, a niepowodzenie w tym zakresie osłabia instytucje demokratyczne i w ostatecznym rozrachunku wpływa na prawa człowieka i życie wszystkich obywateli w krajach, w których wartości te się narusza;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7.</w:t>
      </w:r>
      <w:r w:rsidRPr="00110C70">
        <w:tab/>
      </w:r>
      <w:proofErr w:type="gramStart"/>
      <w:r w:rsidR="005B5A95">
        <w:t>p</w:t>
      </w:r>
      <w:r w:rsidRPr="00110C70">
        <w:t>onawia</w:t>
      </w:r>
      <w:proofErr w:type="gramEnd"/>
      <w:r w:rsidRPr="00110C70">
        <w:t xml:space="preserve"> apel do Komisji o pełne wykorzystanie dostępnych narzędzi, w szczególności przyspieszonych postępowań w sprawie uchybienia zobowiązaniom państwa członkowskiego, wniosków o zastosowanie środków tymczasowych wnoszonych do TSUE i działań podejmowanych w razie niewykonania jego orzeczeń, aby wyeliminować widoczne ryzyko poważnego naruszenia przez Węgry wartości, na których opiera się UE; przypomina o znaczeniu rozporządzenia w sprawie warunkowości w zakresie praworządności i z zadowoleniem przyjmuje decyzję Komisji z 13 grudnia 2023 r. potwierdzającą, że ryzyko dla budżetu Unii pozostaje niezmienione od grudnia 2022 r., i w związku z tym przedłużającą środki przyjęte na podstawie rozporządzenia; wzywa Komisję do podjęcia natychmiastowych działań na podstawie wspomnianego rozporządzenia </w:t>
      </w:r>
      <w:proofErr w:type="gramStart"/>
      <w:r w:rsidRPr="00110C70">
        <w:t>w</w:t>
      </w:r>
      <w:proofErr w:type="gramEnd"/>
      <w:r w:rsidRPr="00110C70">
        <w:t xml:space="preserve"> odniesieniu do innych przypadków naruszenia zasady praworządności; 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8.</w:t>
      </w:r>
      <w:r w:rsidRPr="00110C70">
        <w:tab/>
      </w:r>
      <w:proofErr w:type="gramStart"/>
      <w:r w:rsidR="005B5A95" w:rsidRPr="00037EE1">
        <w:t>w</w:t>
      </w:r>
      <w:proofErr w:type="gramEnd"/>
      <w:r w:rsidR="005B5A95" w:rsidRPr="00037EE1">
        <w:t xml:space="preserve"> tym kontekście ponownie wyraża poważne zaniepokojenie z powodu decyzji uznającej spełnienie horyzontalnego warunku podstawowego dotyczącego Karty w odniesieniu do niezależności sądów, która umożliwiła władzom węgierskim składanie wniosków o zwrot kosztów w wysokości do 10,2 mld EUR bez odpowiednich mechanizmów kontroli ani procedur udzielania zamówień publicznych, które gwarantowałyby należyte zarządzanie finansami i ochronę budżetu UE; zwraca uwagę na skargę Parlamentu, zmierzającą do przeglądu zgodności z prawem decyzji C(2023) 9014, wniesioną do TSUE na podstawie art. 263 TFUE 25 marca 2024 r.; oczekuje szybkiego rozwiązania tej kwestii; po raz kolejny wzywa Komisję do </w:t>
      </w:r>
      <w:r w:rsidR="005B5A95" w:rsidRPr="00AB3547">
        <w:t>cofnięcia swojej</w:t>
      </w:r>
      <w:r w:rsidR="005B5A95" w:rsidRPr="00037EE1">
        <w:t xml:space="preserve"> decyzji, zwłaszcza w kontekście środków krajowych podjętych od czasu jej przyjęcia </w:t>
      </w:r>
      <w:proofErr w:type="gramStart"/>
      <w:r w:rsidR="005B5A95" w:rsidRPr="00037EE1">
        <w:t>oraz</w:t>
      </w:r>
      <w:proofErr w:type="gramEnd"/>
      <w:r w:rsidR="005B5A95" w:rsidRPr="00037EE1">
        <w:t xml:space="preserve"> informacji ujawnionych przez byłego ministra sprawiedliwości Węgier, świadczących o braku niezależności prokuratury i o ingerencjach politycznych w postępowania karne; wzywa Komisję, aby </w:t>
      </w:r>
      <w:r w:rsidR="005B5A95" w:rsidRPr="00AB3547">
        <w:t>zamroziła fundusze</w:t>
      </w:r>
      <w:r w:rsidR="005B5A95" w:rsidRPr="00037EE1">
        <w:rPr>
          <w:b/>
          <w:i/>
        </w:rPr>
        <w:t xml:space="preserve"> </w:t>
      </w:r>
      <w:r w:rsidR="005B5A95" w:rsidRPr="00037EE1">
        <w:t>do czasu pełnego wdrożenia wszystkich odnośnych przepisów, dowiedzenia praktycznej skuteczności przyjętych środków i wykonania przez Węgry wszystkich odpowiednich wyroków TSUE i ETPC; zwraca się do Komisji o dogłębną kontrolę płatności zaliczkowych przyznawanych w ramach finansowania UE, aby zagwarantować, że fundusze są wykorzystywane zgodnie z celami odpowiednich przepisów; ponawia apel do Węgier o pilne przystąpienie do Prokuratury Europejskiej;</w:t>
      </w:r>
      <w:r w:rsidR="005B5A95">
        <w:t xml:space="preserve"> </w:t>
      </w:r>
      <w:r w:rsidR="005B5A95" w:rsidRPr="005B5A95">
        <w:t>apeluje do Komisji, aby wezwała Węgry do udziału w Prokuraturze Europejskiej;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9.</w:t>
      </w:r>
      <w:r w:rsidRPr="00110C70">
        <w:tab/>
      </w:r>
      <w:proofErr w:type="gramStart"/>
      <w:r w:rsidR="005B5A95">
        <w:t>p</w:t>
      </w:r>
      <w:r w:rsidR="005B5A95" w:rsidRPr="00110C70">
        <w:t>odkreśla</w:t>
      </w:r>
      <w:proofErr w:type="gramEnd"/>
      <w:r w:rsidRPr="00110C70">
        <w:t xml:space="preserve">, że środki wymagane do odblokowania finansowania UE, określone w odpowiednich decyzjach podjętych na podstawie rozporządzenia w sprawie wspólnych </w:t>
      </w:r>
      <w:r w:rsidRPr="00110C70">
        <w:lastRenderedPageBreak/>
        <w:t>przepisów</w:t>
      </w:r>
      <w:r w:rsidRPr="00110C70">
        <w:rPr>
          <w:rStyle w:val="FootnoteReference"/>
          <w:szCs w:val="24"/>
        </w:rPr>
        <w:footnoteReference w:id="12"/>
      </w:r>
      <w:r w:rsidRPr="00110C70">
        <w:t>, rozporządzenia w sprawie instrumentu na rzecz odbudowy i zwiększania odporności</w:t>
      </w:r>
      <w:r w:rsidRPr="00110C70">
        <w:rPr>
          <w:rStyle w:val="FootnoteReference"/>
          <w:szCs w:val="24"/>
        </w:rPr>
        <w:footnoteReference w:id="13"/>
      </w:r>
      <w:r w:rsidRPr="00110C70">
        <w:t xml:space="preserve"> oraz rozporządzenia w sprawie warunkowości w zakresie praworządności, trzeba oceniać w sposób spójny i niepodzielny, a przy tym nie należy dokonywać żadnych płatności, nawet jeżeli w jednym lub większej liczbie obszarów poczyniono postępy, ale w innych nadal występują niedociągnięcia; podkreśla, że odblokowanie środków na podstawie rozporządzenia w sprawie wspólnych przepisów, motywowane poprawą niezależności sądownictwa, jest niezrozumiałe w sytuacji, w której utrzymujące się niedociągnięcia w zakresie niezależności sądownictwa uzasadniają zablokowanie funduszy </w:t>
      </w:r>
      <w:proofErr w:type="gramStart"/>
      <w:r w:rsidRPr="00110C70">
        <w:t>w</w:t>
      </w:r>
      <w:proofErr w:type="gramEnd"/>
      <w:r w:rsidRPr="00110C70">
        <w:t xml:space="preserve"> ramach instrumentu na rzecz odbudowy i zwiększania odporności oraz mechanizmu warunkowości;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10.</w:t>
      </w:r>
      <w:r w:rsidRPr="00110C70">
        <w:tab/>
      </w:r>
      <w:proofErr w:type="gramStart"/>
      <w:r w:rsidR="005B5A95">
        <w:t>o</w:t>
      </w:r>
      <w:r w:rsidR="005B5A95" w:rsidRPr="00110C70">
        <w:t>dnotowuje</w:t>
      </w:r>
      <w:proofErr w:type="gramEnd"/>
      <w:r w:rsidR="005B5A95" w:rsidRPr="00110C70">
        <w:t xml:space="preserve"> </w:t>
      </w:r>
      <w:r w:rsidRPr="00110C70">
        <w:t xml:space="preserve">ustanowienie Urzędu ds. Etyki jako jeden ze środków zaradczych, które należy wdrożyć w ramach rozporządzenia w sprawie warunkowości w zakresie praworządności; jest zdania, że samo tylko utworzenie tej instytucji nie wystarcza do rozwiania istniejących obaw, i uważa, iż wykonanie odpowiednich środków zaradczych należy oceniać na podstawie praktycznego funkcjonowania tej instytucji; uważa, że jeżeli Urząd ds. Etyki otrzyma odpowiednie prerogatywy i uprawnienia wykonawcze, będzie mógł rozwiązać niektóre problemy związane z sytuacją w zakresie praworządności na Węgrzech, w szczególności w odniesieniu do walki z korupcją; wyraża jednak zaniepokojenie faktem, że w praktyce nie posiada on właściwości i prerogatyw koniecznych do należytego </w:t>
      </w:r>
      <w:proofErr w:type="gramStart"/>
      <w:r w:rsidRPr="00110C70">
        <w:t>wypełniania</w:t>
      </w:r>
      <w:proofErr w:type="gramEnd"/>
      <w:r w:rsidRPr="00110C70">
        <w:t xml:space="preserve"> powierzonych mu zadań, o czym świadczy pierwszy rok jego działalności; domaga się przyznania mu dalej idących uprawnień oraz możliwości ich wykonywania, w szczególności poprzez zapewnienie urzędowi należytego dostępu do odpowiednich baz danych, wzmocnienie jego uprawnień dochodzeniowych i wprowadzenie obowiązku realizacji wydawanych przez niego zaleceń;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11.</w:t>
      </w:r>
      <w:r w:rsidRPr="00110C70">
        <w:tab/>
      </w:r>
      <w:proofErr w:type="gramStart"/>
      <w:r w:rsidR="005B5A95">
        <w:t>p</w:t>
      </w:r>
      <w:r w:rsidR="005B5A95" w:rsidRPr="00110C70">
        <w:t>odkreśla</w:t>
      </w:r>
      <w:proofErr w:type="gramEnd"/>
      <w:r w:rsidRPr="00110C70">
        <w:t xml:space="preserve">, że zgodność z prawem UE, w tym z zasadami jednolitego rynku, stanowi podstawowy filar zasady praworządności; wzywa Komisję, aby przy ocenie stanu praworządności w poszczególnych państwach członkowskich uwzględniała panującą w nich sytuację w zakresie jednolitego rynku; jest zaniepokojony nadużywaniem władzy i systemowymi praktykami dyskryminacyjnymi ze strony władz węgierskich wobec przedsiębiorstw działających w branżach uważanych za strategicznie ważne dla rządu węgierskiego i oligarchów; podkreśla, że zachowania te doprowadziły do powstania atmosfery dyskryminacji i strachu, która jest sprzeczna z filarami jednolitego rynku i naraża niektóre przedsiębiorstwa i ich uzasadnione interesy gospodarcze na poważne ryzyko i de facto wypiera te podmioty z </w:t>
      </w:r>
      <w:proofErr w:type="gramStart"/>
      <w:r w:rsidRPr="00110C70">
        <w:t>rynku</w:t>
      </w:r>
      <w:proofErr w:type="gramEnd"/>
      <w:r w:rsidRPr="00110C70">
        <w:t xml:space="preserve"> węgierskiego; wzywa Komisję, aby przy ocenie stanu praworządności na Węgrzech zwróciła szczególną uwagę na przestrzeganie zasad jednolitego rynku; wzywa Komisję do zbadania, czy ustawy </w:t>
      </w:r>
      <w:r w:rsidRPr="00110C70">
        <w:lastRenderedPageBreak/>
        <w:t>dotyczące branż uważanych za strategicznie ważne dla rządu węgierskiego są zgodne z obowiązującym prawem europejskim; podkreśla, że w reakcji na skargi składane przez przedsiębiorstwa, które władze węgierskie obierają za cel, Komisja ma obowiązek szybko działać i wnosić odpowiednich spraw do TSUE;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12.</w:t>
      </w:r>
      <w:r w:rsidRPr="00110C70">
        <w:tab/>
      </w:r>
      <w:proofErr w:type="gramStart"/>
      <w:r w:rsidR="005B5A95">
        <w:t>u</w:t>
      </w:r>
      <w:r w:rsidR="005B5A95" w:rsidRPr="00110C70">
        <w:t>bolewa</w:t>
      </w:r>
      <w:proofErr w:type="gramEnd"/>
      <w:r w:rsidR="005B5A95" w:rsidRPr="00110C70">
        <w:t xml:space="preserve"> </w:t>
      </w:r>
      <w:r w:rsidRPr="00110C70">
        <w:t>nad faktem, że Węgry nadużyły w Radzie swojego prawa weta, przez co uniemożliwiły przyznanie Ukrainie podstawowej pomocy i osłabiły w ten sposób strategiczne interesy UE; potępia ogólną politykę rządu węgierskiego wobec Rosji;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13.</w:t>
      </w:r>
      <w:r w:rsidRPr="00110C70">
        <w:tab/>
      </w:r>
      <w:proofErr w:type="gramStart"/>
      <w:r w:rsidR="005B5A95">
        <w:t>p</w:t>
      </w:r>
      <w:r w:rsidRPr="00110C70">
        <w:t>onownie</w:t>
      </w:r>
      <w:proofErr w:type="gramEnd"/>
      <w:r w:rsidRPr="00110C70">
        <w:t xml:space="preserve"> wzywa Komisję do dopilnowania, aby ostateczni odbiorcy lub beneficjenci funduszy UE nie zostali ich pozbawieni, jak określono w rozporządzeniu w sprawie warunkowości w zakresie praworządności; wzywa Komisję, aby znalazła sposoby rozdzielania funduszy UE za pośrednictwem samorządów lokalnych i regionalnych oraz społeczeństwa obywatelskiego, jeżeli dany rząd nie współpracuje w odniesieniu do niedociągnięć we wdrażaniu praworządności;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14.</w:t>
      </w:r>
      <w:r w:rsidRPr="00110C70">
        <w:tab/>
        <w:t>Podkreśla, że władze węgierskie muszą zagwarantować przejrzystość i zapewnić równe szanse obywatelom, przedsiębiorstwom, społeczeństwu obywatelskiemu, organizacjom pozarządowym oraz samorządowym władzom lokalnym i regionalnym pragnącym uzyskać dostęp do finansowania UE, a także mają obowiązek zapewnić niezależny nadzór sądowy oraz bezstronne i skuteczne mechanizmy składania skarg; potępia zgłoszone systemowe praktyki dyskryminacyjne wobec środowiska akademickiego, dziennikarzy, partii politycznych i społeczeństwa obywatelskiego, a także przedsiębiorstw w niektórych sektorach;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15.</w:t>
      </w:r>
      <w:r w:rsidRPr="00110C70">
        <w:tab/>
      </w:r>
      <w:proofErr w:type="gramStart"/>
      <w:r w:rsidR="005B5A95">
        <w:t>w</w:t>
      </w:r>
      <w:r w:rsidRPr="00110C70">
        <w:t>zywa</w:t>
      </w:r>
      <w:proofErr w:type="gramEnd"/>
      <w:r w:rsidRPr="00110C70">
        <w:t xml:space="preserve"> Komisję, aby wspierała niezależne społeczeństwo obywatelskie na Węgrzech, chroniące wartości zapisane w art. 2 TUE, w szczególności przy wykorzystaniu programu „Obywatele, równość, prawa i wartości”; ponownie wzywa Komisję, aby przyjęła kompleksową strategię na rzecz społeczeństwa obywatelskiego w celu ochrony i rozwijania w UE przestrzeni społeczeństwa obywatelskiego, która to strategia połączy wszystkie obecne narzędzia oraz obejmie zbiór określonych środków ochrony i wzmacniania wspomnianej przestrzeni;</w:t>
      </w:r>
    </w:p>
    <w:p w:rsidR="008570D5" w:rsidRPr="00110C70" w:rsidRDefault="008570D5" w:rsidP="008570D5">
      <w:pPr>
        <w:pStyle w:val="NormalHanging12a"/>
        <w:rPr>
          <w:szCs w:val="24"/>
        </w:rPr>
      </w:pPr>
      <w:r w:rsidRPr="00110C70">
        <w:t>16.</w:t>
      </w:r>
      <w:r w:rsidRPr="00110C70">
        <w:tab/>
      </w:r>
      <w:proofErr w:type="gramStart"/>
      <w:r w:rsidR="005B5A95">
        <w:t>p</w:t>
      </w:r>
      <w:r w:rsidRPr="00110C70">
        <w:t>onawia</w:t>
      </w:r>
      <w:proofErr w:type="gramEnd"/>
      <w:r w:rsidRPr="00110C70">
        <w:t xml:space="preserve"> apel do Komisji i Rady, aby natychmiast rozpoczęły negocjacje z Parlamentem w sprawie unijnego mechanizmu na rzecz demokracji, praworządności i praw podstawowych w formie porozumienia międzyinstytucjonalnego oraz w sprawie uwzględnienia stałego cyklu politycznego instytucji UE;</w:t>
      </w:r>
    </w:p>
    <w:p w:rsidR="008570D5" w:rsidRPr="00110C70" w:rsidRDefault="008570D5" w:rsidP="008570D5">
      <w:pPr>
        <w:pStyle w:val="NormalHanging12a"/>
      </w:pPr>
      <w:r w:rsidRPr="00110C70">
        <w:t>17.</w:t>
      </w:r>
      <w:r w:rsidRPr="00110C70">
        <w:tab/>
      </w:r>
      <w:proofErr w:type="gramStart"/>
      <w:r w:rsidR="005B5A95">
        <w:t>z</w:t>
      </w:r>
      <w:r w:rsidRPr="00110C70">
        <w:t>obowiązuje</w:t>
      </w:r>
      <w:proofErr w:type="gramEnd"/>
      <w:r w:rsidRPr="00110C70">
        <w:t xml:space="preserve"> swoją przewodniczącą do przekazania niniejszej rezolucji Radzie, Komisji, rządom i parlamentom państw członkowskich, Radzie Europy, Organizacji Bezpieczeństwa i Współpracy w Europie oraz Organizacji Narodów Zjednoczonych.</w:t>
      </w:r>
    </w:p>
    <w:p w:rsidR="00E365E1" w:rsidRPr="00110C70" w:rsidRDefault="00E365E1" w:rsidP="00AD4AB0"/>
    <w:sectPr w:rsidR="00E365E1" w:rsidRPr="00110C70" w:rsidSect="00110C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AB0" w:rsidRPr="00110C70" w:rsidRDefault="00AD4AB0">
      <w:r w:rsidRPr="00110C70">
        <w:separator/>
      </w:r>
    </w:p>
  </w:endnote>
  <w:endnote w:type="continuationSeparator" w:id="0">
    <w:p w:rsidR="00AD4AB0" w:rsidRPr="00110C70" w:rsidRDefault="00AD4AB0">
      <w:r w:rsidRPr="00110C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AB0" w:rsidRPr="00110C70" w:rsidRDefault="00AD4AB0">
      <w:r w:rsidRPr="00110C70">
        <w:separator/>
      </w:r>
    </w:p>
  </w:footnote>
  <w:footnote w:type="continuationSeparator" w:id="0">
    <w:p w:rsidR="00AD4AB0" w:rsidRPr="00110C70" w:rsidRDefault="00AD4AB0">
      <w:r w:rsidRPr="00110C70">
        <w:continuationSeparator/>
      </w:r>
    </w:p>
  </w:footnote>
  <w:footnote w:id="1">
    <w:p w:rsidR="008570D5" w:rsidRPr="00AB3547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rStyle w:val="Emphasis"/>
          <w:sz w:val="24"/>
          <w:shd w:val="clear" w:color="auto" w:fill="FFFFFF"/>
          <w:lang w:val="pl-PL"/>
        </w:rPr>
        <w:t xml:space="preserve"> </w:t>
      </w:r>
      <w:r w:rsidR="00110C70" w:rsidRPr="00110C70">
        <w:rPr>
          <w:rStyle w:val="Emphasis"/>
          <w:sz w:val="24"/>
          <w:shd w:val="clear" w:color="auto" w:fill="FFFFFF"/>
          <w:lang w:val="pl-PL"/>
        </w:rPr>
        <w:tab/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Dz.U. C 433 z 23.12.2019, </w:t>
      </w:r>
      <w:proofErr w:type="gramStart"/>
      <w:r w:rsidRPr="00AB3547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AB3547">
        <w:rPr>
          <w:rStyle w:val="Emphasis"/>
          <w:i w:val="0"/>
          <w:sz w:val="24"/>
          <w:shd w:val="clear" w:color="auto" w:fill="FFFFFF"/>
          <w:lang w:val="pl-PL"/>
        </w:rPr>
        <w:t>. 66.</w:t>
      </w:r>
    </w:p>
  </w:footnote>
  <w:footnote w:id="2">
    <w:p w:rsidR="008570D5" w:rsidRPr="00AB3547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AB3547">
        <w:rPr>
          <w:rStyle w:val="FootnoteReference"/>
          <w:sz w:val="24"/>
          <w:lang w:val="pl-PL"/>
        </w:rPr>
        <w:footnoteRef/>
      </w:r>
      <w:r w:rsidR="00110C70"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 </w:t>
      </w:r>
      <w:r w:rsidR="00110C70" w:rsidRPr="00AB3547">
        <w:rPr>
          <w:rStyle w:val="Emphasis"/>
          <w:i w:val="0"/>
          <w:sz w:val="24"/>
          <w:shd w:val="clear" w:color="auto" w:fill="FFFFFF"/>
          <w:lang w:val="pl-PL"/>
        </w:rPr>
        <w:tab/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>Dz.U. L 433</w:t>
      </w:r>
      <w:r w:rsidR="00AB3547"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 </w:t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I z 22.12.2020, </w:t>
      </w:r>
      <w:proofErr w:type="gramStart"/>
      <w:r w:rsidRPr="00AB3547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AB3547">
        <w:rPr>
          <w:rStyle w:val="Emphasis"/>
          <w:i w:val="0"/>
          <w:sz w:val="24"/>
          <w:shd w:val="clear" w:color="auto" w:fill="FFFFFF"/>
          <w:lang w:val="pl-PL"/>
        </w:rPr>
        <w:t>. 1.</w:t>
      </w:r>
    </w:p>
  </w:footnote>
  <w:footnote w:id="3">
    <w:p w:rsidR="008570D5" w:rsidRPr="00AB3547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rStyle w:val="Emphasis"/>
          <w:sz w:val="24"/>
          <w:shd w:val="clear" w:color="auto" w:fill="FFFFFF"/>
          <w:lang w:val="pl-PL"/>
        </w:rPr>
        <w:t xml:space="preserve"> </w:t>
      </w:r>
      <w:r w:rsidR="00110C70" w:rsidRPr="00110C70">
        <w:rPr>
          <w:rStyle w:val="Emphasis"/>
          <w:sz w:val="24"/>
          <w:shd w:val="clear" w:color="auto" w:fill="FFFFFF"/>
          <w:lang w:val="pl-PL"/>
        </w:rPr>
        <w:tab/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Dz.U. C 125 z 5.4.2023, </w:t>
      </w:r>
      <w:proofErr w:type="gramStart"/>
      <w:r w:rsidRPr="00AB3547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AB3547">
        <w:rPr>
          <w:rStyle w:val="Emphasis"/>
          <w:i w:val="0"/>
          <w:sz w:val="24"/>
          <w:shd w:val="clear" w:color="auto" w:fill="FFFFFF"/>
          <w:lang w:val="pl-PL"/>
        </w:rPr>
        <w:t>. 463.</w:t>
      </w:r>
    </w:p>
  </w:footnote>
  <w:footnote w:id="4">
    <w:p w:rsidR="008570D5" w:rsidRPr="00AB3547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AB3547">
        <w:rPr>
          <w:rStyle w:val="FootnoteReference"/>
          <w:sz w:val="24"/>
          <w:lang w:val="pl-PL"/>
        </w:rPr>
        <w:footnoteRef/>
      </w:r>
      <w:r w:rsidR="00110C70"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 </w:t>
      </w:r>
      <w:r w:rsidR="00110C70" w:rsidRPr="00AB3547">
        <w:rPr>
          <w:rStyle w:val="Emphasis"/>
          <w:i w:val="0"/>
          <w:sz w:val="24"/>
          <w:shd w:val="clear" w:color="auto" w:fill="FFFFFF"/>
          <w:lang w:val="pl-PL"/>
        </w:rPr>
        <w:tab/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Dz.U. C 167 z 11.5.2023, </w:t>
      </w:r>
      <w:proofErr w:type="gramStart"/>
      <w:r w:rsidRPr="00AB3547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AB3547">
        <w:rPr>
          <w:rStyle w:val="Emphasis"/>
          <w:i w:val="0"/>
          <w:sz w:val="24"/>
          <w:shd w:val="clear" w:color="auto" w:fill="FFFFFF"/>
          <w:lang w:val="pl-PL"/>
        </w:rPr>
        <w:t>. 74.</w:t>
      </w:r>
    </w:p>
  </w:footnote>
  <w:footnote w:id="5">
    <w:p w:rsidR="008570D5" w:rsidRPr="00AB3547" w:rsidRDefault="008570D5" w:rsidP="00110C70">
      <w:pPr>
        <w:pStyle w:val="FootnoteText"/>
        <w:ind w:left="567" w:hanging="567"/>
        <w:rPr>
          <w:sz w:val="24"/>
          <w:lang w:val="fi-FI"/>
        </w:rPr>
      </w:pPr>
      <w:r w:rsidRPr="00AB3547">
        <w:rPr>
          <w:rStyle w:val="FootnoteReference"/>
          <w:sz w:val="24"/>
          <w:lang w:val="pl-PL"/>
        </w:rPr>
        <w:footnoteRef/>
      </w:r>
      <w:r w:rsidR="00110C70" w:rsidRPr="00AB3547">
        <w:rPr>
          <w:rStyle w:val="Emphasis"/>
          <w:i w:val="0"/>
          <w:sz w:val="24"/>
          <w:shd w:val="clear" w:color="auto" w:fill="FFFFFF"/>
          <w:lang w:val="fi-FI"/>
        </w:rPr>
        <w:t xml:space="preserve"> </w:t>
      </w:r>
      <w:r w:rsidR="00110C70" w:rsidRPr="00AB3547">
        <w:rPr>
          <w:rStyle w:val="Emphasis"/>
          <w:i w:val="0"/>
          <w:sz w:val="24"/>
          <w:shd w:val="clear" w:color="auto" w:fill="FFFFFF"/>
          <w:lang w:val="fi-FI"/>
        </w:rPr>
        <w:tab/>
      </w:r>
      <w:r w:rsidRPr="00AB3547">
        <w:rPr>
          <w:rStyle w:val="Emphasis"/>
          <w:i w:val="0"/>
          <w:sz w:val="24"/>
          <w:shd w:val="clear" w:color="auto" w:fill="FFFFFF"/>
          <w:lang w:val="fi-FI"/>
        </w:rPr>
        <w:t>Dz.U. C, C/2023/1223, 21.12.2023, ELI: https://eur-lex.europa.eu/eli/C/2023/1223/oj?locale=pl.</w:t>
      </w:r>
    </w:p>
  </w:footnote>
  <w:footnote w:id="6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>Teksty przyjęte, P9_TA(2024)0053.</w:t>
      </w:r>
    </w:p>
  </w:footnote>
  <w:footnote w:id="7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>Wyrok Trybunału Sprawiedliwości z 22 czerwca 2023 r., Komisja/Węgry, C-823/21, ECLI</w:t>
      </w:r>
      <w:proofErr w:type="gramStart"/>
      <w:r w:rsidRPr="00110C70">
        <w:rPr>
          <w:sz w:val="24"/>
          <w:lang w:val="pl-PL"/>
        </w:rPr>
        <w:t>:EU</w:t>
      </w:r>
      <w:proofErr w:type="gramEnd"/>
      <w:r w:rsidRPr="00110C70">
        <w:rPr>
          <w:sz w:val="24"/>
          <w:lang w:val="pl-PL"/>
        </w:rPr>
        <w:t>:C:2023:504.</w:t>
      </w:r>
    </w:p>
  </w:footnote>
  <w:footnote w:id="8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 xml:space="preserve">Wyrok ETPC z 12 stycznia 2016 r. w sprawie </w:t>
      </w:r>
      <w:r w:rsidRPr="00110C70">
        <w:rPr>
          <w:i/>
          <w:sz w:val="24"/>
          <w:lang w:val="pl-PL"/>
        </w:rPr>
        <w:t>Szabó i Vissy przeciwko Węgrom</w:t>
      </w:r>
      <w:r w:rsidRPr="00110C70">
        <w:rPr>
          <w:sz w:val="24"/>
          <w:lang w:val="pl-PL"/>
        </w:rPr>
        <w:t>, 37148/14, który stał się prawomocny 6 czerwca 2016 r.</w:t>
      </w:r>
    </w:p>
  </w:footnote>
  <w:footnote w:id="9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 xml:space="preserve">Wyrok ETPC z 16 lipca 2016 r. w sprawie </w:t>
      </w:r>
      <w:r w:rsidRPr="00110C70">
        <w:rPr>
          <w:i/>
          <w:sz w:val="24"/>
          <w:lang w:val="pl-PL"/>
        </w:rPr>
        <w:t>Gazsó przeciwko Węgrom</w:t>
      </w:r>
      <w:r w:rsidRPr="00110C70">
        <w:rPr>
          <w:sz w:val="24"/>
          <w:lang w:val="pl-PL"/>
        </w:rPr>
        <w:t>, 48322/12, który stał się prawomocny 16 października 2015 r.</w:t>
      </w:r>
    </w:p>
  </w:footnote>
  <w:footnote w:id="10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 xml:space="preserve">Wyrok ETPC z 14 marca 2017 r. w sprawie </w:t>
      </w:r>
      <w:r w:rsidRPr="00110C70">
        <w:rPr>
          <w:i/>
          <w:sz w:val="24"/>
          <w:lang w:val="pl-PL"/>
        </w:rPr>
        <w:t>Ilias i Ahmed przeciwko Węgrom</w:t>
      </w:r>
      <w:r w:rsidRPr="00110C70">
        <w:rPr>
          <w:sz w:val="24"/>
          <w:lang w:val="pl-PL"/>
        </w:rPr>
        <w:t>, 47287/15.</w:t>
      </w:r>
    </w:p>
  </w:footnote>
  <w:footnote w:id="11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lang w:val="pl-PL"/>
        </w:rPr>
        <w:t xml:space="preserve"> </w:t>
      </w:r>
      <w:r w:rsidR="00110C70" w:rsidRPr="00110C70">
        <w:rPr>
          <w:sz w:val="24"/>
          <w:lang w:val="pl-PL"/>
        </w:rPr>
        <w:tab/>
      </w:r>
      <w:r w:rsidRPr="00110C70">
        <w:rPr>
          <w:sz w:val="24"/>
          <w:lang w:val="pl-PL"/>
        </w:rPr>
        <w:t xml:space="preserve">Wyrok ETPC z 23 czerwca 2016 r. w sprawie </w:t>
      </w:r>
      <w:r w:rsidRPr="00110C70">
        <w:rPr>
          <w:i/>
          <w:sz w:val="24"/>
          <w:lang w:val="pl-PL"/>
        </w:rPr>
        <w:t>Baka przeciwko Węgrom</w:t>
      </w:r>
      <w:r w:rsidRPr="00110C70">
        <w:rPr>
          <w:sz w:val="24"/>
          <w:lang w:val="pl-PL"/>
        </w:rPr>
        <w:t>, 20261/12.</w:t>
      </w:r>
    </w:p>
  </w:footnote>
  <w:footnote w:id="12">
    <w:p w:rsidR="008570D5" w:rsidRPr="00110C70" w:rsidRDefault="008570D5" w:rsidP="00110C70">
      <w:pPr>
        <w:pStyle w:val="FootnoteText"/>
        <w:ind w:left="567" w:hanging="567"/>
        <w:rPr>
          <w:sz w:val="24"/>
          <w:lang w:val="pl-PL"/>
        </w:rPr>
      </w:pPr>
      <w:r w:rsidRPr="00110C70">
        <w:rPr>
          <w:rStyle w:val="FootnoteReference"/>
          <w:sz w:val="24"/>
          <w:lang w:val="pl-PL"/>
        </w:rPr>
        <w:footnoteRef/>
      </w:r>
      <w:r w:rsidR="00110C70" w:rsidRPr="00110C70">
        <w:rPr>
          <w:sz w:val="24"/>
          <w:shd w:val="clear" w:color="auto" w:fill="FFFFFF"/>
          <w:lang w:val="pl-PL"/>
        </w:rPr>
        <w:t xml:space="preserve"> </w:t>
      </w:r>
      <w:r w:rsidR="00110C70" w:rsidRPr="00110C70">
        <w:rPr>
          <w:sz w:val="24"/>
          <w:shd w:val="clear" w:color="auto" w:fill="FFFFFF"/>
          <w:lang w:val="pl-PL"/>
        </w:rPr>
        <w:tab/>
      </w:r>
      <w:r w:rsidRPr="00110C70">
        <w:rPr>
          <w:sz w:val="24"/>
          <w:shd w:val="clear" w:color="auto" w:fill="FFFFFF"/>
          <w:lang w:val="pl-PL"/>
        </w:rPr>
        <w:t xml:space="preserve">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Wizowej, </w:t>
      </w:r>
      <w:r w:rsidRPr="00AB3547">
        <w:rPr>
          <w:rStyle w:val="Emphasis"/>
          <w:i w:val="0"/>
          <w:sz w:val="24"/>
          <w:shd w:val="clear" w:color="auto" w:fill="FFFFFF"/>
          <w:lang w:val="pl-PL"/>
        </w:rPr>
        <w:t xml:space="preserve">(Dz.U. L 231 z 30.6.2021, </w:t>
      </w:r>
      <w:proofErr w:type="gramStart"/>
      <w:r w:rsidRPr="00AB3547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AB3547">
        <w:rPr>
          <w:rStyle w:val="Emphasis"/>
          <w:i w:val="0"/>
          <w:sz w:val="24"/>
          <w:shd w:val="clear" w:color="auto" w:fill="FFFFFF"/>
          <w:lang w:val="pl-PL"/>
        </w:rPr>
        <w:t>. 159)</w:t>
      </w:r>
      <w:r w:rsidRPr="00110C70">
        <w:rPr>
          <w:sz w:val="24"/>
          <w:shd w:val="clear" w:color="auto" w:fill="FFFFFF"/>
          <w:lang w:val="pl-PL"/>
        </w:rPr>
        <w:t>.</w:t>
      </w:r>
    </w:p>
  </w:footnote>
  <w:footnote w:id="13">
    <w:p w:rsidR="008570D5" w:rsidRPr="00110C70" w:rsidRDefault="008570D5" w:rsidP="00AB3547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110C70">
        <w:rPr>
          <w:rStyle w:val="FootnoteReference"/>
          <w:szCs w:val="20"/>
        </w:rPr>
        <w:footnoteRef/>
      </w:r>
      <w:r w:rsidR="00110C70" w:rsidRPr="00110C70">
        <w:rPr>
          <w:szCs w:val="20"/>
        </w:rPr>
        <w:t xml:space="preserve"> </w:t>
      </w:r>
      <w:r w:rsidR="00110C70" w:rsidRPr="00110C70">
        <w:rPr>
          <w:szCs w:val="20"/>
        </w:rPr>
        <w:tab/>
      </w:r>
      <w:r w:rsidRPr="00110C70">
        <w:rPr>
          <w:szCs w:val="20"/>
        </w:rPr>
        <w:t xml:space="preserve">Rozporządzenie Parlamentu Europejskiego i Rady (UE) 2021/241 z dnia 12 lutego 2021 r. ustanawiające Instrument na rzecz Odbudowy i Zwiększania Odporności </w:t>
      </w:r>
      <w:r w:rsidRPr="00AB3547">
        <w:rPr>
          <w:rStyle w:val="Emphasis"/>
          <w:i w:val="0"/>
          <w:szCs w:val="20"/>
        </w:rPr>
        <w:t xml:space="preserve">(Dz.U. L 57 z 18.2.2021, </w:t>
      </w:r>
      <w:proofErr w:type="gramStart"/>
      <w:r w:rsidRPr="00AB3547">
        <w:rPr>
          <w:rStyle w:val="Emphasis"/>
          <w:i w:val="0"/>
          <w:szCs w:val="20"/>
        </w:rPr>
        <w:t>s</w:t>
      </w:r>
      <w:proofErr w:type="gramEnd"/>
      <w:r w:rsidRPr="00AB3547">
        <w:rPr>
          <w:rStyle w:val="Emphasis"/>
          <w:i w:val="0"/>
          <w:szCs w:val="20"/>
        </w:rPr>
        <w:t>. 17)</w:t>
      </w:r>
      <w:r w:rsidRPr="00110C70">
        <w:rPr>
          <w:szCs w:val="20"/>
        </w:rPr>
        <w:t>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10C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3/2024"/>
    <w:docVar w:name="dvlangue" w:val="PL"/>
    <w:docVar w:name="dvnumam" w:val="0"/>
    <w:docVar w:name="dvpe" w:val="760.687"/>
    <w:docVar w:name="dvtitre" w:val="Rezolucja Parlamentu Europejskiego z dnia  2024 r. w sprawie trwających wysłuchań na mocy art. 7 ust. 1 TUE dotyczących Węgier i służących umocnieniu praworządności oraz ich skutków dla budżetu (2024/2683(RSP))"/>
  </w:docVars>
  <w:rsids>
    <w:rsidRoot w:val="00AD4AB0"/>
    <w:rsid w:val="00002272"/>
    <w:rsid w:val="00064002"/>
    <w:rsid w:val="000677B9"/>
    <w:rsid w:val="000831BA"/>
    <w:rsid w:val="000A42CC"/>
    <w:rsid w:val="000E7DD9"/>
    <w:rsid w:val="0010095E"/>
    <w:rsid w:val="00110C70"/>
    <w:rsid w:val="00125B37"/>
    <w:rsid w:val="0017700A"/>
    <w:rsid w:val="00187494"/>
    <w:rsid w:val="001F32AE"/>
    <w:rsid w:val="002767FF"/>
    <w:rsid w:val="002B18FE"/>
    <w:rsid w:val="002B5493"/>
    <w:rsid w:val="00343214"/>
    <w:rsid w:val="00361C00"/>
    <w:rsid w:val="00386FB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A95"/>
    <w:rsid w:val="005C2568"/>
    <w:rsid w:val="006037C0"/>
    <w:rsid w:val="006631B6"/>
    <w:rsid w:val="00680577"/>
    <w:rsid w:val="006F74FA"/>
    <w:rsid w:val="00731ADD"/>
    <w:rsid w:val="00734777"/>
    <w:rsid w:val="007354B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0D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44E0"/>
    <w:rsid w:val="00AB3547"/>
    <w:rsid w:val="00AB441E"/>
    <w:rsid w:val="00AB6293"/>
    <w:rsid w:val="00AD4AB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55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2A689"/>
  <w15:chartTrackingRefBased/>
  <w15:docId w15:val="{D20A3189-4C3F-4BFE-8E1F-0B9AF35B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570D5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8570D5"/>
    <w:rPr>
      <w:i/>
      <w:iCs/>
    </w:rPr>
  </w:style>
  <w:style w:type="character" w:styleId="Hyperlink">
    <w:name w:val="Hyperlink"/>
    <w:basedOn w:val="DefaultParagraphFont"/>
    <w:uiPriority w:val="99"/>
    <w:unhideWhenUsed/>
    <w:rsid w:val="008570D5"/>
    <w:rPr>
      <w:color w:val="0000FF"/>
      <w:u w:val="single"/>
    </w:rPr>
  </w:style>
  <w:style w:type="character" w:customStyle="1" w:styleId="textcolumn">
    <w:name w:val="textcolumn"/>
    <w:basedOn w:val="DefaultParagraphFont"/>
    <w:rsid w:val="008570D5"/>
  </w:style>
  <w:style w:type="paragraph" w:customStyle="1" w:styleId="title-bold">
    <w:name w:val="title-bold"/>
    <w:basedOn w:val="Normal"/>
    <w:rsid w:val="008570D5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hudoc.echr.coe.int/e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doc.echr.coe.int/en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B021C-95D0-4B93-BDB2-3576D57D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4219</Words>
  <Characters>27906</Characters>
  <Application>Microsoft Office Word</Application>
  <DocSecurity>0</DocSecurity>
  <Lines>232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2024-06-13T12:24:00Z</dcterms:created>
  <dcterms:modified xsi:type="dcterms:W3CDTF">2024-06-13T12:24:00Z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B9-0223/2024</vt:lpwstr>
  </property>
  <property fmtid="{D5CDD505-2E9C-101B-9397-08002B2CF9AE}" pid="4" name="&lt;Type&gt;">
    <vt:lpwstr>RR</vt:lpwstr>
  </property>
</Properties>
</file>