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1838" w:rsidTr="0010095E">
        <w:trPr>
          <w:trHeight w:hRule="exact" w:val="1418"/>
        </w:trPr>
        <w:tc>
          <w:tcPr>
            <w:tcW w:w="6804" w:type="dxa"/>
            <w:shd w:val="clear" w:color="auto" w:fill="auto"/>
            <w:vAlign w:val="center"/>
          </w:tcPr>
          <w:p w:rsidR="00751A4A" w:rsidRPr="003F1838" w:rsidRDefault="006F690E" w:rsidP="0010095E">
            <w:pPr>
              <w:pStyle w:val="EPName"/>
            </w:pPr>
            <w:r w:rsidRPr="003F1838">
              <w:t>Parlamentul European</w:t>
            </w:r>
          </w:p>
          <w:p w:rsidR="00751A4A" w:rsidRPr="003F1838" w:rsidRDefault="00817416" w:rsidP="00756632">
            <w:pPr>
              <w:pStyle w:val="EPTerm"/>
              <w:rPr>
                <w:rStyle w:val="HideTWBExt"/>
                <w:noProof w:val="0"/>
                <w:vanish w:val="0"/>
                <w:color w:val="auto"/>
              </w:rPr>
            </w:pPr>
            <w:r w:rsidRPr="003F1838">
              <w:t>2019-2024</w:t>
            </w:r>
          </w:p>
        </w:tc>
        <w:tc>
          <w:tcPr>
            <w:tcW w:w="2268" w:type="dxa"/>
            <w:shd w:val="clear" w:color="auto" w:fill="auto"/>
          </w:tcPr>
          <w:p w:rsidR="00751A4A" w:rsidRPr="003F1838" w:rsidRDefault="00187494" w:rsidP="0010095E">
            <w:pPr>
              <w:pStyle w:val="EPLogo"/>
            </w:pPr>
            <w:r w:rsidRPr="003F183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1838" w:rsidRDefault="00D058B8" w:rsidP="004C5D52">
      <w:pPr>
        <w:pStyle w:val="LineTop"/>
      </w:pPr>
    </w:p>
    <w:p w:rsidR="00680577" w:rsidRPr="003F1838" w:rsidRDefault="006F690E" w:rsidP="00680577">
      <w:pPr>
        <w:pStyle w:val="EPBodyTA1"/>
      </w:pPr>
      <w:r w:rsidRPr="003F1838">
        <w:t>TEXTE ADOPTATE</w:t>
      </w:r>
    </w:p>
    <w:p w:rsidR="00D058B8" w:rsidRPr="003F1838" w:rsidRDefault="00D058B8" w:rsidP="00D058B8">
      <w:pPr>
        <w:pStyle w:val="LineBottom"/>
      </w:pPr>
    </w:p>
    <w:p w:rsidR="006F690E" w:rsidRPr="003F1838" w:rsidRDefault="006F690E" w:rsidP="006F690E">
      <w:pPr>
        <w:pStyle w:val="ATHeading1"/>
      </w:pPr>
      <w:bookmarkStart w:id="0" w:name="TANumber"/>
      <w:r w:rsidRPr="003F1838">
        <w:t>P9_TA(2024)0</w:t>
      </w:r>
      <w:bookmarkEnd w:id="0"/>
      <w:r w:rsidR="006A1FD0" w:rsidRPr="003F1838">
        <w:t>3</w:t>
      </w:r>
      <w:r w:rsidR="00C45C4B" w:rsidRPr="003F1838">
        <w:t>67</w:t>
      </w:r>
    </w:p>
    <w:p w:rsidR="006F690E" w:rsidRPr="003F1838" w:rsidRDefault="00D9128F" w:rsidP="00D9128F">
      <w:pPr>
        <w:pStyle w:val="ATHeading2"/>
      </w:pPr>
      <w:bookmarkStart w:id="1" w:name="title"/>
      <w:r w:rsidRPr="003F1838">
        <w:t xml:space="preserve">Audierile în curs organizate în temeiul articolului 7 alineatul (1) din TUE </w:t>
      </w:r>
      <w:r w:rsidR="005F1F6F" w:rsidRPr="003F1838">
        <w:t>în ceea ce privește</w:t>
      </w:r>
      <w:r w:rsidRPr="003F1838">
        <w:t xml:space="preserve"> Ungaria pentru a întări statul de drept și implicațiile lor bugetare</w:t>
      </w:r>
      <w:bookmarkEnd w:id="1"/>
    </w:p>
    <w:p w:rsidR="006F690E" w:rsidRPr="003F1838" w:rsidRDefault="006F690E" w:rsidP="006F690E">
      <w:pPr>
        <w:rPr>
          <w:i/>
          <w:vanish/>
        </w:rPr>
      </w:pPr>
      <w:r w:rsidRPr="003F1838">
        <w:rPr>
          <w:i/>
        </w:rPr>
        <w:fldChar w:fldCharType="begin"/>
      </w:r>
      <w:r w:rsidRPr="003F1838">
        <w:rPr>
          <w:i/>
        </w:rPr>
        <w:instrText xml:space="preserve"> TC"(</w:instrText>
      </w:r>
      <w:bookmarkStart w:id="2" w:name="DocNumber"/>
      <w:r w:rsidRPr="003F1838">
        <w:rPr>
          <w:i/>
        </w:rPr>
        <w:instrText>B9-0223/2024</w:instrText>
      </w:r>
      <w:bookmarkEnd w:id="2"/>
      <w:r w:rsidRPr="003F1838">
        <w:rPr>
          <w:i/>
        </w:rPr>
        <w:instrText xml:space="preserve">)"\l3 \n&gt; \* MERGEFORMAT </w:instrText>
      </w:r>
      <w:r w:rsidRPr="003F1838">
        <w:rPr>
          <w:i/>
        </w:rPr>
        <w:fldChar w:fldCharType="end"/>
      </w:r>
    </w:p>
    <w:p w:rsidR="006F690E" w:rsidRPr="003F1838" w:rsidRDefault="006F690E" w:rsidP="006F690E">
      <w:pPr>
        <w:rPr>
          <w:vanish/>
        </w:rPr>
      </w:pPr>
      <w:bookmarkStart w:id="3" w:name="PE"/>
      <w:r w:rsidRPr="003F1838">
        <w:rPr>
          <w:vanish/>
        </w:rPr>
        <w:t>PE760.687</w:t>
      </w:r>
      <w:bookmarkEnd w:id="3"/>
    </w:p>
    <w:p w:rsidR="006F690E" w:rsidRPr="003F1838" w:rsidRDefault="006F690E" w:rsidP="006F690E">
      <w:pPr>
        <w:pStyle w:val="ATHeading3"/>
      </w:pPr>
      <w:bookmarkStart w:id="4" w:name="Sujet"/>
      <w:r w:rsidRPr="003F1838">
        <w:t xml:space="preserve">Rezoluția Parlamentului European din 24 aprilie 2024 referitoare la audierile în curs organizate în temeiul articolului 7 alineatul (1) din TUE </w:t>
      </w:r>
      <w:r w:rsidR="0061110B" w:rsidRPr="003F1838">
        <w:t>în ceea ce privește</w:t>
      </w:r>
      <w:r w:rsidRPr="003F1838">
        <w:t xml:space="preserve"> Ungaria pentru a întări statul de drept și implicațiile lor bugetare </w:t>
      </w:r>
      <w:bookmarkStart w:id="5" w:name="References"/>
      <w:bookmarkEnd w:id="4"/>
      <w:r w:rsidRPr="003F1838">
        <w:t>(2024/2683(RSP))</w:t>
      </w:r>
      <w:bookmarkEnd w:id="5"/>
    </w:p>
    <w:p w:rsidR="006F690E" w:rsidRPr="003F1838" w:rsidRDefault="006F690E" w:rsidP="006F690E"/>
    <w:p w:rsidR="004478C6" w:rsidRPr="003F1838" w:rsidRDefault="004478C6" w:rsidP="004478C6">
      <w:pPr>
        <w:pStyle w:val="NormalHanging12a"/>
      </w:pPr>
      <w:bookmarkStart w:id="6" w:name="TextBodyBegin"/>
      <w:bookmarkEnd w:id="6"/>
      <w:r w:rsidRPr="003F1838">
        <w:rPr>
          <w:i/>
        </w:rPr>
        <w:t>Parlamentul European</w:t>
      </w:r>
      <w:r w:rsidRPr="003F1838">
        <w:t>,</w:t>
      </w:r>
    </w:p>
    <w:p w:rsidR="004478C6" w:rsidRPr="003F1838" w:rsidRDefault="004478C6" w:rsidP="004478C6">
      <w:pPr>
        <w:pStyle w:val="NormalHanging12a"/>
        <w:rPr>
          <w:szCs w:val="24"/>
        </w:rPr>
      </w:pPr>
      <w:r w:rsidRPr="003F1838">
        <w:t>–</w:t>
      </w:r>
      <w:r w:rsidRPr="003F1838">
        <w:tab/>
        <w:t>având în vedere Tratatul privind Uniunea Europeană (TUE), în special articolul 2, articolul 4 alineatul (3) și articolul 7 alineatul (1),</w:t>
      </w:r>
      <w:r w:rsidR="00B443DC">
        <w:t xml:space="preserve"> </w:t>
      </w:r>
    </w:p>
    <w:p w:rsidR="004478C6" w:rsidRPr="003F1838" w:rsidRDefault="004478C6" w:rsidP="004478C6">
      <w:pPr>
        <w:pStyle w:val="NormalHanging12a"/>
        <w:rPr>
          <w:szCs w:val="24"/>
        </w:rPr>
      </w:pPr>
      <w:r w:rsidRPr="003F1838">
        <w:t>–</w:t>
      </w:r>
      <w:r w:rsidRPr="003F1838">
        <w:tab/>
        <w:t>având în vedere Carta drepturilor fundamentale a Uniunii Europene („Carta”),</w:t>
      </w:r>
    </w:p>
    <w:p w:rsidR="004478C6" w:rsidRPr="003F1838" w:rsidRDefault="004478C6" w:rsidP="004478C6">
      <w:pPr>
        <w:pStyle w:val="NormalHanging12a"/>
        <w:rPr>
          <w:szCs w:val="24"/>
        </w:rPr>
      </w:pPr>
      <w:r w:rsidRPr="003F1838">
        <w:t>–</w:t>
      </w:r>
      <w:r w:rsidRPr="003F1838">
        <w:tab/>
        <w:t>având în vedere Convenția Europeană a Drepturilor Omului și protocoalele adiționale la aceasta,</w:t>
      </w:r>
    </w:p>
    <w:p w:rsidR="004478C6" w:rsidRPr="003F1838" w:rsidRDefault="004478C6" w:rsidP="004478C6">
      <w:pPr>
        <w:pStyle w:val="NormalHanging12a"/>
        <w:rPr>
          <w:szCs w:val="24"/>
        </w:rPr>
      </w:pPr>
      <w:r w:rsidRPr="003F1838">
        <w:t>–</w:t>
      </w:r>
      <w:r w:rsidRPr="003F1838">
        <w:tab/>
        <w:t>având în vedere Declarația universală a drepturilor omului,</w:t>
      </w:r>
    </w:p>
    <w:p w:rsidR="004478C6" w:rsidRPr="003F1838" w:rsidRDefault="004478C6" w:rsidP="004478C6">
      <w:pPr>
        <w:pStyle w:val="NormalHanging12a"/>
        <w:rPr>
          <w:szCs w:val="24"/>
        </w:rPr>
      </w:pPr>
      <w:r w:rsidRPr="003F1838">
        <w:t>–</w:t>
      </w:r>
      <w:r w:rsidRPr="003F1838">
        <w:tab/>
        <w:t>având în vedere tratatele internaționale privind drepturile omului ale Organizației Națiunilor Unite și ale Consiliului Europei,</w:t>
      </w:r>
    </w:p>
    <w:p w:rsidR="004478C6" w:rsidRPr="003F1838" w:rsidRDefault="004478C6" w:rsidP="004478C6">
      <w:pPr>
        <w:pStyle w:val="NormalHanging12a"/>
        <w:rPr>
          <w:szCs w:val="24"/>
        </w:rPr>
      </w:pPr>
      <w:r w:rsidRPr="003F1838">
        <w:t>–</w:t>
      </w:r>
      <w:r w:rsidRPr="003F1838">
        <w:tab/>
        <w:t>având în vedere lista de verificare a îndeplinirii criteriilor privind statul de drept, adoptată de Comisia de la Veneția la cea de a 106-a Sesiune plenară a sa, care a avut loc la Veneția la 11 și 12 martie 2016,</w:t>
      </w:r>
    </w:p>
    <w:p w:rsidR="004478C6" w:rsidRPr="003F1838" w:rsidRDefault="004478C6" w:rsidP="004478C6">
      <w:pPr>
        <w:pStyle w:val="NormalHanging12a"/>
        <w:rPr>
          <w:szCs w:val="24"/>
        </w:rPr>
      </w:pPr>
      <w:r w:rsidRPr="003F1838">
        <w:t>–</w:t>
      </w:r>
      <w:r w:rsidRPr="003F1838">
        <w:tab/>
        <w:t>având în vedere Rezoluția sa din 12 septembrie 2018 referitoare la o propunere prin care invită Consiliul să stabilească, în temeiul articolului 7 alineatul (1) din Tratatul privind Uniunea Europeană, existența unui risc clar de încălcare gravă de către Ungaria a valorilor pe care se întemeiază Uniunea</w:t>
      </w:r>
      <w:r w:rsidRPr="003F1838">
        <w:rPr>
          <w:rStyle w:val="FootnoteReference"/>
          <w:szCs w:val="24"/>
        </w:rPr>
        <w:footnoteReference w:id="1"/>
      </w:r>
      <w:r w:rsidRPr="003F1838">
        <w:t>,</w:t>
      </w:r>
    </w:p>
    <w:p w:rsidR="004478C6" w:rsidRPr="003F1838" w:rsidRDefault="004478C6" w:rsidP="004478C6">
      <w:pPr>
        <w:pStyle w:val="NormalHanging12a"/>
        <w:rPr>
          <w:szCs w:val="24"/>
        </w:rPr>
      </w:pPr>
      <w:r w:rsidRPr="003F1838">
        <w:t>–</w:t>
      </w:r>
      <w:r w:rsidRPr="003F1838">
        <w:tab/>
        <w:t>având în vedere Regulamentul (UE, Euratom) 2020/2092 al Parlamentului European și al Consiliului din 16 decembrie 2020 privind un regim general de condiționalitate pentru protecția bugetului Uniunii</w:t>
      </w:r>
      <w:r w:rsidRPr="003F1838">
        <w:rPr>
          <w:rStyle w:val="FootnoteReference"/>
          <w:szCs w:val="24"/>
        </w:rPr>
        <w:footnoteReference w:id="2"/>
      </w:r>
      <w:r w:rsidRPr="003F1838">
        <w:t xml:space="preserve"> („Regulamentul privind condiționalitatea legată de </w:t>
      </w:r>
      <w:r w:rsidRPr="003F1838">
        <w:lastRenderedPageBreak/>
        <w:t>statul de drept”),</w:t>
      </w:r>
    </w:p>
    <w:p w:rsidR="004478C6" w:rsidRPr="003F1838" w:rsidRDefault="004478C6" w:rsidP="004478C6">
      <w:pPr>
        <w:pStyle w:val="NormalHanging12a"/>
        <w:rPr>
          <w:szCs w:val="24"/>
        </w:rPr>
      </w:pPr>
      <w:r w:rsidRPr="003F1838">
        <w:t>–</w:t>
      </w:r>
      <w:r w:rsidRPr="003F1838">
        <w:tab/>
        <w:t>având în vedere Decizia Comisiei C(2023)8999 din 13 decembrie 2023 privind reevaluarea, la inițiativa Comisiei, a îndeplinirii condițiilor prevăzute la articolul 4 din Regulamentul (UE, Euratom) 2020/2092 în urma deciziei de punere în aplicare (UE) 2022/2506 a Consiliului din 15 decembrie 2022 privind Ungaria,</w:t>
      </w:r>
    </w:p>
    <w:p w:rsidR="004478C6" w:rsidRPr="003F1838" w:rsidRDefault="004478C6" w:rsidP="004478C6">
      <w:pPr>
        <w:pStyle w:val="NormalHanging12a"/>
        <w:rPr>
          <w:szCs w:val="24"/>
        </w:rPr>
      </w:pPr>
      <w:r w:rsidRPr="003F1838">
        <w:t>–</w:t>
      </w:r>
      <w:r w:rsidRPr="003F1838">
        <w:tab/>
        <w:t>având în vedere Rezoluția sa din 15 septembrie 2022 referitoare la propunerea de decizie a Consiliului de stabilire, în temeiul articolului 7 alineatul (1) din Tratatul privind Uniunea Europeană, a existenței unui risc clar de încălcare gravă de către Ungaria a valorilor pe care se întemeiază Uniunea</w:t>
      </w:r>
      <w:r w:rsidRPr="003F1838">
        <w:rPr>
          <w:rStyle w:val="FootnoteReference"/>
          <w:szCs w:val="24"/>
        </w:rPr>
        <w:footnoteReference w:id="3"/>
      </w:r>
      <w:r w:rsidRPr="003F1838">
        <w:t>,</w:t>
      </w:r>
    </w:p>
    <w:p w:rsidR="004478C6" w:rsidRPr="003F1838" w:rsidRDefault="004478C6" w:rsidP="004478C6">
      <w:pPr>
        <w:pStyle w:val="NormalHanging12a"/>
        <w:rPr>
          <w:szCs w:val="24"/>
        </w:rPr>
      </w:pPr>
      <w:r w:rsidRPr="003F1838">
        <w:t>–</w:t>
      </w:r>
      <w:r w:rsidRPr="003F1838">
        <w:tab/>
        <w:t>având în vedere Rezoluția sa din 24 noiembrie 2022 referitoare la evaluarea modului în care Ungaria respectă condițiile privind statul de drept prevăzute de Regulamentul privind condiționalitatea și situația actuală a PNRR-ului Ungariei</w:t>
      </w:r>
      <w:r w:rsidRPr="003F1838">
        <w:rPr>
          <w:rStyle w:val="FootnoteReference"/>
          <w:szCs w:val="24"/>
        </w:rPr>
        <w:footnoteReference w:id="4"/>
      </w:r>
      <w:r w:rsidRPr="003F1838">
        <w:t>,</w:t>
      </w:r>
    </w:p>
    <w:p w:rsidR="004478C6" w:rsidRPr="003F1838" w:rsidRDefault="004478C6" w:rsidP="004478C6">
      <w:pPr>
        <w:pStyle w:val="NormalHanging12a"/>
        <w:rPr>
          <w:szCs w:val="24"/>
        </w:rPr>
      </w:pPr>
      <w:r w:rsidRPr="003F1838">
        <w:t>–</w:t>
      </w:r>
      <w:r w:rsidRPr="003F1838">
        <w:tab/>
        <w:t>având în vedere Rezoluția sa din 1 iunie 2023 referitoare la încălcările statului de drept și ale drepturilor fundamentale în Ungaria și înghețarea fondurilor UE</w:t>
      </w:r>
      <w:r w:rsidRPr="003F1838">
        <w:rPr>
          <w:rStyle w:val="FootnoteReference"/>
          <w:szCs w:val="24"/>
        </w:rPr>
        <w:footnoteReference w:id="5"/>
      </w:r>
      <w:r w:rsidRPr="003F1838">
        <w:t>,</w:t>
      </w:r>
    </w:p>
    <w:p w:rsidR="004478C6" w:rsidRPr="003F1838" w:rsidRDefault="004478C6" w:rsidP="004478C6">
      <w:pPr>
        <w:pStyle w:val="NormalHanging12a"/>
        <w:rPr>
          <w:szCs w:val="24"/>
        </w:rPr>
      </w:pPr>
      <w:r w:rsidRPr="003F1838">
        <w:t>–</w:t>
      </w:r>
      <w:r w:rsidRPr="003F1838">
        <w:tab/>
        <w:t>având în vedere Rezoluția sa din 18 ianuarie 2024 referitoare la situația din Ungaria și la înghețarea fondurilor UE</w:t>
      </w:r>
      <w:r w:rsidRPr="003F1838">
        <w:rPr>
          <w:rStyle w:val="FootnoteReference"/>
          <w:szCs w:val="24"/>
        </w:rPr>
        <w:footnoteReference w:id="6"/>
      </w:r>
      <w:r w:rsidRPr="003F1838">
        <w:t>,</w:t>
      </w:r>
    </w:p>
    <w:p w:rsidR="004478C6" w:rsidRPr="003F1838" w:rsidRDefault="004478C6" w:rsidP="004478C6">
      <w:pPr>
        <w:pStyle w:val="NormalHanging12a"/>
        <w:rPr>
          <w:szCs w:val="24"/>
        </w:rPr>
      </w:pPr>
      <w:r w:rsidRPr="003F1838">
        <w:t>–</w:t>
      </w:r>
      <w:r w:rsidRPr="003F1838">
        <w:tab/>
        <w:t>având în vedere capitolele referitoare la Ungaria din rapoartele anuale ale Comisiei privind situația statului de drept,</w:t>
      </w:r>
    </w:p>
    <w:p w:rsidR="004478C6" w:rsidRPr="003F1838" w:rsidRDefault="004478C6" w:rsidP="004478C6">
      <w:pPr>
        <w:pStyle w:val="NormalHanging12a"/>
        <w:rPr>
          <w:szCs w:val="24"/>
        </w:rPr>
      </w:pPr>
      <w:r w:rsidRPr="003F1838">
        <w:t>–</w:t>
      </w:r>
      <w:r w:rsidRPr="003F1838">
        <w:tab/>
        <w:t>având în vedere avizul Comisiei de la Veneția referitor la Legea LXXXVIII a Ungariei din 2023 privind protecția suveranității naționale, adoptat în cadrul celei de-a 138-a sesiuni plenare, care a avut loc la Veneția la 15 și 16 martie 2024,</w:t>
      </w:r>
    </w:p>
    <w:p w:rsidR="004478C6" w:rsidRPr="003F1838" w:rsidRDefault="004478C6" w:rsidP="004478C6">
      <w:pPr>
        <w:pStyle w:val="NormalHanging12a"/>
        <w:rPr>
          <w:szCs w:val="24"/>
        </w:rPr>
      </w:pPr>
      <w:r w:rsidRPr="003F1838">
        <w:t>–</w:t>
      </w:r>
      <w:r w:rsidRPr="003F1838">
        <w:tab/>
        <w:t>având în vedere articolul 132 alineatul (2) din Regulamentul său de procedură,</w:t>
      </w:r>
    </w:p>
    <w:p w:rsidR="004478C6" w:rsidRPr="003F1838" w:rsidRDefault="004478C6" w:rsidP="004478C6">
      <w:pPr>
        <w:pStyle w:val="NormalHanging12a"/>
        <w:rPr>
          <w:szCs w:val="24"/>
        </w:rPr>
      </w:pPr>
      <w:r w:rsidRPr="003F1838">
        <w:t>A.</w:t>
      </w:r>
      <w:r w:rsidRPr="003F1838">
        <w:tab/>
        <w:t>întrucât Uniunea a fost întemeiată pe valorile respectării demnității umane, libertății, democrației, egalității, statului de drept și pe respectarea drepturilor omului, inclusiv a drepturilor persoanelor care aparțin minorităților, prevăzute la articolul 2 din TUE, reflectate în Cartă și incluse în tratatele internaționale privind drepturile omului; întrucât aceste valori, care sunt comune statelor membre, constituie fundamentul drepturilor de care se bucură locuitorii UE;</w:t>
      </w:r>
    </w:p>
    <w:p w:rsidR="004478C6" w:rsidRPr="003F1838" w:rsidRDefault="004478C6" w:rsidP="004478C6">
      <w:pPr>
        <w:pStyle w:val="NormalHanging12a"/>
        <w:rPr>
          <w:szCs w:val="24"/>
        </w:rPr>
      </w:pPr>
      <w:r w:rsidRPr="003F1838">
        <w:t>B.</w:t>
      </w:r>
      <w:r w:rsidRPr="003F1838">
        <w:tab/>
        <w:t>întrucât orice risc clar de încălcare gravă de către un stat membru a valorilor stabilite la articolul 2 din TUE nu privește numai statul membru respectiv în care se materializează acest risc, ci are un impact și asupra celorlalte state membre, asupra încrederii reciproce între acestea, asupra naturii înseși a Uniunii și asupra drepturilor fundamentale de care se bucură cetățenii săi în temeiul dreptului Uniunii;</w:t>
      </w:r>
    </w:p>
    <w:p w:rsidR="004478C6" w:rsidRPr="003F1838" w:rsidRDefault="004478C6" w:rsidP="004478C6">
      <w:pPr>
        <w:pStyle w:val="NormalHanging12a"/>
        <w:rPr>
          <w:szCs w:val="24"/>
        </w:rPr>
      </w:pPr>
      <w:r w:rsidRPr="003F1838">
        <w:t>C.</w:t>
      </w:r>
      <w:r w:rsidRPr="003F1838">
        <w:tab/>
        <w:t xml:space="preserve">întrucât domeniul de aplicare al articolului 7 din TUE nu se limitează la obligațiile care decurg din tratate, spre deosebire de articolul 258 din Tratatul privind funcționarea Uniunii Europene (TFUE), și întrucât UE poate determina dacă există un risc clar de </w:t>
      </w:r>
      <w:r w:rsidRPr="003F1838">
        <w:lastRenderedPageBreak/>
        <w:t>încălcare gravă a valorilor comune în domeniile care intră în sfera de competență a statelor membre;</w:t>
      </w:r>
    </w:p>
    <w:p w:rsidR="004478C6" w:rsidRPr="003F1838" w:rsidRDefault="004478C6" w:rsidP="004478C6">
      <w:pPr>
        <w:pStyle w:val="NormalHanging12a"/>
        <w:rPr>
          <w:szCs w:val="24"/>
        </w:rPr>
      </w:pPr>
      <w:r w:rsidRPr="003F1838">
        <w:t>D.</w:t>
      </w:r>
      <w:r w:rsidRPr="003F1838">
        <w:tab/>
        <w:t>întrucât, în 2018, la propunerea Parlamentului European, Consiliul a inițiat procedura prevăzută la articolul 7 alineatul (1) din TUE pentru a răspunde unui risc clar de încălcare gravă de către Ungaria a valorilor menționate la articolul 2 din TUE; întrucât, de la începutul procedurii, în cadrul Consiliului au avut loc șase audieri privind situația din Ungaria în temeiul procedurii prevăzute la articolul 7 alineatul (1) din TUE, însă Consiliul nu a încercat încă să stabilească dacă există un astfel de risc și nu a adresat nicio recomandare guvernului Ungariei;</w:t>
      </w:r>
    </w:p>
    <w:p w:rsidR="004478C6" w:rsidRPr="003F1838" w:rsidRDefault="004478C6" w:rsidP="004478C6">
      <w:pPr>
        <w:pStyle w:val="NormalHanging12a"/>
        <w:rPr>
          <w:szCs w:val="24"/>
        </w:rPr>
      </w:pPr>
      <w:r w:rsidRPr="003F1838">
        <w:t>E.</w:t>
      </w:r>
      <w:r w:rsidRPr="003F1838">
        <w:tab/>
        <w:t>întrucât Regulamentul privind condiționalitatea legată de statul de drept este extrem de important, deoarece este instrumentul care asigură protecția eficace a fondurilor UE;</w:t>
      </w:r>
    </w:p>
    <w:p w:rsidR="004478C6" w:rsidRPr="003F1838" w:rsidRDefault="004478C6" w:rsidP="004478C6">
      <w:pPr>
        <w:pStyle w:val="NormalHanging12a"/>
        <w:rPr>
          <w:szCs w:val="24"/>
        </w:rPr>
      </w:pPr>
      <w:r w:rsidRPr="003F1838">
        <w:t>F.</w:t>
      </w:r>
      <w:r w:rsidRPr="003F1838">
        <w:tab/>
        <w:t xml:space="preserve">întrucât Comisia a decis să acorde Ungariei 0,9 miliarde EUR sub formă de prefinanțare în cadrul programului </w:t>
      </w:r>
      <w:proofErr w:type="spellStart"/>
      <w:r w:rsidRPr="003F1838">
        <w:t>REPowerEU</w:t>
      </w:r>
      <w:proofErr w:type="spellEnd"/>
      <w:r w:rsidRPr="003F1838">
        <w:t xml:space="preserve">; întrucât această </w:t>
      </w:r>
      <w:proofErr w:type="spellStart"/>
      <w:r w:rsidRPr="003F1838">
        <w:t>prefinanțare</w:t>
      </w:r>
      <w:proofErr w:type="spellEnd"/>
      <w:r w:rsidRPr="003F1838">
        <w:t xml:space="preserve"> poate fi acordată fără condiții, dar nu și fără controale;</w:t>
      </w:r>
    </w:p>
    <w:p w:rsidR="004478C6" w:rsidRPr="003F1838" w:rsidRDefault="004478C6" w:rsidP="004478C6">
      <w:pPr>
        <w:pStyle w:val="NormalHanging12a"/>
        <w:rPr>
          <w:bCs/>
          <w:szCs w:val="24"/>
        </w:rPr>
      </w:pPr>
      <w:r w:rsidRPr="003F1838">
        <w:t>G.</w:t>
      </w:r>
      <w:r w:rsidRPr="003F1838">
        <w:tab/>
        <w:t>întrucât, în rezoluția sa din 15 septembrie 2022, Parlamentul a determinat că, de la lansarea procedurii în temeiul articolului 7 alineatul (1) din TUE, au persistat ori au devenit considerabil mai pronunțate mai multe motive de îngrijorare cu privire la respectarea de către Ungaria a valorilor consacrate la articolul 2 din TUE, inclusiv în ceea ce privește independența sistemului judiciar, corupția, conflictele de interese, independența și pluralismul mass-mediei, funcționarea sistemului constituțional și electoral, precum și spațiul civic;</w:t>
      </w:r>
    </w:p>
    <w:p w:rsidR="004478C6" w:rsidRPr="003F1838" w:rsidRDefault="004478C6" w:rsidP="004478C6">
      <w:pPr>
        <w:pStyle w:val="NormalHanging12a"/>
        <w:rPr>
          <w:szCs w:val="24"/>
        </w:rPr>
      </w:pPr>
      <w:r w:rsidRPr="003F1838">
        <w:t>H.</w:t>
      </w:r>
      <w:r w:rsidRPr="003F1838">
        <w:tab/>
        <w:t>întrucât, de la adoptarea rezoluției menționate, situația din unele dintre aceste domenii a înregistrat îmbunătățiri limitate, în majoritatea domeniilor a rămas alarmantă, iar în altele s-a deteriorat și mai mult; întrucât în urma acțiunilor guvernului ungar au apărut noi probleme grave;</w:t>
      </w:r>
    </w:p>
    <w:p w:rsidR="004478C6" w:rsidRPr="003F1838" w:rsidRDefault="004478C6" w:rsidP="004478C6">
      <w:pPr>
        <w:pStyle w:val="NormalHanging12a"/>
        <w:rPr>
          <w:szCs w:val="24"/>
        </w:rPr>
      </w:pPr>
      <w:r w:rsidRPr="003F1838">
        <w:t>I.</w:t>
      </w:r>
      <w:r w:rsidRPr="003F1838">
        <w:tab/>
        <w:t>întrucât, în aprilie 2024, zeci de mii de cetățeni ai Ungariei au ieșit în stradă pentru a protesta împotriva acaparării statului și împotriva corupției;</w:t>
      </w:r>
    </w:p>
    <w:p w:rsidR="004478C6" w:rsidRPr="003F1838" w:rsidRDefault="004478C6" w:rsidP="004478C6">
      <w:pPr>
        <w:pStyle w:val="NormalHanging12a"/>
        <w:rPr>
          <w:szCs w:val="24"/>
        </w:rPr>
      </w:pPr>
      <w:r w:rsidRPr="003F1838">
        <w:t>J.</w:t>
      </w:r>
      <w:r w:rsidRPr="003F1838">
        <w:tab/>
        <w:t>întrucât, în 2023, guvernul din Ungaria a adoptat un pachet legislativ de reforme judiciare care vizează îmbunătățirea anumitor aspecte ale independenței sistemului judiciar, inclusiv consolidarea independenței Consiliului Judiciar Național (CJN); întrucât pe lista neexhaustivă a deficiențelor grave din sistemul judiciar, care sunt legate de statul de drept și care rămân nesoluționate, se află și următoarele:</w:t>
      </w:r>
    </w:p>
    <w:p w:rsidR="004478C6" w:rsidRPr="003F1838" w:rsidRDefault="004478C6" w:rsidP="006A1FD0">
      <w:pPr>
        <w:pStyle w:val="NormalHanging12a"/>
        <w:ind w:left="1134"/>
        <w:rPr>
          <w:szCs w:val="24"/>
        </w:rPr>
      </w:pPr>
      <w:r w:rsidRPr="003F1838">
        <w:t>–</w:t>
      </w:r>
      <w:r w:rsidRPr="003F1838">
        <w:tab/>
        <w:t>normele referitoare la inamovibilitatea actualului președinte al Curia, instanța supremă din Ungaria;</w:t>
      </w:r>
    </w:p>
    <w:p w:rsidR="004478C6" w:rsidRPr="003F1838" w:rsidRDefault="004478C6" w:rsidP="006A1FD0">
      <w:pPr>
        <w:pStyle w:val="NormalHanging12a"/>
        <w:ind w:left="1134"/>
        <w:rPr>
          <w:szCs w:val="24"/>
        </w:rPr>
      </w:pPr>
      <w:r w:rsidRPr="003F1838">
        <w:t>–</w:t>
      </w:r>
      <w:r w:rsidRPr="003F1838">
        <w:tab/>
        <w:t>lipsa unor garanții și măsuri de protecție semnificative privind independența Curia;</w:t>
      </w:r>
    </w:p>
    <w:p w:rsidR="004478C6" w:rsidRPr="003F1838" w:rsidRDefault="004478C6" w:rsidP="006A1FD0">
      <w:pPr>
        <w:pStyle w:val="NormalHanging12a"/>
        <w:ind w:left="1134"/>
        <w:rPr>
          <w:szCs w:val="24"/>
        </w:rPr>
      </w:pPr>
      <w:r w:rsidRPr="003F1838">
        <w:t>–</w:t>
      </w:r>
      <w:r w:rsidRPr="003F1838">
        <w:tab/>
        <w:t>lipsa transparenței și a automatizării sistemului de repartizare a cauzelor în cadrul Curia și lipsa transparenței în ceea ce privește normele prin care se stabilește componența completelor de judecată;</w:t>
      </w:r>
    </w:p>
    <w:p w:rsidR="004478C6" w:rsidRPr="003F1838" w:rsidRDefault="004478C6" w:rsidP="006A1FD0">
      <w:pPr>
        <w:pStyle w:val="NormalHanging12a"/>
        <w:ind w:left="1134"/>
        <w:rPr>
          <w:szCs w:val="24"/>
        </w:rPr>
      </w:pPr>
      <w:r w:rsidRPr="003F1838">
        <w:t>–</w:t>
      </w:r>
      <w:r w:rsidRPr="003F1838">
        <w:tab/>
        <w:t>presiunea politică și administrativă asupra independenței CJN și a membrilor săi, inclusiv prin campanii de denigrare;</w:t>
      </w:r>
    </w:p>
    <w:p w:rsidR="004478C6" w:rsidRPr="003F1838" w:rsidRDefault="004478C6" w:rsidP="006A1FD0">
      <w:pPr>
        <w:pStyle w:val="NormalHanging12a"/>
        <w:ind w:left="1134"/>
        <w:rPr>
          <w:szCs w:val="24"/>
        </w:rPr>
      </w:pPr>
      <w:r w:rsidRPr="003F1838">
        <w:lastRenderedPageBreak/>
        <w:t>–</w:t>
      </w:r>
      <w:r w:rsidRPr="003F1838">
        <w:tab/>
        <w:t>normele referitoare la numirea, promovarea și inamovibilitatea judecătorilor;</w:t>
      </w:r>
    </w:p>
    <w:p w:rsidR="004478C6" w:rsidRPr="003F1838" w:rsidRDefault="004478C6" w:rsidP="006A1FD0">
      <w:pPr>
        <w:pStyle w:val="NormalHanging12a"/>
        <w:ind w:left="1134"/>
        <w:rPr>
          <w:szCs w:val="24"/>
        </w:rPr>
      </w:pPr>
      <w:r w:rsidRPr="003F1838">
        <w:t>–</w:t>
      </w:r>
      <w:r w:rsidRPr="003F1838">
        <w:tab/>
        <w:t>lipsa unor garanții și măsuri de protecție semnificative privind independența judecătorilor care efectuează controlul jurisdicțional al deciziilor administrative;</w:t>
      </w:r>
    </w:p>
    <w:p w:rsidR="004478C6" w:rsidRPr="003F1838" w:rsidRDefault="004478C6" w:rsidP="006A1FD0">
      <w:pPr>
        <w:pStyle w:val="NormalHanging12a"/>
        <w:ind w:left="1134"/>
        <w:rPr>
          <w:szCs w:val="24"/>
        </w:rPr>
      </w:pPr>
      <w:r w:rsidRPr="003F1838">
        <w:t>–</w:t>
      </w:r>
      <w:r w:rsidRPr="003F1838">
        <w:tab/>
        <w:t>numărul tot mai mare al obstacolelor pentru sesizările preliminare adresate Curții de Justiție a Uniunii Europene (CJUE);</w:t>
      </w:r>
    </w:p>
    <w:p w:rsidR="004478C6" w:rsidRPr="003F1838" w:rsidRDefault="004478C6" w:rsidP="006A1FD0">
      <w:pPr>
        <w:pStyle w:val="NormalHanging12a"/>
        <w:ind w:left="1134"/>
        <w:rPr>
          <w:szCs w:val="24"/>
        </w:rPr>
      </w:pPr>
      <w:r w:rsidRPr="003F1838">
        <w:t>–</w:t>
      </w:r>
      <w:r w:rsidRPr="003F1838">
        <w:tab/>
        <w:t>norme deficitare privind imunitatea și procedurile disciplinare împotriva procurorilor și judecătorilor;</w:t>
      </w:r>
    </w:p>
    <w:p w:rsidR="004478C6" w:rsidRPr="003F1838" w:rsidRDefault="004478C6" w:rsidP="006A1FD0">
      <w:pPr>
        <w:pStyle w:val="NormalHanging12a"/>
        <w:ind w:left="1134"/>
        <w:rPr>
          <w:szCs w:val="24"/>
        </w:rPr>
      </w:pPr>
      <w:r w:rsidRPr="003F1838">
        <w:t>–</w:t>
      </w:r>
      <w:r w:rsidRPr="003F1838">
        <w:tab/>
        <w:t>ingerința politică în activitatea serviciilor de urmărire penală și a procurorilor individuali;</w:t>
      </w:r>
    </w:p>
    <w:p w:rsidR="004478C6" w:rsidRPr="003F1838" w:rsidRDefault="004478C6" w:rsidP="006A1FD0">
      <w:pPr>
        <w:pStyle w:val="NormalHanging12a"/>
        <w:ind w:left="1134"/>
        <w:rPr>
          <w:szCs w:val="24"/>
        </w:rPr>
      </w:pPr>
      <w:r w:rsidRPr="003F1838">
        <w:t>–</w:t>
      </w:r>
      <w:r w:rsidRPr="003F1838">
        <w:tab/>
        <w:t>lipsa unor servicii de sprijin eficiente pentru victimele criminalității;</w:t>
      </w:r>
    </w:p>
    <w:p w:rsidR="004478C6" w:rsidRPr="003F1838" w:rsidRDefault="004478C6" w:rsidP="004478C6">
      <w:pPr>
        <w:pStyle w:val="NormalHanging12a"/>
        <w:rPr>
          <w:szCs w:val="24"/>
        </w:rPr>
      </w:pPr>
      <w:r w:rsidRPr="003F1838">
        <w:t>K.</w:t>
      </w:r>
      <w:r w:rsidRPr="003F1838">
        <w:tab/>
        <w:t>întrucât pe lista neexhaustivă a deficiențelor grave și persistente legate de combaterea corupției și de conflictele de interese se află și următoarele:</w:t>
      </w:r>
    </w:p>
    <w:p w:rsidR="004478C6" w:rsidRPr="003F1838" w:rsidRDefault="004478C6" w:rsidP="006A1FD0">
      <w:pPr>
        <w:pStyle w:val="NormalHanging12a"/>
        <w:ind w:left="1134"/>
        <w:rPr>
          <w:szCs w:val="24"/>
        </w:rPr>
      </w:pPr>
      <w:r w:rsidRPr="003F1838">
        <w:t>–</w:t>
      </w:r>
      <w:r w:rsidRPr="003F1838">
        <w:tab/>
        <w:t>absența unui istoric al anchetelor, urmăririlor penale și hotărârilor definitive privind cazurile de corupție la nivel înalt;</w:t>
      </w:r>
    </w:p>
    <w:p w:rsidR="004478C6" w:rsidRPr="003F1838" w:rsidRDefault="004478C6" w:rsidP="006A1FD0">
      <w:pPr>
        <w:pStyle w:val="NormalHanging12a"/>
        <w:ind w:left="1134"/>
        <w:rPr>
          <w:szCs w:val="24"/>
        </w:rPr>
      </w:pPr>
      <w:r w:rsidRPr="003F1838">
        <w:t>–</w:t>
      </w:r>
      <w:r w:rsidRPr="003F1838">
        <w:tab/>
        <w:t>absența unor reglementări stricte privind activitățile de lobby, practica „ușilor turnante” și supravegherea eficace a declarațiilor de avere;</w:t>
      </w:r>
    </w:p>
    <w:p w:rsidR="004478C6" w:rsidRPr="003F1838" w:rsidRDefault="004478C6" w:rsidP="006A1FD0">
      <w:pPr>
        <w:pStyle w:val="NormalHanging12a"/>
        <w:ind w:left="1134"/>
        <w:rPr>
          <w:szCs w:val="24"/>
        </w:rPr>
      </w:pPr>
      <w:r w:rsidRPr="003F1838">
        <w:t>–</w:t>
      </w:r>
      <w:r w:rsidRPr="003F1838">
        <w:tab/>
        <w:t>lipsa unor competențe corespunzătoare, a împuternicirilor, a accesului la informații și a resurselor adecvate în cadrul Autorității pentru Integritate;</w:t>
      </w:r>
    </w:p>
    <w:p w:rsidR="004478C6" w:rsidRPr="003F1838" w:rsidRDefault="004478C6" w:rsidP="006A1FD0">
      <w:pPr>
        <w:pStyle w:val="NormalHanging12a"/>
        <w:ind w:left="1134"/>
        <w:rPr>
          <w:szCs w:val="24"/>
        </w:rPr>
      </w:pPr>
      <w:r w:rsidRPr="003F1838">
        <w:t>–</w:t>
      </w:r>
      <w:r w:rsidRPr="003F1838">
        <w:tab/>
        <w:t>lipsa consultării publice și a dezbaterilor privind măsurile de combatere a corupției;</w:t>
      </w:r>
    </w:p>
    <w:p w:rsidR="004478C6" w:rsidRPr="003F1838" w:rsidRDefault="004478C6" w:rsidP="006A1FD0">
      <w:pPr>
        <w:pStyle w:val="NormalHanging12a"/>
        <w:ind w:left="1134"/>
        <w:rPr>
          <w:szCs w:val="24"/>
        </w:rPr>
      </w:pPr>
      <w:r w:rsidRPr="003F1838">
        <w:t>–</w:t>
      </w:r>
      <w:r w:rsidRPr="003F1838">
        <w:tab/>
        <w:t>lipsa răspunderii serviciilor de urmărire penală, inclusiv în cazurile de neglijență, de încălcare a obligațiilor și de practici infracționale;</w:t>
      </w:r>
    </w:p>
    <w:p w:rsidR="004478C6" w:rsidRPr="003F1838" w:rsidRDefault="004478C6" w:rsidP="006A1FD0">
      <w:pPr>
        <w:pStyle w:val="NormalHanging12a"/>
        <w:ind w:left="1134"/>
        <w:rPr>
          <w:szCs w:val="24"/>
        </w:rPr>
      </w:pPr>
      <w:r w:rsidRPr="003F1838">
        <w:t>–</w:t>
      </w:r>
      <w:r w:rsidRPr="003F1838">
        <w:tab/>
        <w:t>ingerința politică în activitatea serviciilor de urmărire penală care vizează cazurile de corupție și infracționalitatea la nivel înalt;</w:t>
      </w:r>
    </w:p>
    <w:p w:rsidR="004478C6" w:rsidRPr="003F1838" w:rsidRDefault="004478C6" w:rsidP="004478C6">
      <w:pPr>
        <w:pStyle w:val="NormalHanging12a"/>
        <w:rPr>
          <w:szCs w:val="24"/>
        </w:rPr>
      </w:pPr>
      <w:r w:rsidRPr="003F1838">
        <w:t>L.</w:t>
      </w:r>
      <w:r w:rsidRPr="003F1838">
        <w:tab/>
        <w:t>întrucât pe lista neexhaustivă a deficiențelor grave și persistente legate de libertatea și pluralismul mass-medie se află și următoarele:</w:t>
      </w:r>
    </w:p>
    <w:p w:rsidR="004478C6" w:rsidRPr="003F1838" w:rsidRDefault="004478C6" w:rsidP="006A1FD0">
      <w:pPr>
        <w:pStyle w:val="NormalHanging12a"/>
        <w:ind w:left="1134"/>
        <w:rPr>
          <w:szCs w:val="24"/>
        </w:rPr>
      </w:pPr>
      <w:r w:rsidRPr="003F1838">
        <w:t>–</w:t>
      </w:r>
      <w:r w:rsidRPr="003F1838">
        <w:tab/>
        <w:t>lipsa independenței funcționale a autorității pentru mass-media și a coordonatorului serviciilor digitale;</w:t>
      </w:r>
    </w:p>
    <w:p w:rsidR="004478C6" w:rsidRPr="003F1838" w:rsidRDefault="004478C6" w:rsidP="006A1FD0">
      <w:pPr>
        <w:pStyle w:val="NormalHanging12a"/>
        <w:ind w:left="1134"/>
        <w:rPr>
          <w:szCs w:val="24"/>
        </w:rPr>
      </w:pPr>
      <w:r w:rsidRPr="003F1838">
        <w:t>–</w:t>
      </w:r>
      <w:r w:rsidRPr="003F1838">
        <w:tab/>
        <w:t>lipsa independenței editoriale și financiare a mass-mediei publice și lipsa pluralismului opiniilor politice în mass-media publică, care este utilizată de majoritatea aflată la guvernare pentru propagandă politică;</w:t>
      </w:r>
    </w:p>
    <w:p w:rsidR="004478C6" w:rsidRPr="003F1838" w:rsidRDefault="004478C6" w:rsidP="006A1FD0">
      <w:pPr>
        <w:pStyle w:val="NormalHanging12a"/>
        <w:ind w:left="1134"/>
        <w:rPr>
          <w:szCs w:val="24"/>
        </w:rPr>
      </w:pPr>
      <w:r w:rsidRPr="003F1838">
        <w:t>–</w:t>
      </w:r>
      <w:r w:rsidRPr="003F1838">
        <w:tab/>
        <w:t>utilizarea abuzivă a publicității de stat în canalele de mass-media proguvernamentale și lipsa unor norme și a transparenței în această privință;</w:t>
      </w:r>
    </w:p>
    <w:p w:rsidR="004478C6" w:rsidRPr="003F1838" w:rsidRDefault="004478C6" w:rsidP="006A1FD0">
      <w:pPr>
        <w:pStyle w:val="NormalHanging12a"/>
        <w:ind w:left="1134"/>
        <w:rPr>
          <w:szCs w:val="24"/>
        </w:rPr>
      </w:pPr>
      <w:r w:rsidRPr="003F1838">
        <w:t>–</w:t>
      </w:r>
      <w:r w:rsidRPr="003F1838">
        <w:tab/>
        <w:t>campanii de denigrare împotriva jurnaliștilor și a mass-mediei independente;</w:t>
      </w:r>
    </w:p>
    <w:p w:rsidR="004478C6" w:rsidRPr="003F1838" w:rsidRDefault="004478C6" w:rsidP="006A1FD0">
      <w:pPr>
        <w:pStyle w:val="NormalHanging12a"/>
        <w:ind w:left="1134"/>
        <w:rPr>
          <w:szCs w:val="24"/>
        </w:rPr>
      </w:pPr>
      <w:r w:rsidRPr="003F1838">
        <w:t>–</w:t>
      </w:r>
      <w:r w:rsidRPr="003F1838">
        <w:tab/>
        <w:t>numărul tot mai mare de restricții privind accesul la informațiile publice;</w:t>
      </w:r>
    </w:p>
    <w:p w:rsidR="004478C6" w:rsidRPr="003F1838" w:rsidRDefault="004478C6" w:rsidP="006A1FD0">
      <w:pPr>
        <w:pStyle w:val="NormalHanging12a"/>
        <w:ind w:left="1134"/>
        <w:rPr>
          <w:szCs w:val="24"/>
        </w:rPr>
      </w:pPr>
      <w:r w:rsidRPr="003F1838">
        <w:lastRenderedPageBreak/>
        <w:t>–</w:t>
      </w:r>
      <w:r w:rsidRPr="003F1838">
        <w:tab/>
        <w:t>lipsa unei anchete consistente cu privire la utilizarea programelor-spion împotriva jurnaliștilor de investigație și a profesioniștilor din domeniul mass-mediei;</w:t>
      </w:r>
    </w:p>
    <w:p w:rsidR="004478C6" w:rsidRPr="003F1838" w:rsidRDefault="004478C6" w:rsidP="006A1FD0">
      <w:pPr>
        <w:pStyle w:val="NormalHanging12a"/>
        <w:ind w:left="1134"/>
        <w:rPr>
          <w:szCs w:val="24"/>
        </w:rPr>
      </w:pPr>
      <w:r w:rsidRPr="003F1838">
        <w:t>–</w:t>
      </w:r>
      <w:r w:rsidRPr="003F1838">
        <w:tab/>
        <w:t xml:space="preserve">concentrarea pieței mass-media și influența excesivă a guvernului asupra peisajului mediatic (inclusiv prin intermediul </w:t>
      </w:r>
      <w:r w:rsidRPr="003F1838">
        <w:rPr>
          <w:shd w:val="clear" w:color="auto" w:fill="FFFFFF"/>
        </w:rPr>
        <w:t>Fundației Central Europene pentru Presă și Media, respectiv</w:t>
      </w:r>
      <w:r w:rsidRPr="003F1838">
        <w:t xml:space="preserve"> KESMA în </w:t>
      </w:r>
      <w:r w:rsidRPr="003F1838">
        <w:rPr>
          <w:shd w:val="clear" w:color="auto" w:fill="FFFFFF"/>
        </w:rPr>
        <w:t>acronimul în limba ungară</w:t>
      </w:r>
      <w:r w:rsidRPr="003F1838">
        <w:t>);</w:t>
      </w:r>
    </w:p>
    <w:p w:rsidR="004478C6" w:rsidRPr="003F1838" w:rsidRDefault="004478C6" w:rsidP="006A1FD0">
      <w:pPr>
        <w:pStyle w:val="NormalHanging12a"/>
        <w:ind w:left="1134"/>
        <w:rPr>
          <w:szCs w:val="24"/>
        </w:rPr>
      </w:pPr>
      <w:r w:rsidRPr="003F1838">
        <w:t>–</w:t>
      </w:r>
      <w:r w:rsidRPr="003F1838">
        <w:tab/>
        <w:t>posibila anchetare a organelor de presă și a jurnaliștilor de către Oficiul pentru protecția suveranității (OPS);</w:t>
      </w:r>
    </w:p>
    <w:p w:rsidR="004478C6" w:rsidRPr="003F1838" w:rsidRDefault="004478C6" w:rsidP="004478C6">
      <w:pPr>
        <w:pStyle w:val="NormalHanging12a"/>
        <w:rPr>
          <w:szCs w:val="24"/>
        </w:rPr>
      </w:pPr>
      <w:r w:rsidRPr="003F1838">
        <w:t>M.</w:t>
      </w:r>
      <w:r w:rsidRPr="003F1838">
        <w:tab/>
        <w:t>întrucât pe lista neexhaustivă a deficiențelor grave și persistente legate de sistemul constituțional și electoral, precum și de sistemul de control și echilibru, se află și următoarele:</w:t>
      </w:r>
    </w:p>
    <w:p w:rsidR="004478C6" w:rsidRPr="003F1838" w:rsidRDefault="004478C6" w:rsidP="006A1FD0">
      <w:pPr>
        <w:pStyle w:val="NormalHanging12a"/>
        <w:ind w:left="1134"/>
        <w:rPr>
          <w:szCs w:val="24"/>
        </w:rPr>
      </w:pPr>
      <w:r w:rsidRPr="003F1838">
        <w:t>–</w:t>
      </w:r>
      <w:r w:rsidRPr="003F1838">
        <w:tab/>
        <w:t>absența unor condiții de campanie echitabile în timpul alegerilor la nivel local și național și modificarea frecventă a codului electoral;</w:t>
      </w:r>
    </w:p>
    <w:p w:rsidR="004478C6" w:rsidRPr="003F1838" w:rsidRDefault="004478C6" w:rsidP="006A1FD0">
      <w:pPr>
        <w:pStyle w:val="NormalHanging12a"/>
        <w:ind w:left="1134"/>
        <w:rPr>
          <w:szCs w:val="24"/>
        </w:rPr>
      </w:pPr>
      <w:r w:rsidRPr="003F1838">
        <w:t>–</w:t>
      </w:r>
      <w:r w:rsidRPr="003F1838">
        <w:tab/>
        <w:t>transparență și responsabilitate insuficiente în procesul de elaborare și adoptare a legilor;</w:t>
      </w:r>
    </w:p>
    <w:p w:rsidR="004478C6" w:rsidRPr="003F1838" w:rsidRDefault="004478C6" w:rsidP="006A1FD0">
      <w:pPr>
        <w:pStyle w:val="NormalHanging12a"/>
        <w:ind w:left="1134"/>
        <w:rPr>
          <w:bCs/>
          <w:szCs w:val="24"/>
        </w:rPr>
      </w:pPr>
      <w:r w:rsidRPr="003F1838">
        <w:t>–</w:t>
      </w:r>
      <w:r w:rsidRPr="003F1838">
        <w:tab/>
        <w:t>continuarea „stării de pericol” oficiale, care acordă guvernului competențe extinse în situații de urgență și îi permite să suspende, în decretele de urgență, legile de nivel superior;</w:t>
      </w:r>
    </w:p>
    <w:p w:rsidR="004478C6" w:rsidRPr="003F1838" w:rsidRDefault="004478C6" w:rsidP="006A1FD0">
      <w:pPr>
        <w:pStyle w:val="NormalHanging12a"/>
        <w:ind w:left="1134"/>
        <w:rPr>
          <w:szCs w:val="24"/>
        </w:rPr>
      </w:pPr>
      <w:r w:rsidRPr="003F1838">
        <w:t>–</w:t>
      </w:r>
      <w:r w:rsidRPr="003F1838">
        <w:tab/>
        <w:t>absența unui proces semnificativ de consultare a publicului larg cu privire la proiectele de lege importante;</w:t>
      </w:r>
    </w:p>
    <w:p w:rsidR="004478C6" w:rsidRPr="003F1838" w:rsidRDefault="004478C6" w:rsidP="006A1FD0">
      <w:pPr>
        <w:pStyle w:val="NormalHanging12a"/>
        <w:ind w:left="1134"/>
        <w:rPr>
          <w:szCs w:val="24"/>
        </w:rPr>
      </w:pPr>
      <w:r w:rsidRPr="003F1838">
        <w:t>–</w:t>
      </w:r>
      <w:r w:rsidRPr="003F1838">
        <w:tab/>
        <w:t>neutralizarea competențelor organismelor independente și exercitarea unor presiuni asupra independenței acestora;</w:t>
      </w:r>
    </w:p>
    <w:p w:rsidR="004478C6" w:rsidRPr="003F1838" w:rsidRDefault="004478C6" w:rsidP="006A1FD0">
      <w:pPr>
        <w:pStyle w:val="NormalHanging12a"/>
        <w:ind w:left="1134"/>
        <w:rPr>
          <w:bCs/>
          <w:szCs w:val="24"/>
        </w:rPr>
      </w:pPr>
      <w:r w:rsidRPr="003F1838">
        <w:t>–</w:t>
      </w:r>
      <w:r w:rsidRPr="003F1838">
        <w:tab/>
        <w:t>utilizarea unor proiecte de lege omnibus pentru a modifica diverse legi;</w:t>
      </w:r>
    </w:p>
    <w:p w:rsidR="004478C6" w:rsidRPr="003F1838" w:rsidRDefault="004478C6" w:rsidP="004478C6">
      <w:pPr>
        <w:pStyle w:val="NormalHanging12a"/>
        <w:rPr>
          <w:szCs w:val="24"/>
        </w:rPr>
      </w:pPr>
      <w:r w:rsidRPr="003F1838">
        <w:t>N.</w:t>
      </w:r>
      <w:r w:rsidRPr="003F1838">
        <w:tab/>
        <w:t>întrucât pe lista neexhaustivă a deficiențelor grave și persistente legate de funcționarea societății civile se află și următoarele:</w:t>
      </w:r>
    </w:p>
    <w:p w:rsidR="004478C6" w:rsidRPr="003F1838" w:rsidRDefault="004478C6" w:rsidP="006A1FD0">
      <w:pPr>
        <w:pStyle w:val="NormalHanging12a"/>
        <w:ind w:left="1134"/>
        <w:rPr>
          <w:szCs w:val="24"/>
        </w:rPr>
      </w:pPr>
      <w:r w:rsidRPr="003F1838">
        <w:t>–</w:t>
      </w:r>
      <w:r w:rsidRPr="003F1838">
        <w:tab/>
        <w:t>efectul disuasiv al diferitelor legi care vizează restrângerea existenței și funcționării organizațiilor independente ale societății civile, cum ar fi legea privind transparența organizațiilor care primesc fonduri din străinătate și legea privind protecția suveranității naționale;</w:t>
      </w:r>
    </w:p>
    <w:p w:rsidR="004478C6" w:rsidRPr="003F1838" w:rsidRDefault="004478C6" w:rsidP="006A1FD0">
      <w:pPr>
        <w:pStyle w:val="NormalHanging12a"/>
        <w:ind w:left="1134"/>
        <w:rPr>
          <w:szCs w:val="24"/>
        </w:rPr>
      </w:pPr>
      <w:r w:rsidRPr="003F1838">
        <w:t>–</w:t>
      </w:r>
      <w:r w:rsidRPr="003F1838">
        <w:tab/>
        <w:t>campaniile de denigrare și hărțuire împotriva reprezentanților organizațiilor societății civile;</w:t>
      </w:r>
    </w:p>
    <w:p w:rsidR="004478C6" w:rsidRPr="003F1838" w:rsidRDefault="004478C6" w:rsidP="006A1FD0">
      <w:pPr>
        <w:pStyle w:val="NormalHanging12a"/>
        <w:ind w:left="1134"/>
        <w:rPr>
          <w:szCs w:val="24"/>
        </w:rPr>
      </w:pPr>
      <w:r w:rsidRPr="003F1838">
        <w:t>–</w:t>
      </w:r>
      <w:r w:rsidRPr="003F1838">
        <w:tab/>
        <w:t>lipsa finanțării publice a organizațiilor independente ale societății civile și sprijinul financiar al organizațiilor proguvernamentale sau al organizațiilor care au legături cu guvernul;</w:t>
      </w:r>
    </w:p>
    <w:p w:rsidR="004478C6" w:rsidRPr="003F1838" w:rsidRDefault="004478C6" w:rsidP="006A1FD0">
      <w:pPr>
        <w:pStyle w:val="NormalHanging12a"/>
        <w:ind w:left="1134"/>
        <w:rPr>
          <w:szCs w:val="24"/>
        </w:rPr>
      </w:pPr>
      <w:r w:rsidRPr="003F1838">
        <w:t>–</w:t>
      </w:r>
      <w:r w:rsidRPr="003F1838">
        <w:tab/>
        <w:t>posibila supraveghere și anchetare de către SPO a organizațiilor societății civile și a reprezentanților acestora;</w:t>
      </w:r>
    </w:p>
    <w:p w:rsidR="004478C6" w:rsidRPr="003F1838" w:rsidRDefault="004478C6" w:rsidP="004478C6">
      <w:pPr>
        <w:pStyle w:val="NormalHanging12a"/>
        <w:rPr>
          <w:szCs w:val="24"/>
        </w:rPr>
      </w:pPr>
      <w:r w:rsidRPr="003F1838">
        <w:t>O.</w:t>
      </w:r>
      <w:r w:rsidRPr="003F1838">
        <w:tab/>
        <w:t>întrucât pe lista neexhaustivă a deficiențelor grave și persistente legate de protecția intereselor financiare ale UE se află și următoarele:</w:t>
      </w:r>
    </w:p>
    <w:p w:rsidR="004478C6" w:rsidRPr="003F1838" w:rsidRDefault="004478C6" w:rsidP="006A1FD0">
      <w:pPr>
        <w:pStyle w:val="NormalHanging12a"/>
        <w:ind w:left="1134"/>
        <w:rPr>
          <w:szCs w:val="24"/>
        </w:rPr>
      </w:pPr>
      <w:r w:rsidRPr="003F1838">
        <w:lastRenderedPageBreak/>
        <w:t>–</w:t>
      </w:r>
      <w:r w:rsidRPr="003F1838">
        <w:tab/>
        <w:t>modul de funcționare a autorităților care execută bugetul UE;</w:t>
      </w:r>
    </w:p>
    <w:p w:rsidR="004478C6" w:rsidRPr="003F1838" w:rsidRDefault="004478C6" w:rsidP="006A1FD0">
      <w:pPr>
        <w:pStyle w:val="NormalHanging12a"/>
        <w:ind w:left="1134"/>
        <w:rPr>
          <w:szCs w:val="24"/>
        </w:rPr>
      </w:pPr>
      <w:r w:rsidRPr="003F1838">
        <w:t>–</w:t>
      </w:r>
      <w:r w:rsidRPr="003F1838">
        <w:tab/>
        <w:t>nereguli, deficiențe și neajunsuri sistemice în domeniul achizițiilor publice, inclusiv o proporție ridicată de achiziții cu oferte unice și lipsa concurenței în sistemul de achiziții publice;</w:t>
      </w:r>
    </w:p>
    <w:p w:rsidR="004478C6" w:rsidRPr="003F1838" w:rsidRDefault="004478C6" w:rsidP="006A1FD0">
      <w:pPr>
        <w:pStyle w:val="NormalHanging12a"/>
        <w:ind w:left="1134"/>
        <w:rPr>
          <w:szCs w:val="24"/>
        </w:rPr>
      </w:pPr>
      <w:r w:rsidRPr="003F1838">
        <w:t>–</w:t>
      </w:r>
      <w:r w:rsidRPr="003F1838">
        <w:tab/>
        <w:t>neajunsuri în cadrul mecanismelor de audit și de control menite să garanteze utilizarea judicioasă a fondurilor UE;</w:t>
      </w:r>
    </w:p>
    <w:p w:rsidR="004478C6" w:rsidRPr="003F1838" w:rsidRDefault="004478C6" w:rsidP="006A1FD0">
      <w:pPr>
        <w:pStyle w:val="NormalHanging12a"/>
        <w:ind w:left="1134"/>
        <w:rPr>
          <w:szCs w:val="24"/>
        </w:rPr>
      </w:pPr>
      <w:r w:rsidRPr="003F1838">
        <w:t>–</w:t>
      </w:r>
      <w:r w:rsidRPr="003F1838">
        <w:tab/>
        <w:t>o capacitate necorespunzătoare pentru prevenirea și sancționarea fraudelor, a corupției și a altor încălcări ale dreptului UE care au legătură cu execuția bugetului UE sau cu protecția intereselor financiare ale UE;</w:t>
      </w:r>
    </w:p>
    <w:p w:rsidR="004478C6" w:rsidRPr="003F1838" w:rsidRDefault="004478C6" w:rsidP="006A1FD0">
      <w:pPr>
        <w:pStyle w:val="NormalHanging12a"/>
        <w:ind w:left="1134"/>
        <w:rPr>
          <w:szCs w:val="24"/>
        </w:rPr>
      </w:pPr>
      <w:r w:rsidRPr="003F1838">
        <w:t>–</w:t>
      </w:r>
      <w:r w:rsidRPr="003F1838">
        <w:tab/>
        <w:t>aplicarea necorespunzătoare a instrumentului ARACHNE;</w:t>
      </w:r>
    </w:p>
    <w:p w:rsidR="004478C6" w:rsidRPr="003F1838" w:rsidRDefault="004478C6" w:rsidP="006A1FD0">
      <w:pPr>
        <w:pStyle w:val="NormalHanging12a"/>
        <w:ind w:left="1134"/>
        <w:rPr>
          <w:szCs w:val="24"/>
        </w:rPr>
      </w:pPr>
      <w:r w:rsidRPr="003F1838">
        <w:t>–</w:t>
      </w:r>
      <w:r w:rsidRPr="003F1838">
        <w:tab/>
        <w:t>lipsa transparenței în utilizarea fondurilor UE de către fundațiile de gestionare a activelor de interes public;</w:t>
      </w:r>
    </w:p>
    <w:p w:rsidR="004478C6" w:rsidRPr="003F1838" w:rsidRDefault="004478C6" w:rsidP="006A1FD0">
      <w:pPr>
        <w:pStyle w:val="NormalHanging12a"/>
        <w:ind w:left="1134"/>
        <w:rPr>
          <w:szCs w:val="24"/>
        </w:rPr>
      </w:pPr>
      <w:r w:rsidRPr="003F1838">
        <w:t>–</w:t>
      </w:r>
      <w:r w:rsidRPr="003F1838">
        <w:tab/>
        <w:t>neaderarea Ungariei la Parchetul European (EPPO);</w:t>
      </w:r>
    </w:p>
    <w:p w:rsidR="004478C6" w:rsidRPr="003F1838" w:rsidRDefault="004478C6" w:rsidP="004478C6">
      <w:pPr>
        <w:pStyle w:val="NormalHanging12a"/>
        <w:rPr>
          <w:szCs w:val="24"/>
        </w:rPr>
      </w:pPr>
      <w:r w:rsidRPr="003F1838">
        <w:t>P.</w:t>
      </w:r>
      <w:r w:rsidRPr="003F1838">
        <w:tab/>
        <w:t>întrucât pe lista neexhaustivă a deficiențelor grave și persistente legate de respectarea principiilor și normelor pieței unice se află și următoarele:</w:t>
      </w:r>
    </w:p>
    <w:p w:rsidR="004478C6" w:rsidRPr="003F1838" w:rsidRDefault="004478C6" w:rsidP="006A1FD0">
      <w:pPr>
        <w:pStyle w:val="NormalHanging12a"/>
        <w:ind w:left="1134"/>
        <w:rPr>
          <w:bCs/>
          <w:szCs w:val="24"/>
        </w:rPr>
      </w:pPr>
      <w:r w:rsidRPr="003F1838">
        <w:t>–</w:t>
      </w:r>
      <w:r w:rsidRPr="003F1838">
        <w:tab/>
        <w:t>practici discriminatorii împotriva întreprinderilor care își desfășoară activitatea în domenii definite ca având un interes strategic pentru guvernul din Ungaria;</w:t>
      </w:r>
    </w:p>
    <w:p w:rsidR="004478C6" w:rsidRPr="003F1838" w:rsidRDefault="004478C6" w:rsidP="006A1FD0">
      <w:pPr>
        <w:pStyle w:val="NormalHanging12a"/>
        <w:ind w:left="1134"/>
        <w:rPr>
          <w:bCs/>
          <w:szCs w:val="24"/>
        </w:rPr>
      </w:pPr>
      <w:r w:rsidRPr="003F1838">
        <w:t>–</w:t>
      </w:r>
      <w:r w:rsidRPr="003F1838">
        <w:tab/>
        <w:t>abuzul de putere publică și legislativă și utilizarea tehnicilor de intimidare împotriva actorilor economici care își desfășoară activitatea în domenii definite ca având un interes strategic pentru guvernul din Ungaria;</w:t>
      </w:r>
    </w:p>
    <w:p w:rsidR="004478C6" w:rsidRPr="003F1838" w:rsidRDefault="004478C6" w:rsidP="004478C6">
      <w:pPr>
        <w:pStyle w:val="NormalHanging12a"/>
        <w:rPr>
          <w:szCs w:val="24"/>
        </w:rPr>
      </w:pPr>
      <w:r w:rsidRPr="003F1838">
        <w:t>Q.</w:t>
      </w:r>
      <w:r w:rsidRPr="003F1838">
        <w:tab/>
        <w:t>întrucât guvernul din Ungaria nu a răspuns nici altor preocupări identificate în rezoluția Parlamentului din 15 septembrie 2022 care țin de drepturile fundamentale, cum ar fi:</w:t>
      </w:r>
    </w:p>
    <w:p w:rsidR="004478C6" w:rsidRPr="003F1838" w:rsidRDefault="004478C6" w:rsidP="006A1FD0">
      <w:pPr>
        <w:pStyle w:val="NormalHanging12a"/>
        <w:ind w:left="1134"/>
        <w:rPr>
          <w:szCs w:val="24"/>
        </w:rPr>
      </w:pPr>
      <w:r w:rsidRPr="003F1838">
        <w:t>–</w:t>
      </w:r>
      <w:r w:rsidRPr="003F1838">
        <w:tab/>
        <w:t>libertatea academică;</w:t>
      </w:r>
    </w:p>
    <w:p w:rsidR="004478C6" w:rsidRPr="003F1838" w:rsidRDefault="004478C6" w:rsidP="006A1FD0">
      <w:pPr>
        <w:pStyle w:val="NormalHanging12a"/>
        <w:ind w:left="1134"/>
        <w:rPr>
          <w:szCs w:val="24"/>
        </w:rPr>
      </w:pPr>
      <w:r w:rsidRPr="003F1838">
        <w:t>–</w:t>
      </w:r>
      <w:r w:rsidRPr="003F1838">
        <w:tab/>
        <w:t>libertatea religiilor; </w:t>
      </w:r>
    </w:p>
    <w:p w:rsidR="004478C6" w:rsidRPr="003F1838" w:rsidRDefault="004478C6" w:rsidP="006A1FD0">
      <w:pPr>
        <w:pStyle w:val="NormalHanging12a"/>
        <w:ind w:left="1134"/>
        <w:rPr>
          <w:szCs w:val="24"/>
        </w:rPr>
      </w:pPr>
      <w:r w:rsidRPr="003F1838">
        <w:t>–</w:t>
      </w:r>
      <w:r w:rsidRPr="003F1838">
        <w:tab/>
        <w:t>dreptul la egalitatea de tratament, inclusiv drepturile LGBTIQ;</w:t>
      </w:r>
    </w:p>
    <w:p w:rsidR="004478C6" w:rsidRPr="003F1838" w:rsidRDefault="004478C6" w:rsidP="006A1FD0">
      <w:pPr>
        <w:pStyle w:val="NormalHanging12a"/>
        <w:ind w:left="1134"/>
        <w:rPr>
          <w:szCs w:val="24"/>
        </w:rPr>
      </w:pPr>
      <w:r w:rsidRPr="003F1838">
        <w:t>–</w:t>
      </w:r>
      <w:r w:rsidRPr="003F1838">
        <w:tab/>
        <w:t>drepturile persoanelor care aparțin minorităților, inclusiv ale romilor și evreilor; protecția împotriva declarațiilor care incită la ură împotriva minorităților;</w:t>
      </w:r>
    </w:p>
    <w:p w:rsidR="004478C6" w:rsidRPr="003F1838" w:rsidRDefault="004478C6" w:rsidP="006A1FD0">
      <w:pPr>
        <w:pStyle w:val="NormalHanging12a"/>
        <w:ind w:left="1134"/>
        <w:rPr>
          <w:szCs w:val="24"/>
        </w:rPr>
      </w:pPr>
      <w:r w:rsidRPr="003F1838">
        <w:t>–</w:t>
      </w:r>
      <w:r w:rsidRPr="003F1838">
        <w:tab/>
        <w:t xml:space="preserve">drepturile fundamentale ale </w:t>
      </w:r>
      <w:proofErr w:type="spellStart"/>
      <w:r w:rsidRPr="003F1838">
        <w:t>migranților</w:t>
      </w:r>
      <w:proofErr w:type="spellEnd"/>
      <w:r w:rsidRPr="003F1838">
        <w:t>, ale solicitanților de azil și ale refugiaților;</w:t>
      </w:r>
    </w:p>
    <w:p w:rsidR="004478C6" w:rsidRPr="003F1838" w:rsidRDefault="004478C6" w:rsidP="006A1FD0">
      <w:pPr>
        <w:pStyle w:val="NormalHanging12a"/>
        <w:ind w:left="1134"/>
        <w:rPr>
          <w:szCs w:val="24"/>
        </w:rPr>
      </w:pPr>
      <w:r w:rsidRPr="003F1838">
        <w:t>–</w:t>
      </w:r>
      <w:r w:rsidRPr="003F1838">
        <w:tab/>
        <w:t>drepturile economice și sociale;</w:t>
      </w:r>
    </w:p>
    <w:p w:rsidR="004478C6" w:rsidRPr="003F1838" w:rsidRDefault="004478C6" w:rsidP="004478C6">
      <w:pPr>
        <w:pStyle w:val="NormalHanging12a"/>
        <w:rPr>
          <w:szCs w:val="24"/>
        </w:rPr>
      </w:pPr>
      <w:r w:rsidRPr="003F1838">
        <w:t>R.</w:t>
      </w:r>
      <w:r w:rsidRPr="003F1838">
        <w:tab/>
        <w:t xml:space="preserve">întrucât la 23 decembrie 2023 a intrat în vigoare Legea privind protecția suveranității naționale; întrucât, prin urmare, a fost creat noul SPO, iar Codul penal a fost modificat pentru a prevedea, printre altele, o pedeapsă cu închisoarea pentru utilizarea fondurilor din străinătate pentru campanii politice; întrucât, în declarația sa din 27 noiembrie 2023, Comisarul pentru drepturile omului al Consiliului Europei a indicat că proiectul acestui act reprezintă un risc semnificativ pentru drepturile omului și ar trebui abandonat; </w:t>
      </w:r>
      <w:r w:rsidRPr="003F1838">
        <w:lastRenderedPageBreak/>
        <w:t xml:space="preserve">întrucât, în avizul său din 18 martie 2024, Comisia de la Veneția a remarcat că aplicarea unor restricții finanțării externe a partidelor politice și a campaniilor electorale este un lucru obișnuit și, în principiu, conform cu cele mai bune practici și standarde internaționale, dar că modificările legislative nu definesc în mod clar ce tip de activități de campanie sunt interzise și cum se poate determina că acestea au fost finanțate din fonduri străine; întrucât Comisia de la Veneția a remarcat de asemenea în avizul său că modificările nu iau în considerare cooperarea partidelor politice la nivel internațional, exclud finanțarea acordată de organizațiile internaționale și nu prevăd respectarea obligațiilor internaționale, printre care obligațiile care decurg din statutul de membru al UE; întrucât, la 7 februarie 2024, Comisia a decis să inițieze o procedură de constatare a neîndeplinirii obligațiilor împotriva Ungariei, deoarece a considerat că legislația în cauză încalcă mai multe dispoziții ale legislației primare și secundare a UE, inclusiv valorile democratice ale UE, principiul democrației și drepturile electorale ale cetățenilor UE, precum și mai multe drepturi fundamentale consacrate în Cartă, cum ar fi dreptul la respectarea vieții private și de familie, dreptul la protecția datelor cu caracter personal, libertatea de exprimare și de informare, libertatea de asociere, drepturile electorale ale cetățenilor UE, dreptul la o cale de atac eficientă și la un proces echitabil, protecția împotriva </w:t>
      </w:r>
      <w:proofErr w:type="spellStart"/>
      <w:r w:rsidRPr="003F1838">
        <w:t>autoincriminării</w:t>
      </w:r>
      <w:proofErr w:type="spellEnd"/>
      <w:r w:rsidRPr="003F1838">
        <w:t xml:space="preserve"> și secretul juridic profesional, cerințele legislației UE privind protecția datelor și mai multe norme aplicabile pieței unice;</w:t>
      </w:r>
    </w:p>
    <w:p w:rsidR="004478C6" w:rsidRPr="003F1838" w:rsidRDefault="004478C6" w:rsidP="004478C6">
      <w:pPr>
        <w:ind w:left="567" w:hanging="567"/>
        <w:rPr>
          <w:szCs w:val="24"/>
        </w:rPr>
      </w:pPr>
      <w:r w:rsidRPr="003F1838">
        <w:t>S.</w:t>
      </w:r>
      <w:r w:rsidRPr="003F1838">
        <w:tab/>
        <w:t>întrucât, de la adoptarea raportului intermediar, CJUE a declarat în hotărârea sa în cauza C-823/21</w:t>
      </w:r>
      <w:r w:rsidRPr="003F1838">
        <w:rPr>
          <w:rStyle w:val="FootnoteReference"/>
          <w:szCs w:val="24"/>
        </w:rPr>
        <w:footnoteReference w:id="7"/>
      </w:r>
      <w:r w:rsidRPr="003F1838">
        <w:t>, Comisia/Ungaria, că, prin depunerea unei cereri de protecție internațională, sub rezerva unei declarații de intenție, la o ambasadă a Ungariei situată într-o țară terță, Ungaria nu și-a îndeplinit obligațiile care îi revin în temeiul legislației UE în materie de azil;</w:t>
      </w:r>
    </w:p>
    <w:p w:rsidR="004478C6" w:rsidRPr="003F1838" w:rsidRDefault="004478C6" w:rsidP="004478C6">
      <w:pPr>
        <w:pStyle w:val="NormalHanging12a"/>
        <w:spacing w:before="240"/>
        <w:rPr>
          <w:szCs w:val="24"/>
        </w:rPr>
      </w:pPr>
      <w:r w:rsidRPr="003F1838">
        <w:t>T.</w:t>
      </w:r>
      <w:r w:rsidRPr="003F1838">
        <w:tab/>
        <w:t xml:space="preserve">întrucât, în </w:t>
      </w:r>
      <w:r w:rsidRPr="003F1838">
        <w:rPr>
          <w:color w:val="000000"/>
        </w:rPr>
        <w:t>hotărârea Curții Europene a Drepturilor Omului (CEDO) din 10 noiembrie 2 022</w:t>
      </w:r>
      <w:r w:rsidRPr="003F1838">
        <w:t xml:space="preserve"> în cauza </w:t>
      </w:r>
      <w:proofErr w:type="spellStart"/>
      <w:r w:rsidRPr="003F1838">
        <w:t>Bakirdzi</w:t>
      </w:r>
      <w:proofErr w:type="spellEnd"/>
      <w:r w:rsidRPr="003F1838">
        <w:t xml:space="preserve"> și E.C./Ungaria (</w:t>
      </w:r>
      <w:r w:rsidR="00D9128F" w:rsidRPr="003F1838">
        <w:t>49636/14</w:t>
      </w:r>
      <w:r w:rsidRPr="003F1838">
        <w:t xml:space="preserve"> </w:t>
      </w:r>
      <w:r w:rsidRPr="003F1838">
        <w:rPr>
          <w:shd w:val="clear" w:color="auto" w:fill="FFFFFF"/>
        </w:rPr>
        <w:t>și</w:t>
      </w:r>
      <w:r w:rsidRPr="003F1838">
        <w:t xml:space="preserve"> </w:t>
      </w:r>
      <w:r w:rsidR="00D9128F" w:rsidRPr="003F1838">
        <w:t>65678/14</w:t>
      </w:r>
      <w:r w:rsidRPr="003F1838">
        <w:t>), care a devenit definitivă la 3 aprilie 2023, și hotărârea din 30 martie 2</w:t>
      </w:r>
      <w:bookmarkStart w:id="7" w:name="_GoBack"/>
      <w:bookmarkEnd w:id="7"/>
      <w:r w:rsidRPr="003F1838">
        <w:t xml:space="preserve">023 în cauza </w:t>
      </w:r>
      <w:proofErr w:type="spellStart"/>
      <w:r w:rsidRPr="003F1838">
        <w:t>Szolcsán</w:t>
      </w:r>
      <w:proofErr w:type="spellEnd"/>
      <w:r w:rsidRPr="003F1838">
        <w:t>/Ungaria (</w:t>
      </w:r>
      <w:r w:rsidRPr="003F1838">
        <w:rPr>
          <w:rStyle w:val="textcolumn"/>
          <w:shd w:val="clear" w:color="auto" w:fill="FFFFFF"/>
        </w:rPr>
        <w:t>24408/16</w:t>
      </w:r>
      <w:r w:rsidRPr="003F1838">
        <w:t>), care a devenit definitivă la 30 iunie 2023, CEDO a constatat încălcări ale drepturilor la vot ale alegătorilor aparținând unor minorități naționale și în domeniul educației copiilor romi în clase sau școli segregate, fără a se lua măsuri adecvate pentru a corecta inegalitățile;</w:t>
      </w:r>
    </w:p>
    <w:p w:rsidR="004478C6" w:rsidRPr="003F1838" w:rsidRDefault="004478C6" w:rsidP="004478C6">
      <w:pPr>
        <w:pStyle w:val="NormalHanging12a"/>
        <w:rPr>
          <w:szCs w:val="24"/>
        </w:rPr>
      </w:pPr>
      <w:r w:rsidRPr="003F1838">
        <w:t>U.</w:t>
      </w:r>
      <w:r w:rsidRPr="003F1838">
        <w:tab/>
        <w:t xml:space="preserve">întrucât, în deciziile sale privind supravegherea consolidată în curs a executării hotărârilor CEDO în cauzele și grupurile de cauze Szabó și </w:t>
      </w:r>
      <w:proofErr w:type="spellStart"/>
      <w:r w:rsidRPr="003F1838">
        <w:t>Vissy</w:t>
      </w:r>
      <w:proofErr w:type="spellEnd"/>
      <w:r w:rsidRPr="003F1838">
        <w:t>/Ungaria</w:t>
      </w:r>
      <w:r w:rsidRPr="003F1838">
        <w:rPr>
          <w:rStyle w:val="FootnoteReference"/>
          <w:szCs w:val="24"/>
        </w:rPr>
        <w:footnoteReference w:id="8"/>
      </w:r>
      <w:r w:rsidRPr="003F1838">
        <w:t xml:space="preserve">, </w:t>
      </w:r>
      <w:proofErr w:type="spellStart"/>
      <w:r w:rsidRPr="003F1838">
        <w:t>Gazsó</w:t>
      </w:r>
      <w:proofErr w:type="spellEnd"/>
      <w:r w:rsidRPr="003F1838">
        <w:t>/Ungaria</w:t>
      </w:r>
      <w:r w:rsidRPr="003F1838">
        <w:rPr>
          <w:rStyle w:val="FootnoteReference"/>
          <w:szCs w:val="24"/>
        </w:rPr>
        <w:footnoteReference w:id="9"/>
      </w:r>
      <w:r w:rsidRPr="003F1838">
        <w:t xml:space="preserve">, </w:t>
      </w:r>
      <w:proofErr w:type="spellStart"/>
      <w:r w:rsidRPr="003F1838">
        <w:t>Ilias</w:t>
      </w:r>
      <w:proofErr w:type="spellEnd"/>
      <w:r w:rsidRPr="003F1838">
        <w:t xml:space="preserve"> și Ahmed/Ungaria</w:t>
      </w:r>
      <w:r w:rsidRPr="003F1838">
        <w:rPr>
          <w:rStyle w:val="FootnoteReference"/>
          <w:szCs w:val="24"/>
        </w:rPr>
        <w:footnoteReference w:id="10"/>
      </w:r>
      <w:r w:rsidRPr="003F1838">
        <w:t xml:space="preserve"> și </w:t>
      </w:r>
      <w:proofErr w:type="spellStart"/>
      <w:r w:rsidRPr="003F1838">
        <w:t>Baka</w:t>
      </w:r>
      <w:proofErr w:type="spellEnd"/>
      <w:r w:rsidRPr="003F1838">
        <w:t>/Ungaria</w:t>
      </w:r>
      <w:r w:rsidRPr="003F1838">
        <w:rPr>
          <w:rStyle w:val="FootnoteReference"/>
          <w:szCs w:val="24"/>
        </w:rPr>
        <w:footnoteReference w:id="11"/>
      </w:r>
      <w:r w:rsidRPr="003F1838">
        <w:t>, Comitetul de Miniștri al Consiliului Europei și-a reiterat îngrijorarea cu privire la neexecutarea acestor hotărâri;</w:t>
      </w:r>
    </w:p>
    <w:p w:rsidR="004478C6" w:rsidRPr="003F1838" w:rsidRDefault="004478C6" w:rsidP="004478C6">
      <w:pPr>
        <w:pStyle w:val="NormalHanging12a"/>
        <w:rPr>
          <w:szCs w:val="24"/>
        </w:rPr>
      </w:pPr>
      <w:r w:rsidRPr="003F1838">
        <w:t>V.</w:t>
      </w:r>
      <w:r w:rsidRPr="003F1838">
        <w:tab/>
        <w:t xml:space="preserve">întrucât, în raportul său de evaluare a celei de a cincea runde de evaluare privind Ungaria, </w:t>
      </w:r>
      <w:r w:rsidRPr="003F1838">
        <w:rPr>
          <w:shd w:val="clear" w:color="auto" w:fill="FFFFFF"/>
        </w:rPr>
        <w:t>Grupul de state împotriva corupției</w:t>
      </w:r>
      <w:r w:rsidRPr="003F1838">
        <w:t xml:space="preserve"> (GRECO) a exprimat numeroase preocupări cu privire la eficacitatea cadrului în vigoare în Ungaria pentru a preveni </w:t>
      </w:r>
      <w:r w:rsidRPr="003F1838">
        <w:lastRenderedPageBreak/>
        <w:t>corupția în rândul persoanelor cu funcții de conducere superioară și al membrilor poliției naționale ungare și ai Serviciului Național de Protecție; întrucât GRECO a indicat că o caracteristică comună și generală a administrației publice și a agențiilor de aplicare a legii din Ungaria este că majoritatea măsurilor de integritate și de prevenire a corupției vizează funcționarii de nivel jos și mediu, dar cadrul de integritate aplicabil persoanelor cu funcții de conducere superioară este foarte slab, iar condițiile pentru numirea cadrelor de conducere superioară din poliție și din Serviciul Național de Protecție prezintă riscuri de politizare;</w:t>
      </w:r>
    </w:p>
    <w:p w:rsidR="004478C6" w:rsidRPr="003F1838" w:rsidRDefault="004478C6" w:rsidP="004478C6">
      <w:pPr>
        <w:pStyle w:val="NormalHanging12a"/>
        <w:rPr>
          <w:szCs w:val="24"/>
        </w:rPr>
      </w:pPr>
      <w:r w:rsidRPr="003F1838">
        <w:t>W.</w:t>
      </w:r>
      <w:r w:rsidRPr="003F1838">
        <w:tab/>
        <w:t xml:space="preserve">întrucât, în raportul său, Comisia Europeană împotriva Rasismului și Intoleranței a salutat unele evoluții pozitive din Ungaria, dar și-a exprimat îngrijorarea cu privire la desființarea Autorității pentru egalitatea de tratament, stigmatizarea studenților din medii defavorizate și din familii cu venituri mici, cum ar fi studenții romi, deteriorarea semnificativă a drepturilor omului în cazul persoanelor LGBTI, discursul public din ce în ce mai xenofob și discursul politic care vizează în special refugiații, solicitanții de azil, </w:t>
      </w:r>
      <w:proofErr w:type="spellStart"/>
      <w:r w:rsidRPr="003F1838">
        <w:t>migranții</w:t>
      </w:r>
      <w:proofErr w:type="spellEnd"/>
      <w:r w:rsidRPr="003F1838">
        <w:t>, musulmanii și persoanele LGBTI, eficacitatea extrem de limitată a cadrului juridic privind discursurile de incitare la ură, neimplementarea strategiilor naționale de incluziune socială, încetarea sprijinului pentru integrarea refugiaților și a persoanelor care beneficiază de protecție subsidiară și accesul limitat la azil în țară;</w:t>
      </w:r>
    </w:p>
    <w:p w:rsidR="004478C6" w:rsidRPr="003F1838" w:rsidRDefault="004478C6" w:rsidP="004478C6">
      <w:pPr>
        <w:pStyle w:val="NormalHanging12a"/>
        <w:rPr>
          <w:szCs w:val="24"/>
        </w:rPr>
      </w:pPr>
      <w:r w:rsidRPr="003F1838">
        <w:t>X.</w:t>
      </w:r>
      <w:r w:rsidRPr="003F1838">
        <w:tab/>
        <w:t>întrucât, în observațiile sale finale, Comitetul ONU pentru eliminarea discriminării împotriva femeilor și-a exprimat îngrijorarea în legătură cu sănătatea sexuală și reproductivă și drepturile aferente și cu faptul că politica de egalitate a Ungariei se bazează exclusiv pe conceptul de familie și consideră că rolul principal al femeii este de a fi soție și mamă și a recomandat Ungariei să ia măsuri pentru a elimina discursul public împotriva egalității de gen;</w:t>
      </w:r>
    </w:p>
    <w:p w:rsidR="004478C6" w:rsidRPr="003F1838" w:rsidRDefault="004478C6" w:rsidP="004478C6">
      <w:pPr>
        <w:pStyle w:val="NormalHanging12a"/>
        <w:rPr>
          <w:szCs w:val="24"/>
        </w:rPr>
      </w:pPr>
      <w:r w:rsidRPr="003F1838">
        <w:t>Y.</w:t>
      </w:r>
      <w:r w:rsidRPr="003F1838">
        <w:tab/>
        <w:t xml:space="preserve">întrucât, în declarația sa în urma unei vizite oficiale în Ungaria, reprezentanta </w:t>
      </w:r>
      <w:r w:rsidRPr="003F1838">
        <w:rPr>
          <w:shd w:val="clear" w:color="auto" w:fill="FFFFFF"/>
        </w:rPr>
        <w:t>Organizației pentru Securitate și Cooperare în Europa</w:t>
      </w:r>
      <w:r w:rsidRPr="003F1838">
        <w:t xml:space="preserve"> pentru libertatea mass-mediei a declarat că, atunci când se analizează situația libertății mass-mediei din Ungaria, se observă o abordare sistemică în care unele voci nu se bucură de aceleași condiții de bază pentru a se exprima;</w:t>
      </w:r>
    </w:p>
    <w:p w:rsidR="004478C6" w:rsidRPr="003F1838" w:rsidRDefault="004478C6" w:rsidP="004478C6">
      <w:pPr>
        <w:pStyle w:val="NormalHanging12a"/>
        <w:rPr>
          <w:szCs w:val="24"/>
        </w:rPr>
      </w:pPr>
      <w:r w:rsidRPr="003F1838">
        <w:t>Z.</w:t>
      </w:r>
      <w:r w:rsidRPr="003F1838">
        <w:tab/>
        <w:t>întrucât, în recomandarea sa privind Programul național de reformă al Ungariei pentru 2023 și care include un aviz al Consiliului privind Programul de convergență al Ungariei pentru 2023 (COM(2023)0617), Consiliul a recomandat Ungariei să ia măsuri pentru a îmbunătăți caracterul adecvat al sistemului de asistență socială, a îmbunătăți accesul la măsuri active eficace pe piața muncii, a asigura un dialog social eficient și pentru a îmbunătăți cadrul de reglementare și concurența în domeniul serviciilor, în concordanță cu principiile pieței unice și ale statului de drept;</w:t>
      </w:r>
    </w:p>
    <w:p w:rsidR="004478C6" w:rsidRPr="003F1838" w:rsidRDefault="004478C6" w:rsidP="004478C6">
      <w:pPr>
        <w:pStyle w:val="NormalHanging12a"/>
        <w:rPr>
          <w:szCs w:val="24"/>
        </w:rPr>
      </w:pPr>
      <w:r w:rsidRPr="003F1838">
        <w:t>AA.</w:t>
      </w:r>
      <w:r w:rsidRPr="003F1838">
        <w:tab/>
        <w:t>întrucât guvernul ungar nu a pus în aplicare mai multe hotărâri ale Curții Constituționale a Ungariei, ale CJUE și ale CEDO referitoare la încălcări de către Ungaria ale valorilor consacrate la articolul 2 din TUE și nu a dat curs marii majorități a recomandărilor cuprinse în Raportul Comisiei din 2023 privind statul de drept sau recomandărilor altor organisme internaționale, cum ar fi GRECO, Comisia de la Veneția și altele,</w:t>
      </w:r>
    </w:p>
    <w:p w:rsidR="004478C6" w:rsidRPr="003F1838" w:rsidRDefault="004478C6" w:rsidP="004478C6">
      <w:pPr>
        <w:pStyle w:val="NormalHanging12a"/>
        <w:rPr>
          <w:szCs w:val="24"/>
        </w:rPr>
      </w:pPr>
      <w:r w:rsidRPr="003F1838">
        <w:t>1.</w:t>
      </w:r>
      <w:r w:rsidRPr="003F1838">
        <w:tab/>
        <w:t>este consternat de persistenta încălcare sistemică și deliberată a democrației, a statului de drept și a drepturilor fundamentale în Ungaria, pentru care guvernul ungar poartă răspunderea;</w:t>
      </w:r>
    </w:p>
    <w:p w:rsidR="004478C6" w:rsidRPr="003F1838" w:rsidRDefault="004478C6" w:rsidP="004478C6">
      <w:pPr>
        <w:pStyle w:val="NormalHanging12a"/>
        <w:rPr>
          <w:szCs w:val="24"/>
        </w:rPr>
      </w:pPr>
      <w:r w:rsidRPr="003F1838">
        <w:lastRenderedPageBreak/>
        <w:t>2.</w:t>
      </w:r>
      <w:r w:rsidRPr="003F1838">
        <w:tab/>
        <w:t>subliniază că respectarea valorilor consacrate la articolul 2 din TUE s-a deteriorat substanțial în Ungaria de la declanșarea articolului 7 alineatul (1) din TUE și își exprimă regretul profund cu privire la faptul că lipsa unei acțiuni decisive din partea Comisiei și a Consiliului a contribuit la deteriorarea democrației, a statului de drept și a drepturilor fundamentale în această țară, care a devenit un regim hibrid de autocrație electorală, potrivit indicilor relevanți;</w:t>
      </w:r>
    </w:p>
    <w:p w:rsidR="004478C6" w:rsidRPr="003F1838" w:rsidRDefault="004478C6" w:rsidP="004478C6">
      <w:pPr>
        <w:pStyle w:val="NormalHanging12a"/>
        <w:rPr>
          <w:szCs w:val="24"/>
        </w:rPr>
      </w:pPr>
      <w:r w:rsidRPr="003F1838">
        <w:t>3.</w:t>
      </w:r>
      <w:r w:rsidRPr="003F1838">
        <w:tab/>
        <w:t>condamnă adoptarea Legii privind protecția suveranității naționale și crearea Oficiului pentru protecția suveranității (OPS) cu puteri extinse și un sistem strict de supraveghere și sancțiuni, care încalcă în mod fundamental standardele democrației, cum ar fi principiul alegerilor libere și corecte, statul de drept și drepturile fundamentale, și încalcă mai multe legi ale UE; salută procedura de constatare a neîndeplinirii obligațiilor inițiată de Comisie împotriva Ungariei în această privință; invită guvernul ungar să abroge imediat această lege;</w:t>
      </w:r>
      <w:r w:rsidR="006A1FD0" w:rsidRPr="003F1838">
        <w:t xml:space="preserve"> invită Comisia să solicite CJUE suspendarea imediată a aplicării legii menționate anterior ca măsură provizorie, deoarece această lege afectează principiul alegerilor libere și corecte;</w:t>
      </w:r>
    </w:p>
    <w:p w:rsidR="004478C6" w:rsidRPr="003F1838" w:rsidRDefault="004478C6" w:rsidP="004478C6">
      <w:pPr>
        <w:pStyle w:val="NormalHanging12a"/>
        <w:rPr>
          <w:szCs w:val="24"/>
        </w:rPr>
      </w:pPr>
      <w:r w:rsidRPr="003F1838">
        <w:t>4.</w:t>
      </w:r>
      <w:r w:rsidRPr="003F1838">
        <w:tab/>
        <w:t>regretă incapacitatea Consiliului de a înregistra progrese semnificative în procedura în curs în temeiul articolului 7 alineatul (1) din TUE și își reiterează apelul de a îmbunătăți situația prin organizarea de audieri periodice, prin rezolvarea rapidă a problemelor noi și vechi care afectează statul de drept, democrația și drepturile fundamentale și prin emiterea de recomandări concrete cu termene de punere în aplicare; invită Consiliul să publice procese-verbale și concluzii detaliate după fiecare audiere; insistă asupra faptului că, în toate procedurile legate de articolul 7 din TUE, Parlamentul ar trebui să fie în măsură să prezinte Consiliului propunerea sa motivată, să participe la audierile organizate în temeiul articolului 7 din TUE și să fie informat cu promptitudine și pe deplin în fiecare etapă a procedurii; invită Comisia și statele membre să inițieze procedura prevăzută la articolul 7 alineatul (2) din TUE și invită Consiliul European să stabilească dacă Ungaria a comis încălcări grave și persistente ale valorilor UE în temeiul articolului 7 alineatul (2) din TUE, dacă nu se înregistrează progrese înainte de sfârșitul președinției belgiene; subliniază că Consiliului îi revine o parte din responsabilitatea pentru protecția valorilor consacrate la articolul 2 din TUE și că, dacă nu le protejează, ar putea exista consecințe de lungă durată și potențial dăunătoare;</w:t>
      </w:r>
    </w:p>
    <w:p w:rsidR="004478C6" w:rsidRPr="003F1838" w:rsidRDefault="004478C6" w:rsidP="004478C6">
      <w:pPr>
        <w:pStyle w:val="NormalHanging12a"/>
        <w:rPr>
          <w:szCs w:val="24"/>
        </w:rPr>
      </w:pPr>
      <w:r w:rsidRPr="003F1838">
        <w:t>5.</w:t>
      </w:r>
      <w:r w:rsidRPr="003F1838">
        <w:tab/>
        <w:t>remarcă rolul important al președinției Consiliului în impulsionarea lucrărilor Consiliului privind legislația UE, asigurând continuitatea agendei UE și reprezentând Consiliul în relațiile cu celelalte instituții ale UE; își exprimă din nou îngrijorarea că guvernul ungar nu va fi capabil să-și îndeplinească această sarcină în mod credibil în 2024, având în vedere nerespectarea dreptului UE și a valorilor consacrate la articolul 2 din TUE, dar și a principiului cooperării loiale; regretă faptul că Consiliul nu a găsit încă o soluție la această problemă și că reprezentanții guvernului ungar vor prezida reuniunile Consiliului despre democrație, statul de drept și drepturile fundamentale, inclusiv reuniunile legate de protejarea intereselor financiare și a bugetului UE; subliniază că această problemă apare în momentul crucial al alegerilor europene și al formării Comisiei; regretă faptul că nu s-a găsit o soluție și își reiterează disponibilitatea de a lua măsuri pentru a apăra credibilitatea Uniunii în domeniul valorilor consacrate la articolul 2 din TUE în cadrul cooperării cu Consiliul;</w:t>
      </w:r>
    </w:p>
    <w:p w:rsidR="004478C6" w:rsidRPr="003F1838" w:rsidRDefault="004478C6" w:rsidP="004478C6">
      <w:pPr>
        <w:pStyle w:val="NormalHanging12a"/>
        <w:rPr>
          <w:szCs w:val="24"/>
        </w:rPr>
      </w:pPr>
      <w:r w:rsidRPr="003F1838">
        <w:t>6.</w:t>
      </w:r>
      <w:r w:rsidRPr="003F1838">
        <w:tab/>
        <w:t xml:space="preserve">invită Consiliul și Comisia să acorde mai multă atenție contracarării desființării sistematice a statului de drept și a modului în care sunt legate între ele diferitele încălcări ale valorilor, menționate în rezoluțiile sale; evidențiază că UE ar trebui să </w:t>
      </w:r>
      <w:r w:rsidRPr="003F1838">
        <w:lastRenderedPageBreak/>
        <w:t>apere toate valorile consacrate la articolul 2 din TUE cu aceeași hotărâre și că lipsa de acțiune în acest sens subminează instituțiile democratice și, în cele din urmă, afectează drepturile omului și viața tuturor persoanelor din țările în care aceste valori sunt încălcate;</w:t>
      </w:r>
    </w:p>
    <w:p w:rsidR="004478C6" w:rsidRPr="003F1838" w:rsidRDefault="004478C6" w:rsidP="004478C6">
      <w:pPr>
        <w:pStyle w:val="NormalHanging12a"/>
        <w:rPr>
          <w:szCs w:val="24"/>
        </w:rPr>
      </w:pPr>
      <w:r w:rsidRPr="003F1838">
        <w:t>7.</w:t>
      </w:r>
      <w:r w:rsidRPr="003F1838">
        <w:tab/>
        <w:t>își reia apelul adresat Comisiei de a recurge fără reținere la instrumentele disponibile pentru a răspunde riscului clar de încălcare gravă de către Ungaria a valorilor pe care se întemeiază UE, în special la procedurile accelerate de constatare a neîndeplinirii obligațiilor, la cererea unor măsuri provizorii în fața CJUE și la acțiuni privind neexecutarea hotărârilor CJUE; reamintește importanța Regulamentului privind mecanismul de condiționalitate bazat pe statul de drept și salută Decizia Comisiei din 13 decembrie 2023 care confirmă că riscul pentru bugetul Uniunii a rămas neschimbat din decembrie 2022, ceea ce a dus la prelungirea măsurilor adoptate în temeiul regulamentului; invită Comisia să ia măsuri imediate în temeiul regulamentului în ceea ce privește alte încălcări ale statului de drept;</w:t>
      </w:r>
    </w:p>
    <w:p w:rsidR="004478C6" w:rsidRPr="003F1838" w:rsidRDefault="004478C6" w:rsidP="004478C6">
      <w:pPr>
        <w:pStyle w:val="NormalHanging12a"/>
        <w:rPr>
          <w:szCs w:val="24"/>
        </w:rPr>
      </w:pPr>
      <w:r w:rsidRPr="003F1838">
        <w:t>8.</w:t>
      </w:r>
      <w:r w:rsidRPr="003F1838">
        <w:tab/>
        <w:t xml:space="preserve">își exprimă din nou, în acest context, profunda îngrijorare cu privire la decizia Comisiei în care se afirmă că a fost îndeplinită condiția favorizantă orizontală din Cartă în legătură cu independența sistemului judiciar, ceea ce a permis autorităților ungare să depună cereri de rambursare în valoare de până la 10,2 miliarde EUR fără mecanisme de control sau proceduri de achiziții publice adecvate care să garanteze buna gestiune financiară sau protecția bugetului UE; reamintește că Parlamentul a depus, la 25 martie 2024, la CJUE, o cerere de a controla legalitatea Deciziei C(2023)9014, în conformitate cu articolul 263 din TFUE; așteaptă cu interes o soluționare rapidă a acestei chestiuni; își reiterează apelul adresat Comisiei de a-și </w:t>
      </w:r>
      <w:r w:rsidR="006A1FD0" w:rsidRPr="003F1838">
        <w:t xml:space="preserve">revoca </w:t>
      </w:r>
      <w:r w:rsidRPr="003F1838">
        <w:t xml:space="preserve">decizia, în special având în vedere măsurile naționale luate de la adoptarea sa și dezvăluirile fostului ministru al justiției din Ungaria, care sugerează o lipsă de independență în cadrul urmăririi penale și ingerințe politice în procedurile penale; invită Comisia să </w:t>
      </w:r>
      <w:r w:rsidR="006A1FD0" w:rsidRPr="003F1838">
        <w:t>înghețe fondurile</w:t>
      </w:r>
      <w:r w:rsidRPr="003F1838">
        <w:t xml:space="preserve"> până la punerea în aplicare integrală a legislației relevante, până când măsurile adoptate își dovedesc eficacitatea în practică, iar Ungaria pune în aplicare toate hotărârile relevante ale CJUE și ale CEDO; solicită Comisiei să controleze cu atenție prefinanțarea acordată în cadrul finanțării UE pentru a se asigura că fondurile sunt executate în conformitate cu obiectivele legislației respective; își reiterează apelul adresat Ungariei de a adera de urgență la EPPO;</w:t>
      </w:r>
      <w:r w:rsidR="006A1FD0" w:rsidRPr="003F1838">
        <w:t xml:space="preserve"> invită Comisia să îndemne Ungaria să participe la EPPO;</w:t>
      </w:r>
    </w:p>
    <w:p w:rsidR="004478C6" w:rsidRPr="003F1838" w:rsidRDefault="004478C6" w:rsidP="004478C6">
      <w:pPr>
        <w:pStyle w:val="NormalHanging12a"/>
        <w:rPr>
          <w:szCs w:val="24"/>
        </w:rPr>
      </w:pPr>
      <w:r w:rsidRPr="003F1838">
        <w:t>9.</w:t>
      </w:r>
      <w:r w:rsidRPr="003F1838">
        <w:tab/>
        <w:t>insistă asupra faptului că măsurile necesare pentru deblocarea finanțării din partea UE, așa cum sunt definite în deciziile relevante luate în temeiul Regulamentului privind dispozițiile comune (RDC)</w:t>
      </w:r>
      <w:r w:rsidRPr="003F1838">
        <w:rPr>
          <w:rStyle w:val="FootnoteReference"/>
          <w:szCs w:val="24"/>
        </w:rPr>
        <w:footnoteReference w:id="12"/>
      </w:r>
      <w:r w:rsidRPr="003F1838">
        <w:t>, al Regulamentului privind Mecanismul de redresare și reziliență (MRR)</w:t>
      </w:r>
      <w:r w:rsidRPr="003F1838">
        <w:rPr>
          <w:rStyle w:val="FootnoteReference"/>
          <w:szCs w:val="24"/>
        </w:rPr>
        <w:footnoteReference w:id="13"/>
      </w:r>
      <w:r w:rsidRPr="003F1838">
        <w:t xml:space="preserve"> și al Regulamentului privind mecanismul de condiționalitate bazat pe statul de drept, trebuie evaluate în mod coerent, ca pachet integral, și că nu ar trebui </w:t>
      </w:r>
      <w:r w:rsidRPr="003F1838">
        <w:lastRenderedPageBreak/>
        <w:t>efectuate plăți, chiar dacă se înregistrează progrese în unul sau mai multe domenii, dar deficiențele persistă în altul; subliniază că este de neînțeles să se deblocheze fonduri în temeiul RDC, invocând îmbunătățiri ale independenței justiției, în timp ce fondurile care depind de MRR și mecanismul de condiționalitate rămân blocate din cauza deficiențelor actuale legate de independența justiției;</w:t>
      </w:r>
    </w:p>
    <w:p w:rsidR="004478C6" w:rsidRPr="003F1838" w:rsidRDefault="004478C6" w:rsidP="004478C6">
      <w:pPr>
        <w:pStyle w:val="NormalHanging12a"/>
        <w:rPr>
          <w:szCs w:val="24"/>
        </w:rPr>
      </w:pPr>
      <w:r w:rsidRPr="003F1838">
        <w:t>10.</w:t>
      </w:r>
      <w:r w:rsidRPr="003F1838">
        <w:tab/>
        <w:t>ia act de înființarea Autorității pentru Integritate ca una dintre măsurile de remediere care trebuie puse în aplicare în cadrul Regulamentului privind mecanismul de condiționalitate bazat pe statul de drept; este de părere că simpla înființare a instituției nu poate fi considerată suficientă pentru a răspunde preocupărilor actuale și consideră că implementarea măsurilor de remediere respective ar trebui evaluată pe baza funcționării în practică a acestei instituții; consideră că, dacă dispune de prerogative și competențe de executare adecvate, Autoritatea pentru Integritate are potențialul de a soluționa unele dintre preocupările legate de situația statului de drept din Ungaria, în special combaterea corupției; își exprimă, cu toate acestea, îngrijorarea că, în practică, nu are competența și prerogativele necesare pentru a-și îndeplini sarcinile în mod adecvat, astfel cum s-a văzut în primul an de funcționare; insistă să i se acorde competențe suplimentare și ca aceste competențe să poată fi puse în aplicare, în special prin acordarea unui acces adecvat la bazele de date relevante, prin consolidarea competențelor sale de investigare și prin impunerea obligativității adoptării recomandărilor sale;</w:t>
      </w:r>
    </w:p>
    <w:p w:rsidR="004478C6" w:rsidRPr="003F1838" w:rsidRDefault="004478C6" w:rsidP="004478C6">
      <w:pPr>
        <w:pStyle w:val="NormalHanging12a"/>
        <w:rPr>
          <w:szCs w:val="24"/>
        </w:rPr>
      </w:pPr>
      <w:r w:rsidRPr="003F1838">
        <w:t>11.</w:t>
      </w:r>
      <w:r w:rsidRPr="003F1838">
        <w:tab/>
        <w:t>evidențiază că respectarea legislației UE, inclusiv a normelor privind piața unică, reprezintă un pilon central al principiului statului de drept; invită Comisia să includă o evaluare a situației pieței unice dintr-un stat membru în evaluarea situației statului de drept din fiecare stat membru; este preocupat de abuzul de putere și de practicile discriminatorii sistemice aplicate de autoritățile maghiare împotriva companiilor care își desfășoară activitatea în domenii definite ca fiind de interes strategic pentru guvernul ungar și oligarhii ungari; subliniază că acest lucru a creat un mediu de discriminare și teamă care contravine pilonilor pieței unice și periclitează în mod grav unele întreprinderi și interesele lor legitime de afaceri și le forțează de facto să iasă de pe piața ungară; invită Comisia să acorde o atenție deosebită respectării regulilor pieței unice atunci când evaluează situația statului de drept în Ungaria; invită Comisia să examineze dacă legile privind domeniile definite ca fiind de interes strategic pentru guvernul ungar sunt în conformitate cu dreptul european în vigoare; reliefează că Comisia are datoria să dea curs rapid plângerilor depuse de companiile care sunt vizate în mod sistematic de autoritățile maghiare și să aducă în fața CJUE cazurile relevante;</w:t>
      </w:r>
    </w:p>
    <w:p w:rsidR="004478C6" w:rsidRPr="003F1838" w:rsidRDefault="004478C6" w:rsidP="004478C6">
      <w:pPr>
        <w:pStyle w:val="NormalHanging12a"/>
        <w:rPr>
          <w:szCs w:val="24"/>
        </w:rPr>
      </w:pPr>
      <w:r w:rsidRPr="003F1838">
        <w:t>12.</w:t>
      </w:r>
      <w:r w:rsidRPr="003F1838">
        <w:tab/>
        <w:t>regretă faptul că Ungaria a abuzat de puterea sa de veto în Consiliu, împiedicând acordarea de ajutoare esențiale Ucrainei, subminând astfel interesele strategice ale UE; condamnă politica generală a guvernului ungar față de Rusia;</w:t>
      </w:r>
    </w:p>
    <w:p w:rsidR="004478C6" w:rsidRPr="003F1838" w:rsidRDefault="004478C6" w:rsidP="004478C6">
      <w:pPr>
        <w:pStyle w:val="NormalHanging12a"/>
        <w:rPr>
          <w:szCs w:val="24"/>
        </w:rPr>
      </w:pPr>
      <w:r w:rsidRPr="003F1838">
        <w:t>13.</w:t>
      </w:r>
      <w:r w:rsidRPr="003F1838">
        <w:tab/>
        <w:t>își reia apelul adresat Comisiei de a se asigura că destinatarii sau beneficiarii finali ai fondurilor UE nu sunt privați de aceste fonduri, astfel cum se prevede în Regulamentul privind mecanismul de condiționalitate bazat pe statul de drept; invită Comisia să găsească modalități de distribuire a fondurilor UE prin autoritățile locale și regionale și prin societatea civilă, dacă guvernul în cauză nu cooperează pentru eliminarea deficiențelor în asigurarea statului de drept;</w:t>
      </w:r>
    </w:p>
    <w:p w:rsidR="004478C6" w:rsidRPr="003F1838" w:rsidRDefault="004478C6" w:rsidP="004478C6">
      <w:pPr>
        <w:pStyle w:val="NormalHanging12a"/>
        <w:rPr>
          <w:szCs w:val="24"/>
        </w:rPr>
      </w:pPr>
      <w:r w:rsidRPr="003F1838">
        <w:t>14.</w:t>
      </w:r>
      <w:r w:rsidRPr="003F1838">
        <w:tab/>
        <w:t xml:space="preserve">evidențiază că autoritățile maghiare trebuie să garanteze transparența și egalitatea de șanse pentru persoanele fizice, companii, societatea civilă, organizațiile neguvernamentale și autoritățile locale și regionale care doresc să aibă acces la finanțare </w:t>
      </w:r>
      <w:r w:rsidRPr="003F1838">
        <w:lastRenderedPageBreak/>
        <w:t>din partea UE și trebuie să asigure o supraveghere judiciară independentă, precum și mecanisme imparțiale și eficace de depunere a plângerilor; condamnă practicile discriminatorii sistemice raportate care sunt folosite împotriva mediului academic, a jurnaliștilor, a partidelor politice și a societății civile, precum și a întreprinderilor din anumite sectoare;</w:t>
      </w:r>
    </w:p>
    <w:p w:rsidR="004478C6" w:rsidRPr="003F1838" w:rsidRDefault="004478C6" w:rsidP="004478C6">
      <w:pPr>
        <w:pStyle w:val="NormalHanging12a"/>
        <w:rPr>
          <w:szCs w:val="24"/>
        </w:rPr>
      </w:pPr>
      <w:r w:rsidRPr="003F1838">
        <w:t>15.</w:t>
      </w:r>
      <w:r w:rsidRPr="003F1838">
        <w:tab/>
        <w:t>invită Comisia să sprijine societatea civilă independentă din Ungaria, care protejează valorile consacrate la articolul 2 din TUE, în special prin utilizarea programului „Cetățeni, egalitate, drepturi și valori”; își reiterează apelul adresat Comisiei de a adopta o strategie cuprinzătoare pentru societatea civilă, cu scopul de a proteja și dezvolta spațiul civic în cadrul UE, care să cuprindă toate instrumentele existente și să prezinte o serie de măsuri specifice pentru protejarea și consolidarea spațiului civic;</w:t>
      </w:r>
    </w:p>
    <w:p w:rsidR="004478C6" w:rsidRPr="003F1838" w:rsidRDefault="004478C6" w:rsidP="004478C6">
      <w:pPr>
        <w:pStyle w:val="NormalHanging12a"/>
        <w:rPr>
          <w:szCs w:val="24"/>
        </w:rPr>
      </w:pPr>
      <w:r w:rsidRPr="003F1838">
        <w:t>16.</w:t>
      </w:r>
      <w:r w:rsidRPr="003F1838">
        <w:tab/>
        <w:t>își reiterează apelul adresat Comisiei și Consiliului de a iniția imediat negocieri cu Parlamentul referitoare la un mecanism al UE pentru democrație, statul de drept și drepturile fundamentale, sub forma unui acord interinstituțional și referitoare la includerea unui ciclu de politici permanent al instituțiilor UE;</w:t>
      </w:r>
    </w:p>
    <w:p w:rsidR="004478C6" w:rsidRPr="003F1838" w:rsidRDefault="004478C6" w:rsidP="004478C6">
      <w:pPr>
        <w:pStyle w:val="NormalHanging12a"/>
        <w:rPr>
          <w:szCs w:val="24"/>
        </w:rPr>
      </w:pPr>
      <w:r w:rsidRPr="003F1838">
        <w:t>17.</w:t>
      </w:r>
      <w:r w:rsidRPr="003F1838">
        <w:tab/>
        <w:t>încredințează Președintei sarcina de a transmite prezenta rezoluție Consiliului, Comisiei, guvernelor și parlamentelor statelor membre, Consiliului Europei, Organizației pentru Securitate și Cooperare în Europa și Organizației Națiunilor Unite.</w:t>
      </w:r>
    </w:p>
    <w:p w:rsidR="00E365E1" w:rsidRPr="003F1838" w:rsidRDefault="00E365E1" w:rsidP="006F690E">
      <w:bookmarkStart w:id="8" w:name="TextBodyEnd"/>
      <w:bookmarkEnd w:id="8"/>
    </w:p>
    <w:sectPr w:rsidR="00E365E1" w:rsidRPr="003F1838" w:rsidSect="00182B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90E" w:rsidRPr="00182B1A" w:rsidRDefault="006F690E">
      <w:r w:rsidRPr="00182B1A">
        <w:separator/>
      </w:r>
    </w:p>
  </w:endnote>
  <w:endnote w:type="continuationSeparator" w:id="0">
    <w:p w:rsidR="006F690E" w:rsidRPr="00182B1A" w:rsidRDefault="006F690E">
      <w:r w:rsidRPr="00182B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90E" w:rsidRPr="00182B1A" w:rsidRDefault="006F690E">
      <w:r w:rsidRPr="00182B1A">
        <w:separator/>
      </w:r>
    </w:p>
  </w:footnote>
  <w:footnote w:type="continuationSeparator" w:id="0">
    <w:p w:rsidR="006F690E" w:rsidRPr="00182B1A" w:rsidRDefault="006F690E">
      <w:r w:rsidRPr="00182B1A">
        <w:continuationSeparator/>
      </w:r>
    </w:p>
  </w:footnote>
  <w:footnote w:id="1">
    <w:p w:rsidR="004478C6" w:rsidRPr="006A1FD0" w:rsidRDefault="004478C6" w:rsidP="00182B1A">
      <w:pPr>
        <w:pStyle w:val="FootnoteText"/>
        <w:ind w:left="567" w:hanging="567"/>
        <w:rPr>
          <w:i/>
          <w:sz w:val="24"/>
          <w:szCs w:val="24"/>
          <w:lang w:val="ro-RO"/>
        </w:rPr>
      </w:pPr>
      <w:r w:rsidRPr="00182B1A">
        <w:rPr>
          <w:rStyle w:val="FootnoteReference"/>
          <w:sz w:val="24"/>
          <w:szCs w:val="24"/>
          <w:lang w:val="ro-RO"/>
        </w:rPr>
        <w:footnoteRef/>
      </w:r>
      <w:r w:rsidR="00182B1A" w:rsidRPr="00182B1A">
        <w:rPr>
          <w:rStyle w:val="Emphasis"/>
          <w:sz w:val="24"/>
          <w:szCs w:val="24"/>
          <w:shd w:val="clear" w:color="auto" w:fill="FFFFFF"/>
          <w:lang w:val="ro-RO"/>
        </w:rPr>
        <w:t xml:space="preserve"> </w:t>
      </w:r>
      <w:r w:rsidR="00182B1A" w:rsidRPr="00182B1A">
        <w:rPr>
          <w:rStyle w:val="Emphasis"/>
          <w:sz w:val="24"/>
          <w:szCs w:val="24"/>
          <w:shd w:val="clear" w:color="auto" w:fill="FFFFFF"/>
          <w:lang w:val="ro-RO"/>
        </w:rPr>
        <w:tab/>
      </w:r>
      <w:r w:rsidRPr="006A1FD0">
        <w:rPr>
          <w:rStyle w:val="Emphasis"/>
          <w:i w:val="0"/>
          <w:sz w:val="24"/>
          <w:szCs w:val="24"/>
          <w:shd w:val="clear" w:color="auto" w:fill="FFFFFF"/>
          <w:lang w:val="ro-RO"/>
        </w:rPr>
        <w:t>JO C 433, 23.12.2019, p. 66.</w:t>
      </w:r>
    </w:p>
  </w:footnote>
  <w:footnote w:id="2">
    <w:p w:rsidR="004478C6" w:rsidRPr="006A1FD0" w:rsidRDefault="004478C6" w:rsidP="00182B1A">
      <w:pPr>
        <w:pStyle w:val="FootnoteText"/>
        <w:ind w:left="567" w:hanging="567"/>
        <w:rPr>
          <w:i/>
          <w:sz w:val="24"/>
          <w:szCs w:val="24"/>
          <w:lang w:val="ro-RO"/>
        </w:rPr>
      </w:pPr>
      <w:r w:rsidRPr="00182B1A">
        <w:rPr>
          <w:rStyle w:val="FootnoteReference"/>
          <w:sz w:val="24"/>
          <w:szCs w:val="24"/>
          <w:lang w:val="ro-RO"/>
        </w:rPr>
        <w:footnoteRef/>
      </w:r>
      <w:r w:rsidR="00182B1A" w:rsidRPr="00182B1A">
        <w:rPr>
          <w:rStyle w:val="Emphasis"/>
          <w:sz w:val="24"/>
          <w:szCs w:val="24"/>
          <w:shd w:val="clear" w:color="auto" w:fill="FFFFFF"/>
          <w:lang w:val="ro-RO"/>
        </w:rPr>
        <w:t xml:space="preserve"> </w:t>
      </w:r>
      <w:r w:rsidR="00182B1A" w:rsidRPr="00182B1A">
        <w:rPr>
          <w:rStyle w:val="Emphasis"/>
          <w:sz w:val="24"/>
          <w:szCs w:val="24"/>
          <w:shd w:val="clear" w:color="auto" w:fill="FFFFFF"/>
          <w:lang w:val="ro-RO"/>
        </w:rPr>
        <w:tab/>
      </w:r>
      <w:r w:rsidRPr="006A1FD0">
        <w:rPr>
          <w:rStyle w:val="Emphasis"/>
          <w:i w:val="0"/>
          <w:sz w:val="24"/>
          <w:szCs w:val="24"/>
          <w:shd w:val="clear" w:color="auto" w:fill="FFFFFF"/>
          <w:lang w:val="ro-RO"/>
        </w:rPr>
        <w:t>JO L 433</w:t>
      </w:r>
      <w:r w:rsidR="00C63296" w:rsidRPr="00FF6840">
        <w:rPr>
          <w:rStyle w:val="Emphasis"/>
          <w:i w:val="0"/>
          <w:sz w:val="24"/>
          <w:shd w:val="clear" w:color="auto" w:fill="FFFFFF"/>
          <w:lang w:val="lt-LT"/>
        </w:rPr>
        <w:t> </w:t>
      </w:r>
      <w:r w:rsidRPr="006A1FD0">
        <w:rPr>
          <w:rStyle w:val="Emphasis"/>
          <w:i w:val="0"/>
          <w:sz w:val="24"/>
          <w:szCs w:val="24"/>
          <w:shd w:val="clear" w:color="auto" w:fill="FFFFFF"/>
          <w:lang w:val="ro-RO"/>
        </w:rPr>
        <w:t>I, 22.12.2020, p. 1.</w:t>
      </w:r>
    </w:p>
  </w:footnote>
  <w:footnote w:id="3">
    <w:p w:rsidR="004478C6" w:rsidRPr="00D9128F" w:rsidRDefault="004478C6" w:rsidP="00182B1A">
      <w:pPr>
        <w:pStyle w:val="FootnoteText"/>
        <w:ind w:left="567" w:hanging="567"/>
        <w:rPr>
          <w:sz w:val="24"/>
          <w:szCs w:val="24"/>
          <w:lang w:val="ro-RO"/>
        </w:rPr>
      </w:pPr>
      <w:r w:rsidRPr="00182B1A">
        <w:rPr>
          <w:rStyle w:val="FootnoteReference"/>
          <w:sz w:val="24"/>
          <w:szCs w:val="24"/>
          <w:lang w:val="ro-RO"/>
        </w:rPr>
        <w:footnoteRef/>
      </w:r>
      <w:r w:rsidR="00182B1A" w:rsidRPr="00182B1A">
        <w:rPr>
          <w:rStyle w:val="Emphasis"/>
          <w:sz w:val="24"/>
          <w:szCs w:val="24"/>
          <w:shd w:val="clear" w:color="auto" w:fill="FFFFFF"/>
          <w:lang w:val="ro-RO"/>
        </w:rPr>
        <w:t xml:space="preserve"> </w:t>
      </w:r>
      <w:r w:rsidR="00182B1A" w:rsidRPr="00182B1A">
        <w:rPr>
          <w:rStyle w:val="Emphasis"/>
          <w:sz w:val="24"/>
          <w:szCs w:val="24"/>
          <w:shd w:val="clear" w:color="auto" w:fill="FFFFFF"/>
          <w:lang w:val="ro-RO"/>
        </w:rPr>
        <w:tab/>
      </w:r>
      <w:r w:rsidRPr="006A1FD0">
        <w:rPr>
          <w:rStyle w:val="Emphasis"/>
          <w:i w:val="0"/>
          <w:sz w:val="24"/>
          <w:szCs w:val="24"/>
          <w:shd w:val="clear" w:color="auto" w:fill="FFFFFF"/>
          <w:lang w:val="ro-RO"/>
        </w:rPr>
        <w:t>JO C 125, 5.4.2023, p. 463.</w:t>
      </w:r>
    </w:p>
  </w:footnote>
  <w:footnote w:id="4">
    <w:p w:rsidR="004478C6" w:rsidRPr="00D9128F" w:rsidRDefault="004478C6" w:rsidP="00182B1A">
      <w:pPr>
        <w:pStyle w:val="FootnoteText"/>
        <w:ind w:left="567" w:hanging="567"/>
        <w:rPr>
          <w:sz w:val="24"/>
          <w:szCs w:val="24"/>
          <w:lang w:val="ro-RO"/>
        </w:rPr>
      </w:pPr>
      <w:r w:rsidRPr="00D9128F">
        <w:rPr>
          <w:rStyle w:val="FootnoteReference"/>
          <w:sz w:val="24"/>
          <w:szCs w:val="24"/>
          <w:lang w:val="ro-RO"/>
        </w:rPr>
        <w:footnoteRef/>
      </w:r>
      <w:r w:rsidR="00182B1A" w:rsidRPr="006A1FD0">
        <w:rPr>
          <w:rStyle w:val="Emphasis"/>
          <w:i w:val="0"/>
          <w:sz w:val="24"/>
          <w:szCs w:val="24"/>
          <w:shd w:val="clear" w:color="auto" w:fill="FFFFFF"/>
          <w:lang w:val="ro-RO"/>
        </w:rPr>
        <w:t xml:space="preserve"> </w:t>
      </w:r>
      <w:r w:rsidR="00182B1A" w:rsidRPr="006A1FD0">
        <w:rPr>
          <w:rStyle w:val="Emphasis"/>
          <w:i w:val="0"/>
          <w:sz w:val="24"/>
          <w:szCs w:val="24"/>
          <w:shd w:val="clear" w:color="auto" w:fill="FFFFFF"/>
          <w:lang w:val="ro-RO"/>
        </w:rPr>
        <w:tab/>
      </w:r>
      <w:r w:rsidRPr="006A1FD0">
        <w:rPr>
          <w:rStyle w:val="Emphasis"/>
          <w:i w:val="0"/>
          <w:sz w:val="24"/>
          <w:szCs w:val="24"/>
          <w:shd w:val="clear" w:color="auto" w:fill="FFFFFF"/>
          <w:lang w:val="ro-RO"/>
        </w:rPr>
        <w:t>JO C 167, 11.5.2023, p. 74.</w:t>
      </w:r>
    </w:p>
  </w:footnote>
  <w:footnote w:id="5">
    <w:p w:rsidR="004478C6" w:rsidRPr="00D9128F" w:rsidRDefault="004478C6" w:rsidP="00182B1A">
      <w:pPr>
        <w:pStyle w:val="FootnoteText"/>
        <w:ind w:left="567" w:hanging="567"/>
        <w:rPr>
          <w:sz w:val="24"/>
          <w:szCs w:val="24"/>
          <w:lang w:val="ro-RO"/>
        </w:rPr>
      </w:pPr>
      <w:r w:rsidRPr="00D9128F">
        <w:rPr>
          <w:rStyle w:val="FootnoteReference"/>
          <w:sz w:val="24"/>
          <w:szCs w:val="24"/>
          <w:lang w:val="ro-RO"/>
        </w:rPr>
        <w:footnoteRef/>
      </w:r>
      <w:r w:rsidR="00182B1A" w:rsidRPr="006A1FD0">
        <w:rPr>
          <w:rStyle w:val="Emphasis"/>
          <w:i w:val="0"/>
          <w:sz w:val="24"/>
          <w:szCs w:val="24"/>
          <w:shd w:val="clear" w:color="auto" w:fill="FFFFFF"/>
          <w:lang w:val="ro-RO"/>
        </w:rPr>
        <w:t xml:space="preserve"> </w:t>
      </w:r>
      <w:r w:rsidR="00182B1A" w:rsidRPr="006A1FD0">
        <w:rPr>
          <w:rStyle w:val="Emphasis"/>
          <w:i w:val="0"/>
          <w:sz w:val="24"/>
          <w:szCs w:val="24"/>
          <w:shd w:val="clear" w:color="auto" w:fill="FFFFFF"/>
          <w:lang w:val="ro-RO"/>
        </w:rPr>
        <w:tab/>
      </w:r>
      <w:r w:rsidRPr="006A1FD0">
        <w:rPr>
          <w:rStyle w:val="Emphasis"/>
          <w:i w:val="0"/>
          <w:sz w:val="24"/>
          <w:szCs w:val="24"/>
          <w:shd w:val="clear" w:color="auto" w:fill="FFFFFF"/>
          <w:lang w:val="ro-RO"/>
        </w:rPr>
        <w:t>JO C, C/2023/1223, 21.12.2023, ELI: http://data.europa.eu/eli/C/2023/1223/oj.</w:t>
      </w:r>
    </w:p>
  </w:footnote>
  <w:footnote w:id="6">
    <w:p w:rsidR="004478C6" w:rsidRPr="00182B1A" w:rsidRDefault="004478C6" w:rsidP="00182B1A">
      <w:pPr>
        <w:pStyle w:val="FootnoteText"/>
        <w:ind w:left="567" w:hanging="567"/>
        <w:rPr>
          <w:sz w:val="24"/>
          <w:szCs w:val="24"/>
          <w:lang w:val="ro-RO"/>
        </w:rPr>
      </w:pPr>
      <w:r w:rsidRPr="00182B1A">
        <w:rPr>
          <w:rStyle w:val="FootnoteReference"/>
          <w:sz w:val="24"/>
          <w:szCs w:val="24"/>
          <w:lang w:val="ro-RO"/>
        </w:rPr>
        <w:footnoteRef/>
      </w:r>
      <w:r w:rsidR="00182B1A" w:rsidRPr="00182B1A">
        <w:rPr>
          <w:sz w:val="24"/>
          <w:szCs w:val="24"/>
          <w:lang w:val="ro-RO"/>
        </w:rPr>
        <w:t xml:space="preserve"> </w:t>
      </w:r>
      <w:r w:rsidR="00182B1A" w:rsidRPr="00182B1A">
        <w:rPr>
          <w:sz w:val="24"/>
          <w:szCs w:val="24"/>
          <w:lang w:val="ro-RO"/>
        </w:rPr>
        <w:tab/>
      </w:r>
      <w:r w:rsidRPr="00182B1A">
        <w:rPr>
          <w:sz w:val="24"/>
          <w:szCs w:val="24"/>
          <w:lang w:val="ro-RO"/>
        </w:rPr>
        <w:t>Texte adoptate, P9_TA(2024)0053.</w:t>
      </w:r>
    </w:p>
  </w:footnote>
  <w:footnote w:id="7">
    <w:p w:rsidR="004478C6" w:rsidRPr="00182B1A" w:rsidRDefault="004478C6" w:rsidP="00182B1A">
      <w:pPr>
        <w:pStyle w:val="FootnoteText"/>
        <w:ind w:left="567" w:hanging="567"/>
        <w:rPr>
          <w:sz w:val="24"/>
          <w:szCs w:val="24"/>
          <w:lang w:val="ro-RO"/>
        </w:rPr>
      </w:pPr>
      <w:r w:rsidRPr="00182B1A">
        <w:rPr>
          <w:rStyle w:val="FootnoteReference"/>
          <w:sz w:val="24"/>
          <w:szCs w:val="24"/>
          <w:lang w:val="ro-RO"/>
        </w:rPr>
        <w:footnoteRef/>
      </w:r>
      <w:r w:rsidR="00182B1A" w:rsidRPr="00182B1A">
        <w:rPr>
          <w:sz w:val="24"/>
          <w:szCs w:val="24"/>
          <w:lang w:val="ro-RO"/>
        </w:rPr>
        <w:t xml:space="preserve"> </w:t>
      </w:r>
      <w:r w:rsidR="00182B1A" w:rsidRPr="00182B1A">
        <w:rPr>
          <w:sz w:val="24"/>
          <w:szCs w:val="24"/>
          <w:lang w:val="ro-RO"/>
        </w:rPr>
        <w:tab/>
      </w:r>
      <w:r w:rsidRPr="00182B1A">
        <w:rPr>
          <w:sz w:val="24"/>
          <w:szCs w:val="24"/>
          <w:lang w:val="ro-RO"/>
        </w:rPr>
        <w:t>Hotărârea Curții de Justiție din 22 iunie 2023, Comisia/Ungaria, C-823/21, ECLI:EU:C:2023:504.</w:t>
      </w:r>
    </w:p>
  </w:footnote>
  <w:footnote w:id="8">
    <w:p w:rsidR="004478C6" w:rsidRPr="00182B1A" w:rsidRDefault="004478C6" w:rsidP="00182B1A">
      <w:pPr>
        <w:pStyle w:val="FootnoteText"/>
        <w:ind w:left="567" w:hanging="567"/>
        <w:rPr>
          <w:sz w:val="24"/>
          <w:szCs w:val="24"/>
          <w:lang w:val="ro-RO"/>
        </w:rPr>
      </w:pPr>
      <w:r w:rsidRPr="00182B1A">
        <w:rPr>
          <w:rStyle w:val="FootnoteReference"/>
          <w:sz w:val="24"/>
          <w:szCs w:val="24"/>
          <w:lang w:val="ro-RO"/>
        </w:rPr>
        <w:footnoteRef/>
      </w:r>
      <w:r w:rsidR="00182B1A" w:rsidRPr="00182B1A">
        <w:rPr>
          <w:sz w:val="24"/>
          <w:szCs w:val="24"/>
          <w:lang w:val="ro-RO"/>
        </w:rPr>
        <w:t xml:space="preserve"> </w:t>
      </w:r>
      <w:r w:rsidR="00182B1A" w:rsidRPr="00182B1A">
        <w:rPr>
          <w:sz w:val="24"/>
          <w:szCs w:val="24"/>
          <w:lang w:val="ro-RO"/>
        </w:rPr>
        <w:tab/>
      </w:r>
      <w:r w:rsidRPr="00182B1A">
        <w:rPr>
          <w:sz w:val="24"/>
          <w:szCs w:val="24"/>
          <w:lang w:val="ro-RO"/>
        </w:rPr>
        <w:t xml:space="preserve">Hotărârea CEDO din 12 ianuarie 2016, Szabó și </w:t>
      </w:r>
      <w:proofErr w:type="spellStart"/>
      <w:r w:rsidRPr="00182B1A">
        <w:rPr>
          <w:sz w:val="24"/>
          <w:szCs w:val="24"/>
          <w:lang w:val="ro-RO"/>
        </w:rPr>
        <w:t>Vissy</w:t>
      </w:r>
      <w:proofErr w:type="spellEnd"/>
      <w:r w:rsidRPr="00182B1A">
        <w:rPr>
          <w:sz w:val="24"/>
          <w:szCs w:val="24"/>
          <w:lang w:val="ro-RO"/>
        </w:rPr>
        <w:t>/Ungaria, 37148/14, care a devenit definitivă la 6 iunie 2016.</w:t>
      </w:r>
    </w:p>
  </w:footnote>
  <w:footnote w:id="9">
    <w:p w:rsidR="004478C6" w:rsidRPr="00182B1A" w:rsidRDefault="004478C6" w:rsidP="00182B1A">
      <w:pPr>
        <w:pStyle w:val="FootnoteText"/>
        <w:ind w:left="567" w:hanging="567"/>
        <w:rPr>
          <w:sz w:val="24"/>
          <w:szCs w:val="24"/>
          <w:lang w:val="ro-RO"/>
        </w:rPr>
      </w:pPr>
      <w:r w:rsidRPr="00182B1A">
        <w:rPr>
          <w:rStyle w:val="FootnoteReference"/>
          <w:sz w:val="24"/>
          <w:szCs w:val="24"/>
          <w:lang w:val="ro-RO"/>
        </w:rPr>
        <w:footnoteRef/>
      </w:r>
      <w:r w:rsidR="00182B1A" w:rsidRPr="00182B1A">
        <w:rPr>
          <w:sz w:val="24"/>
          <w:szCs w:val="24"/>
          <w:lang w:val="ro-RO"/>
        </w:rPr>
        <w:t xml:space="preserve"> </w:t>
      </w:r>
      <w:r w:rsidR="00182B1A" w:rsidRPr="00182B1A">
        <w:rPr>
          <w:sz w:val="24"/>
          <w:szCs w:val="24"/>
          <w:lang w:val="ro-RO"/>
        </w:rPr>
        <w:tab/>
      </w:r>
      <w:r w:rsidRPr="00182B1A">
        <w:rPr>
          <w:sz w:val="24"/>
          <w:szCs w:val="24"/>
          <w:lang w:val="ro-RO"/>
        </w:rPr>
        <w:t xml:space="preserve">Hotărârea CEDO din 16 iulie 2016, </w:t>
      </w:r>
      <w:proofErr w:type="spellStart"/>
      <w:r w:rsidRPr="00182B1A">
        <w:rPr>
          <w:sz w:val="24"/>
          <w:szCs w:val="24"/>
          <w:lang w:val="ro-RO"/>
        </w:rPr>
        <w:t>Gazsó</w:t>
      </w:r>
      <w:proofErr w:type="spellEnd"/>
      <w:r w:rsidRPr="00182B1A">
        <w:rPr>
          <w:sz w:val="24"/>
          <w:szCs w:val="24"/>
          <w:lang w:val="ro-RO"/>
        </w:rPr>
        <w:t>/Ungaria, 48322/12, care a devenit definitivă la 16 octombrie 2015.</w:t>
      </w:r>
    </w:p>
  </w:footnote>
  <w:footnote w:id="10">
    <w:p w:rsidR="004478C6" w:rsidRPr="00182B1A" w:rsidRDefault="004478C6" w:rsidP="00182B1A">
      <w:pPr>
        <w:pStyle w:val="FootnoteText"/>
        <w:ind w:left="567" w:hanging="567"/>
        <w:rPr>
          <w:sz w:val="24"/>
          <w:szCs w:val="24"/>
          <w:lang w:val="ro-RO"/>
        </w:rPr>
      </w:pPr>
      <w:r w:rsidRPr="00182B1A">
        <w:rPr>
          <w:rStyle w:val="FootnoteReference"/>
          <w:sz w:val="24"/>
          <w:szCs w:val="24"/>
          <w:lang w:val="ro-RO"/>
        </w:rPr>
        <w:footnoteRef/>
      </w:r>
      <w:r w:rsidR="00182B1A" w:rsidRPr="00182B1A">
        <w:rPr>
          <w:sz w:val="24"/>
          <w:szCs w:val="24"/>
          <w:lang w:val="ro-RO"/>
        </w:rPr>
        <w:t xml:space="preserve"> </w:t>
      </w:r>
      <w:r w:rsidR="00182B1A" w:rsidRPr="00182B1A">
        <w:rPr>
          <w:sz w:val="24"/>
          <w:szCs w:val="24"/>
          <w:lang w:val="ro-RO"/>
        </w:rPr>
        <w:tab/>
      </w:r>
      <w:r w:rsidRPr="00182B1A">
        <w:rPr>
          <w:sz w:val="24"/>
          <w:szCs w:val="24"/>
          <w:lang w:val="ro-RO"/>
        </w:rPr>
        <w:t xml:space="preserve">Hotărârea CEDO din 14 martie 2017, </w:t>
      </w:r>
      <w:proofErr w:type="spellStart"/>
      <w:r w:rsidRPr="00182B1A">
        <w:rPr>
          <w:sz w:val="24"/>
          <w:szCs w:val="24"/>
          <w:lang w:val="ro-RO"/>
        </w:rPr>
        <w:t>Ilias</w:t>
      </w:r>
      <w:proofErr w:type="spellEnd"/>
      <w:r w:rsidRPr="00182B1A">
        <w:rPr>
          <w:sz w:val="24"/>
          <w:szCs w:val="24"/>
          <w:lang w:val="ro-RO"/>
        </w:rPr>
        <w:t xml:space="preserve"> și Ahmed/Ungaria, 47287/15.</w:t>
      </w:r>
    </w:p>
  </w:footnote>
  <w:footnote w:id="11">
    <w:p w:rsidR="004478C6" w:rsidRPr="00182B1A" w:rsidRDefault="004478C6" w:rsidP="00182B1A">
      <w:pPr>
        <w:pStyle w:val="FootnoteText"/>
        <w:ind w:left="567" w:hanging="567"/>
        <w:rPr>
          <w:sz w:val="24"/>
          <w:szCs w:val="24"/>
          <w:lang w:val="ro-RO"/>
        </w:rPr>
      </w:pPr>
      <w:r w:rsidRPr="00182B1A">
        <w:rPr>
          <w:rStyle w:val="FootnoteReference"/>
          <w:sz w:val="24"/>
          <w:szCs w:val="24"/>
          <w:lang w:val="ro-RO"/>
        </w:rPr>
        <w:footnoteRef/>
      </w:r>
      <w:r w:rsidR="00182B1A" w:rsidRPr="00182B1A">
        <w:rPr>
          <w:sz w:val="24"/>
          <w:szCs w:val="24"/>
          <w:lang w:val="ro-RO"/>
        </w:rPr>
        <w:t xml:space="preserve"> </w:t>
      </w:r>
      <w:r w:rsidR="00182B1A" w:rsidRPr="00182B1A">
        <w:rPr>
          <w:sz w:val="24"/>
          <w:szCs w:val="24"/>
          <w:lang w:val="ro-RO"/>
        </w:rPr>
        <w:tab/>
      </w:r>
      <w:r w:rsidRPr="00182B1A">
        <w:rPr>
          <w:sz w:val="24"/>
          <w:szCs w:val="24"/>
          <w:lang w:val="ro-RO"/>
        </w:rPr>
        <w:t xml:space="preserve">Hotărârea CEDO din 23 iunie 2016, </w:t>
      </w:r>
      <w:proofErr w:type="spellStart"/>
      <w:r w:rsidRPr="00182B1A">
        <w:rPr>
          <w:sz w:val="24"/>
          <w:szCs w:val="24"/>
          <w:lang w:val="ro-RO"/>
        </w:rPr>
        <w:t>Baka</w:t>
      </w:r>
      <w:proofErr w:type="spellEnd"/>
      <w:r w:rsidRPr="00182B1A">
        <w:rPr>
          <w:sz w:val="24"/>
          <w:szCs w:val="24"/>
          <w:lang w:val="ro-RO"/>
        </w:rPr>
        <w:t>/Ungaria, 20261/12.</w:t>
      </w:r>
    </w:p>
  </w:footnote>
  <w:footnote w:id="12">
    <w:p w:rsidR="004478C6" w:rsidRPr="00D9128F" w:rsidRDefault="004478C6" w:rsidP="00182B1A">
      <w:pPr>
        <w:pStyle w:val="FootnoteText"/>
        <w:ind w:left="567" w:hanging="567"/>
        <w:rPr>
          <w:sz w:val="24"/>
          <w:szCs w:val="24"/>
          <w:lang w:val="ro-RO"/>
        </w:rPr>
      </w:pPr>
      <w:r w:rsidRPr="00182B1A">
        <w:rPr>
          <w:rStyle w:val="FootnoteReference"/>
          <w:sz w:val="24"/>
          <w:szCs w:val="24"/>
          <w:lang w:val="ro-RO"/>
        </w:rPr>
        <w:footnoteRef/>
      </w:r>
      <w:r w:rsidR="00182B1A" w:rsidRPr="00182B1A">
        <w:rPr>
          <w:sz w:val="24"/>
          <w:szCs w:val="24"/>
          <w:shd w:val="clear" w:color="auto" w:fill="FFFFFF"/>
          <w:lang w:val="ro-RO"/>
        </w:rPr>
        <w:t xml:space="preserve"> </w:t>
      </w:r>
      <w:r w:rsidR="00182B1A" w:rsidRPr="00182B1A">
        <w:rPr>
          <w:sz w:val="24"/>
          <w:szCs w:val="24"/>
          <w:shd w:val="clear" w:color="auto" w:fill="FFFFFF"/>
          <w:lang w:val="ro-RO"/>
        </w:rPr>
        <w:tab/>
      </w:r>
      <w:r w:rsidRPr="00182B1A">
        <w:rPr>
          <w:sz w:val="24"/>
          <w:szCs w:val="24"/>
          <w:shd w:val="clear" w:color="auto" w:fill="FFFFFF"/>
          <w:lang w:val="ro-RO"/>
        </w:rPr>
        <w:t xml:space="preserve">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w:t>
      </w:r>
      <w:r w:rsidRPr="006A1FD0">
        <w:rPr>
          <w:rStyle w:val="Emphasis"/>
          <w:i w:val="0"/>
          <w:sz w:val="24"/>
          <w:szCs w:val="24"/>
          <w:shd w:val="clear" w:color="auto" w:fill="FFFFFF"/>
          <w:lang w:val="ro-RO"/>
        </w:rPr>
        <w:t>(JO L 231, 30.6.2021, p. 159).</w:t>
      </w:r>
    </w:p>
  </w:footnote>
  <w:footnote w:id="13">
    <w:p w:rsidR="004478C6" w:rsidRPr="00D9128F" w:rsidRDefault="004478C6" w:rsidP="00182B1A">
      <w:pPr>
        <w:pStyle w:val="title-bold"/>
        <w:shd w:val="clear" w:color="auto" w:fill="FFFFFF"/>
        <w:spacing w:before="0" w:beforeAutospacing="0" w:after="75" w:afterAutospacing="0"/>
        <w:ind w:left="567" w:hanging="567"/>
      </w:pPr>
      <w:r w:rsidRPr="00D9128F">
        <w:rPr>
          <w:rStyle w:val="FootnoteReference"/>
        </w:rPr>
        <w:footnoteRef/>
      </w:r>
      <w:r w:rsidR="00182B1A" w:rsidRPr="00D9128F">
        <w:t xml:space="preserve"> </w:t>
      </w:r>
      <w:r w:rsidR="00182B1A" w:rsidRPr="00D9128F">
        <w:tab/>
      </w:r>
      <w:r w:rsidRPr="00D9128F">
        <w:t xml:space="preserve">Regulamentul (UE) 2021/241 al Parlamentului European și al Consiliului din 12 februarie 2021 de instituire a Mecanismului de redresare și reziliență </w:t>
      </w:r>
      <w:r w:rsidRPr="006A1FD0">
        <w:rPr>
          <w:rStyle w:val="Emphasis"/>
          <w:i w:val="0"/>
        </w:rPr>
        <w:t>(JO L 57, 18.2.2021, p. 17)</w:t>
      </w:r>
      <w:r w:rsidRPr="00D9128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2B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RO"/>
    <w:docVar w:name="dvnumam" w:val="0"/>
    <w:docVar w:name="dvpe" w:val="760.687"/>
    <w:docVar w:name="dvtitre" w:val="Rezoluția Parlamentului European din 24 aprilie 2024 referitoare la audierile în curs organizate în temeiul articolului 7 alineatul (1) din TUE referitoare la Ungaria pentru a întări statul de drept și implicațiile lor bugetare (2024/2683(RSP))"/>
  </w:docVars>
  <w:rsids>
    <w:rsidRoot w:val="006F690E"/>
    <w:rsid w:val="00002272"/>
    <w:rsid w:val="00064002"/>
    <w:rsid w:val="000677B9"/>
    <w:rsid w:val="000831BA"/>
    <w:rsid w:val="000A42CC"/>
    <w:rsid w:val="000E7DD9"/>
    <w:rsid w:val="0010095E"/>
    <w:rsid w:val="00125B37"/>
    <w:rsid w:val="00182B1A"/>
    <w:rsid w:val="00187494"/>
    <w:rsid w:val="001F32AE"/>
    <w:rsid w:val="002767FF"/>
    <w:rsid w:val="00297186"/>
    <w:rsid w:val="002B18FE"/>
    <w:rsid w:val="002B5493"/>
    <w:rsid w:val="00343214"/>
    <w:rsid w:val="00361C00"/>
    <w:rsid w:val="00395FA1"/>
    <w:rsid w:val="003E15D4"/>
    <w:rsid w:val="003F1838"/>
    <w:rsid w:val="00411CCE"/>
    <w:rsid w:val="0041666E"/>
    <w:rsid w:val="00421060"/>
    <w:rsid w:val="004478C6"/>
    <w:rsid w:val="00471C19"/>
    <w:rsid w:val="004867E3"/>
    <w:rsid w:val="00494A28"/>
    <w:rsid w:val="004C0004"/>
    <w:rsid w:val="004C5D52"/>
    <w:rsid w:val="0050519A"/>
    <w:rsid w:val="005072A1"/>
    <w:rsid w:val="00514517"/>
    <w:rsid w:val="00545827"/>
    <w:rsid w:val="00560270"/>
    <w:rsid w:val="005C2568"/>
    <w:rsid w:val="005F1F6F"/>
    <w:rsid w:val="006037C0"/>
    <w:rsid w:val="0061110B"/>
    <w:rsid w:val="006631B6"/>
    <w:rsid w:val="00680577"/>
    <w:rsid w:val="006A1FD0"/>
    <w:rsid w:val="006F690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3DC"/>
    <w:rsid w:val="00B558F0"/>
    <w:rsid w:val="00BD48FE"/>
    <w:rsid w:val="00BD7BD8"/>
    <w:rsid w:val="00BE6ADC"/>
    <w:rsid w:val="00C05BFE"/>
    <w:rsid w:val="00C23CD4"/>
    <w:rsid w:val="00C45C4B"/>
    <w:rsid w:val="00C61C0C"/>
    <w:rsid w:val="00C63296"/>
    <w:rsid w:val="00C941CB"/>
    <w:rsid w:val="00CC2357"/>
    <w:rsid w:val="00CF071A"/>
    <w:rsid w:val="00D058B8"/>
    <w:rsid w:val="00D56C11"/>
    <w:rsid w:val="00D834A0"/>
    <w:rsid w:val="00D872DF"/>
    <w:rsid w:val="00D9128F"/>
    <w:rsid w:val="00D91E21"/>
    <w:rsid w:val="00DA7FCD"/>
    <w:rsid w:val="00E365E1"/>
    <w:rsid w:val="00E820A4"/>
    <w:rsid w:val="00E92C9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47A74E-49E3-46D0-A862-E0FF411A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78C6"/>
    <w:pPr>
      <w:spacing w:after="240"/>
      <w:ind w:left="567" w:hanging="567"/>
    </w:pPr>
  </w:style>
  <w:style w:type="character" w:styleId="Emphasis">
    <w:name w:val="Emphasis"/>
    <w:basedOn w:val="DefaultParagraphFont"/>
    <w:uiPriority w:val="20"/>
    <w:qFormat/>
    <w:rsid w:val="004478C6"/>
    <w:rPr>
      <w:i/>
      <w:iCs/>
    </w:rPr>
  </w:style>
  <w:style w:type="character" w:styleId="Hyperlink">
    <w:name w:val="Hyperlink"/>
    <w:basedOn w:val="DefaultParagraphFont"/>
    <w:uiPriority w:val="99"/>
    <w:unhideWhenUsed/>
    <w:rsid w:val="004478C6"/>
    <w:rPr>
      <w:color w:val="0000FF"/>
      <w:u w:val="single"/>
    </w:rPr>
  </w:style>
  <w:style w:type="character" w:customStyle="1" w:styleId="textcolumn">
    <w:name w:val="textcolumn"/>
    <w:basedOn w:val="DefaultParagraphFont"/>
    <w:rsid w:val="004478C6"/>
  </w:style>
  <w:style w:type="paragraph" w:customStyle="1" w:styleId="title-bold">
    <w:name w:val="title-bold"/>
    <w:basedOn w:val="Normal"/>
    <w:rsid w:val="004478C6"/>
    <w:pPr>
      <w:widowControl/>
      <w:spacing w:before="100" w:beforeAutospacing="1" w:after="100" w:afterAutospacing="1"/>
    </w:pPr>
    <w:rPr>
      <w:szCs w:val="24"/>
    </w:rPr>
  </w:style>
  <w:style w:type="paragraph" w:styleId="BalloonText">
    <w:name w:val="Balloon Text"/>
    <w:basedOn w:val="Normal"/>
    <w:link w:val="BalloonTextChar"/>
    <w:rsid w:val="00D9128F"/>
    <w:rPr>
      <w:rFonts w:ascii="Segoe UI" w:hAnsi="Segoe UI" w:cs="Segoe UI"/>
      <w:sz w:val="18"/>
      <w:szCs w:val="18"/>
    </w:rPr>
  </w:style>
  <w:style w:type="character" w:customStyle="1" w:styleId="BalloonTextChar">
    <w:name w:val="Balloon Text Char"/>
    <w:basedOn w:val="DefaultParagraphFont"/>
    <w:link w:val="BalloonText"/>
    <w:rsid w:val="00D9128F"/>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1E04F-242A-49FF-AE83-9AFBA2F0B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4857</Words>
  <Characters>29211</Characters>
  <Application>Microsoft Office Word</Application>
  <DocSecurity>0</DocSecurity>
  <Lines>243</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BINKEVICIUTE Aurelija</cp:lastModifiedBy>
  <cp:revision>3</cp:revision>
  <cp:lastPrinted>2004-11-19T15:42:00Z</cp:lastPrinted>
  <dcterms:created xsi:type="dcterms:W3CDTF">2024-06-21T09:03:00Z</dcterms:created>
  <dcterms:modified xsi:type="dcterms:W3CDTF">2024-10-16T12:17:00Z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B9-0223/2024</vt:lpwstr>
  </property>
  <property fmtid="{D5CDD505-2E9C-101B-9397-08002B2CF9AE}" pid="4" name="&lt;Type&gt;">
    <vt:lpwstr>RR</vt:lpwstr>
  </property>
</Properties>
</file>