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5EEE" w14:paraId="01456AA3" w14:textId="77777777" w:rsidTr="0010095E">
        <w:trPr>
          <w:trHeight w:hRule="exact" w:val="1418"/>
        </w:trPr>
        <w:tc>
          <w:tcPr>
            <w:tcW w:w="6804" w:type="dxa"/>
            <w:shd w:val="clear" w:color="auto" w:fill="auto"/>
            <w:vAlign w:val="center"/>
          </w:tcPr>
          <w:p w14:paraId="7E19264B" w14:textId="77777777" w:rsidR="00751A4A" w:rsidRPr="006D5EEE" w:rsidRDefault="00824E5F" w:rsidP="0010095E">
            <w:pPr>
              <w:pStyle w:val="EPName"/>
              <w:rPr>
                <w:color w:val="000000" w:themeColor="text1"/>
              </w:rPr>
            </w:pPr>
            <w:r w:rsidRPr="006D5EEE">
              <w:rPr>
                <w:color w:val="000000" w:themeColor="text1"/>
              </w:rPr>
              <w:t>Europaparlamentet</w:t>
            </w:r>
          </w:p>
          <w:p w14:paraId="25DF0D19" w14:textId="77777777" w:rsidR="00751A4A" w:rsidRPr="006D5EEE" w:rsidRDefault="00817416" w:rsidP="00756632">
            <w:pPr>
              <w:pStyle w:val="EPTerm"/>
              <w:rPr>
                <w:rStyle w:val="HideTWBExt"/>
                <w:noProof w:val="0"/>
                <w:vanish w:val="0"/>
                <w:color w:val="000000" w:themeColor="text1"/>
              </w:rPr>
            </w:pPr>
            <w:r w:rsidRPr="006D5EEE">
              <w:rPr>
                <w:color w:val="000000" w:themeColor="text1"/>
              </w:rPr>
              <w:t>2019-2024</w:t>
            </w:r>
          </w:p>
        </w:tc>
        <w:tc>
          <w:tcPr>
            <w:tcW w:w="2268" w:type="dxa"/>
            <w:shd w:val="clear" w:color="auto" w:fill="auto"/>
          </w:tcPr>
          <w:p w14:paraId="790649AD" w14:textId="77777777" w:rsidR="00751A4A" w:rsidRPr="006D5EEE" w:rsidRDefault="00187494" w:rsidP="0010095E">
            <w:pPr>
              <w:pStyle w:val="EPLogo"/>
              <w:rPr>
                <w:color w:val="000000" w:themeColor="text1"/>
              </w:rPr>
            </w:pPr>
            <w:r w:rsidRPr="006D5EEE">
              <w:rPr>
                <w:noProof/>
                <w:color w:val="000000" w:themeColor="text1"/>
                <w:lang w:val="en-GB"/>
              </w:rPr>
              <w:drawing>
                <wp:inline distT="0" distB="0" distL="0" distR="0" wp14:anchorId="65B2C273" wp14:editId="15DAABF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189B32" w14:textId="77777777" w:rsidR="00D058B8" w:rsidRPr="006D5EEE" w:rsidRDefault="00D058B8" w:rsidP="004C5D52">
      <w:pPr>
        <w:pStyle w:val="LineTop"/>
        <w:rPr>
          <w:color w:val="000000" w:themeColor="text1"/>
        </w:rPr>
      </w:pPr>
    </w:p>
    <w:p w14:paraId="4E06BEE8" w14:textId="77777777" w:rsidR="00680577" w:rsidRPr="006D5EEE" w:rsidRDefault="00824E5F" w:rsidP="00680577">
      <w:pPr>
        <w:pStyle w:val="EPBodyTA1"/>
        <w:rPr>
          <w:color w:val="000000" w:themeColor="text1"/>
        </w:rPr>
      </w:pPr>
      <w:r w:rsidRPr="006D5EEE">
        <w:rPr>
          <w:color w:val="000000" w:themeColor="text1"/>
        </w:rPr>
        <w:t>ANTAGNA TEXTER</w:t>
      </w:r>
    </w:p>
    <w:p w14:paraId="73D6A53E" w14:textId="77777777" w:rsidR="00D058B8" w:rsidRPr="006D5EEE" w:rsidRDefault="00D058B8" w:rsidP="00D058B8">
      <w:pPr>
        <w:pStyle w:val="LineBottom"/>
        <w:rPr>
          <w:color w:val="000000" w:themeColor="text1"/>
        </w:rPr>
      </w:pPr>
    </w:p>
    <w:p w14:paraId="0C8E28FF" w14:textId="77777777" w:rsidR="00824E5F" w:rsidRPr="006D5EEE" w:rsidRDefault="00824E5F" w:rsidP="00824E5F">
      <w:pPr>
        <w:pStyle w:val="ATHeading1"/>
        <w:rPr>
          <w:color w:val="000000" w:themeColor="text1"/>
        </w:rPr>
      </w:pPr>
      <w:bookmarkStart w:id="0" w:name="TANumber"/>
      <w:r w:rsidRPr="006D5EEE">
        <w:rPr>
          <w:color w:val="000000" w:themeColor="text1"/>
        </w:rPr>
        <w:t>P9_TA(2024)0</w:t>
      </w:r>
      <w:bookmarkEnd w:id="0"/>
      <w:r w:rsidR="0018477C" w:rsidRPr="006D5EEE">
        <w:rPr>
          <w:color w:val="000000" w:themeColor="text1"/>
        </w:rPr>
        <w:t>367</w:t>
      </w:r>
    </w:p>
    <w:p w14:paraId="44C780A6" w14:textId="77777777" w:rsidR="00824E5F" w:rsidRPr="006D5EEE" w:rsidRDefault="00824E5F" w:rsidP="00824E5F">
      <w:pPr>
        <w:pStyle w:val="ATHeading2"/>
        <w:rPr>
          <w:color w:val="000000" w:themeColor="text1"/>
        </w:rPr>
      </w:pPr>
      <w:bookmarkStart w:id="1" w:name="title"/>
      <w:r w:rsidRPr="006D5EEE">
        <w:rPr>
          <w:color w:val="000000" w:themeColor="text1"/>
        </w:rPr>
        <w:t>De pågående utfrågningarna inom ramen för artikel 7.1 i EU-fördraget angående Ungern för att stärka rättsstaten och konsekvenserna för budgeten</w:t>
      </w:r>
      <w:bookmarkEnd w:id="1"/>
    </w:p>
    <w:p w14:paraId="349F3B1E" w14:textId="77777777" w:rsidR="00824E5F" w:rsidRPr="006D5EEE" w:rsidRDefault="00824E5F" w:rsidP="00824E5F">
      <w:pPr>
        <w:rPr>
          <w:i/>
          <w:vanish/>
          <w:color w:val="000000" w:themeColor="text1"/>
        </w:rPr>
      </w:pPr>
      <w:r w:rsidRPr="006D5EEE">
        <w:rPr>
          <w:i/>
          <w:color w:val="000000" w:themeColor="text1"/>
        </w:rPr>
        <w:fldChar w:fldCharType="begin"/>
      </w:r>
      <w:r w:rsidRPr="006D5EEE">
        <w:rPr>
          <w:i/>
          <w:color w:val="000000" w:themeColor="text1"/>
        </w:rPr>
        <w:instrText xml:space="preserve"> TC"(</w:instrText>
      </w:r>
      <w:bookmarkStart w:id="2" w:name="DocNumber"/>
      <w:r w:rsidRPr="006D5EEE">
        <w:rPr>
          <w:i/>
          <w:color w:val="000000" w:themeColor="text1"/>
        </w:rPr>
        <w:instrText>B9-0223/2024</w:instrText>
      </w:r>
      <w:bookmarkEnd w:id="2"/>
      <w:r w:rsidRPr="006D5EEE">
        <w:rPr>
          <w:i/>
          <w:color w:val="000000" w:themeColor="text1"/>
        </w:rPr>
        <w:instrText xml:space="preserve">)"\l3 \n&gt; \* MERGEFORMAT </w:instrText>
      </w:r>
      <w:r w:rsidRPr="006D5EEE">
        <w:rPr>
          <w:i/>
          <w:color w:val="000000" w:themeColor="text1"/>
        </w:rPr>
        <w:fldChar w:fldCharType="end"/>
      </w:r>
    </w:p>
    <w:p w14:paraId="5BABCD6E" w14:textId="77777777" w:rsidR="00824E5F" w:rsidRPr="006D5EEE" w:rsidRDefault="00824E5F" w:rsidP="00824E5F">
      <w:pPr>
        <w:rPr>
          <w:vanish/>
          <w:color w:val="000000" w:themeColor="text1"/>
        </w:rPr>
      </w:pPr>
      <w:bookmarkStart w:id="3" w:name="PE"/>
      <w:r w:rsidRPr="006D5EEE">
        <w:rPr>
          <w:vanish/>
          <w:color w:val="000000" w:themeColor="text1"/>
        </w:rPr>
        <w:t>PE760.687</w:t>
      </w:r>
      <w:bookmarkEnd w:id="3"/>
    </w:p>
    <w:p w14:paraId="68F4E580" w14:textId="77777777" w:rsidR="00824E5F" w:rsidRPr="006D5EEE" w:rsidRDefault="00824E5F" w:rsidP="00824E5F">
      <w:pPr>
        <w:pStyle w:val="ATHeading3"/>
        <w:rPr>
          <w:color w:val="000000" w:themeColor="text1"/>
        </w:rPr>
      </w:pPr>
      <w:bookmarkStart w:id="4" w:name="Sujet"/>
      <w:r w:rsidRPr="006D5EEE">
        <w:rPr>
          <w:color w:val="000000" w:themeColor="text1"/>
        </w:rPr>
        <w:t xml:space="preserve">Europaparlamentets resolution av den </w:t>
      </w:r>
      <w:r w:rsidR="00C43594" w:rsidRPr="006D5EEE">
        <w:rPr>
          <w:color w:val="000000" w:themeColor="text1"/>
        </w:rPr>
        <w:t>24 april</w:t>
      </w:r>
      <w:r w:rsidRPr="006D5EEE">
        <w:rPr>
          <w:color w:val="000000" w:themeColor="text1"/>
        </w:rPr>
        <w:t xml:space="preserve"> 2024 om de pågående utfrågningarna inom ramen för artikel 7.1 i EU-fördraget angående Ungern för att stärka rättsstaten och konsekvenserna för budgeten </w:t>
      </w:r>
      <w:bookmarkStart w:id="5" w:name="References"/>
      <w:bookmarkEnd w:id="4"/>
      <w:r w:rsidRPr="006D5EEE">
        <w:rPr>
          <w:color w:val="000000" w:themeColor="text1"/>
        </w:rPr>
        <w:t>(2024/2683(RSP))</w:t>
      </w:r>
      <w:bookmarkEnd w:id="5"/>
    </w:p>
    <w:p w14:paraId="161558F6" w14:textId="77777777" w:rsidR="00824E5F" w:rsidRPr="006D5EEE" w:rsidRDefault="00824E5F" w:rsidP="00824E5F">
      <w:pPr>
        <w:rPr>
          <w:color w:val="000000" w:themeColor="text1"/>
        </w:rPr>
      </w:pPr>
    </w:p>
    <w:p w14:paraId="4C0299B4" w14:textId="77777777" w:rsidR="00756C99" w:rsidRPr="006D5EEE" w:rsidRDefault="00756C99" w:rsidP="00756C99">
      <w:pPr>
        <w:pStyle w:val="NormalHanging12a"/>
        <w:rPr>
          <w:color w:val="000000" w:themeColor="text1"/>
        </w:rPr>
      </w:pPr>
      <w:bookmarkStart w:id="6" w:name="TextBodyBegin"/>
      <w:bookmarkEnd w:id="6"/>
      <w:r w:rsidRPr="006D5EEE">
        <w:rPr>
          <w:i/>
          <w:color w:val="000000" w:themeColor="text1"/>
        </w:rPr>
        <w:t>Europaparlamentet utfärdar denna resolution</w:t>
      </w:r>
    </w:p>
    <w:p w14:paraId="1ACF5B0B"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med beaktande av fördraget om Europeiska unionen (</w:t>
      </w:r>
      <w:r w:rsidRPr="006D5EEE">
        <w:rPr>
          <w:i/>
          <w:iCs/>
          <w:color w:val="000000" w:themeColor="text1"/>
        </w:rPr>
        <w:t>EU-fördraget</w:t>
      </w:r>
      <w:r w:rsidRPr="006D5EEE">
        <w:rPr>
          <w:color w:val="000000" w:themeColor="text1"/>
        </w:rPr>
        <w:t>), särskilt artiklarna 2, 4.3 och 7.1,</w:t>
      </w:r>
    </w:p>
    <w:p w14:paraId="1FE487DE"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med beaktande av Europeiska unionens stadga om de grundläggande rättigheterna (</w:t>
      </w:r>
      <w:r w:rsidRPr="006D5EEE">
        <w:rPr>
          <w:i/>
          <w:iCs/>
          <w:color w:val="000000" w:themeColor="text1"/>
        </w:rPr>
        <w:t>stadgan</w:t>
      </w:r>
      <w:r w:rsidRPr="006D5EEE">
        <w:rPr>
          <w:color w:val="000000" w:themeColor="text1"/>
        </w:rPr>
        <w:t>),</w:t>
      </w:r>
    </w:p>
    <w:p w14:paraId="1D3D2572"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med beaktande av den europeiska konventionen om de mänskliga rättigheterna samt protokollen till denna,</w:t>
      </w:r>
    </w:p>
    <w:p w14:paraId="4DD23911"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med beaktande av den allmänna förklaringen om de mänskliga rättigheterna,</w:t>
      </w:r>
    </w:p>
    <w:p w14:paraId="14E412ED"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med beaktande av FN:s och Europarådets internationella människorättsfördrag,</w:t>
      </w:r>
    </w:p>
    <w:p w14:paraId="0CB6C818"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med beaktande av den checklista för rättsstatlighet som Venedigkommissionen antog vid sin 106:e plenarsession i Venedig den 11–12 mars 2016,</w:t>
      </w:r>
    </w:p>
    <w:p w14:paraId="5B270AD2"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med beaktande av sin resolution av den 12 september 2018 om ett förslag med en begäran till rådet att enligt artikel 7.1 i fördraget om Europeiska unionen fastställa att det finns en klar risk för att Ungern allvarligt åsidosätter unionens värden</w:t>
      </w:r>
      <w:r w:rsidRPr="006D5EEE">
        <w:rPr>
          <w:rStyle w:val="FootnoteReference"/>
          <w:color w:val="000000" w:themeColor="text1"/>
          <w:szCs w:val="24"/>
        </w:rPr>
        <w:footnoteReference w:id="1"/>
      </w:r>
      <w:r w:rsidRPr="006D5EEE">
        <w:rPr>
          <w:color w:val="000000" w:themeColor="text1"/>
        </w:rPr>
        <w:t>,</w:t>
      </w:r>
    </w:p>
    <w:p w14:paraId="03D70CC9"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med beaktande av Europaparlamentets och rådets förordning (EU, Euratom) 2020/2092 av den 16 december 2020 om en generell villkorlighetsordning för skydd av unionsbudgeten</w:t>
      </w:r>
      <w:r w:rsidRPr="006D5EEE">
        <w:rPr>
          <w:rStyle w:val="FootnoteReference"/>
          <w:color w:val="000000" w:themeColor="text1"/>
          <w:szCs w:val="24"/>
        </w:rPr>
        <w:footnoteReference w:id="2"/>
      </w:r>
      <w:r w:rsidRPr="006D5EEE">
        <w:rPr>
          <w:color w:val="000000" w:themeColor="text1"/>
        </w:rPr>
        <w:t xml:space="preserve"> (</w:t>
      </w:r>
      <w:r w:rsidRPr="006D5EEE">
        <w:rPr>
          <w:i/>
          <w:iCs/>
          <w:color w:val="000000" w:themeColor="text1"/>
        </w:rPr>
        <w:t>förordningen om villkorlighet</w:t>
      </w:r>
      <w:r w:rsidRPr="006D5EEE">
        <w:rPr>
          <w:color w:val="000000" w:themeColor="text1"/>
        </w:rPr>
        <w:t>),</w:t>
      </w:r>
    </w:p>
    <w:p w14:paraId="6C121D1C"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 xml:space="preserve">med beaktande av kommissionens beslut C(2023) 8999 av den 13 december 2023 avseende omprövning, på kommissionens initiativ, av uppfyllandet av villkoren i artikel 4 i förordning (EU, Euratom) 2020/2092 efter rådets genomförandebeslut </w:t>
      </w:r>
      <w:r w:rsidRPr="006D5EEE">
        <w:rPr>
          <w:color w:val="000000" w:themeColor="text1"/>
        </w:rPr>
        <w:lastRenderedPageBreak/>
        <w:t>(EU) 2022/2506 av den 15 december 2022 om Ungern,</w:t>
      </w:r>
    </w:p>
    <w:p w14:paraId="0DF3ADD1"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med beaktande av sin resolution av den 15 september 2022 om förslaget till rådets beslut om att enligt artikel 7.1 i fördraget om Europeiska unionen fastställa huruvida det finns en klar risk för att Ungern allvarligt åsidosätter unionens värden</w:t>
      </w:r>
      <w:r w:rsidRPr="006D5EEE">
        <w:rPr>
          <w:rStyle w:val="FootnoteReference"/>
          <w:color w:val="000000" w:themeColor="text1"/>
          <w:szCs w:val="24"/>
        </w:rPr>
        <w:footnoteReference w:id="3"/>
      </w:r>
      <w:r w:rsidRPr="006D5EEE">
        <w:rPr>
          <w:color w:val="000000" w:themeColor="text1"/>
        </w:rPr>
        <w:t>,</w:t>
      </w:r>
    </w:p>
    <w:p w14:paraId="585FDB1B" w14:textId="77777777" w:rsidR="00756C99" w:rsidRPr="006D5EEE" w:rsidRDefault="00756C99" w:rsidP="00756C99">
      <w:pPr>
        <w:pStyle w:val="NormalHanging12a"/>
        <w:widowControl/>
        <w:rPr>
          <w:color w:val="000000" w:themeColor="text1"/>
          <w:szCs w:val="24"/>
        </w:rPr>
      </w:pPr>
      <w:r w:rsidRPr="006D5EEE">
        <w:rPr>
          <w:color w:val="000000" w:themeColor="text1"/>
        </w:rPr>
        <w:t>–</w:t>
      </w:r>
      <w:r w:rsidRPr="006D5EEE">
        <w:rPr>
          <w:color w:val="000000" w:themeColor="text1"/>
        </w:rPr>
        <w:tab/>
        <w:t>med beaktande av sin resolution av den 24 november 2022 om bedömning av Ungerns efterlevnad av de rättsstatliga villkoren enligt förordningen om villkorlighet och läget beträffande Ungerns återhämtnings- och resiliensplan</w:t>
      </w:r>
      <w:r w:rsidRPr="006D5EEE">
        <w:rPr>
          <w:rStyle w:val="FootnoteReference"/>
          <w:color w:val="000000" w:themeColor="text1"/>
          <w:szCs w:val="24"/>
        </w:rPr>
        <w:footnoteReference w:id="4"/>
      </w:r>
      <w:r w:rsidRPr="006D5EEE">
        <w:rPr>
          <w:color w:val="000000" w:themeColor="text1"/>
        </w:rPr>
        <w:t>,</w:t>
      </w:r>
    </w:p>
    <w:p w14:paraId="70656CC7"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med beaktande av sin resolution av den 1 juni 2023 om åsidosättanden av rättsstatsprincipen och de grundläggande rättigheterna i Ungern och frysta EU-medel</w:t>
      </w:r>
      <w:r w:rsidRPr="006D5EEE">
        <w:rPr>
          <w:rStyle w:val="FootnoteReference"/>
          <w:color w:val="000000" w:themeColor="text1"/>
          <w:szCs w:val="24"/>
        </w:rPr>
        <w:footnoteReference w:id="5"/>
      </w:r>
      <w:r w:rsidRPr="006D5EEE">
        <w:rPr>
          <w:color w:val="000000" w:themeColor="text1"/>
        </w:rPr>
        <w:t>,</w:t>
      </w:r>
    </w:p>
    <w:p w14:paraId="7E0B038D"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med beaktande av sin resolution av den 18 januari 2024 om situationen i Ungern och frysta EU-medel</w:t>
      </w:r>
      <w:r w:rsidRPr="006D5EEE">
        <w:rPr>
          <w:rStyle w:val="FootnoteReference"/>
          <w:color w:val="000000" w:themeColor="text1"/>
          <w:szCs w:val="24"/>
        </w:rPr>
        <w:footnoteReference w:id="6"/>
      </w:r>
      <w:r w:rsidRPr="006D5EEE">
        <w:rPr>
          <w:color w:val="000000" w:themeColor="text1"/>
        </w:rPr>
        <w:t>,</w:t>
      </w:r>
    </w:p>
    <w:p w14:paraId="079442C5"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med beaktande av kapitlen om situationen i Ungern i kommissionens årliga rapporter om rättsstatsprincipen,</w:t>
      </w:r>
    </w:p>
    <w:p w14:paraId="5DD22D7F"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med beaktande av Venedigkommissionens yttrande om Ungerns lag LXXXVIII från 2023 om skyddet av den nationella suveräniteten, som antogs vid dess 138:e plenarsession i Venedig den 15–16 mars 2024,</w:t>
      </w:r>
    </w:p>
    <w:p w14:paraId="6328483C" w14:textId="77777777" w:rsidR="00756C99" w:rsidRPr="006D5EEE" w:rsidRDefault="00756C99" w:rsidP="00756C99">
      <w:pPr>
        <w:pStyle w:val="NormalHanging12a"/>
        <w:rPr>
          <w:color w:val="000000" w:themeColor="text1"/>
          <w:szCs w:val="24"/>
        </w:rPr>
      </w:pPr>
      <w:r w:rsidRPr="006D5EEE">
        <w:rPr>
          <w:color w:val="000000" w:themeColor="text1"/>
        </w:rPr>
        <w:t>–</w:t>
      </w:r>
      <w:r w:rsidRPr="006D5EEE">
        <w:rPr>
          <w:color w:val="000000" w:themeColor="text1"/>
        </w:rPr>
        <w:tab/>
        <w:t>med beaktande av artikel 132.2 i arbetsordningen, och av följande skäl:</w:t>
      </w:r>
    </w:p>
    <w:p w14:paraId="1B68239B" w14:textId="77777777" w:rsidR="00756C99" w:rsidRPr="006D5EEE" w:rsidRDefault="00756C99" w:rsidP="00756C99">
      <w:pPr>
        <w:pStyle w:val="NormalHanging12a"/>
        <w:rPr>
          <w:color w:val="000000" w:themeColor="text1"/>
          <w:szCs w:val="24"/>
        </w:rPr>
      </w:pPr>
      <w:r w:rsidRPr="006D5EEE">
        <w:rPr>
          <w:color w:val="000000" w:themeColor="text1"/>
        </w:rPr>
        <w:t>A.</w:t>
      </w:r>
      <w:r w:rsidRPr="006D5EEE">
        <w:rPr>
          <w:color w:val="000000" w:themeColor="text1"/>
        </w:rPr>
        <w:tab/>
        <w:t>Unionen bygger på värdena respekt för människans värdighet, frihet, demokrati, jämlikhet, rättsstaten och respekt för de mänskliga rättigheterna, inklusive rättigheter för personer som tillhör minoriteter, enligt artikel 2 i EU-fördraget och såsom återspeglas i stadgan och fastslås i internationella människorättsfördrag. Dessa värden är gemensamma för medlemsstaterna och ligger till grund för de rättigheter som personer som lever i unionen åtnjuter.</w:t>
      </w:r>
    </w:p>
    <w:p w14:paraId="052AA3D0" w14:textId="77777777" w:rsidR="00756C99" w:rsidRPr="006D5EEE" w:rsidRDefault="00756C99" w:rsidP="00756C99">
      <w:pPr>
        <w:pStyle w:val="NormalHanging12a"/>
        <w:rPr>
          <w:color w:val="000000" w:themeColor="text1"/>
          <w:szCs w:val="24"/>
        </w:rPr>
      </w:pPr>
      <w:r w:rsidRPr="006D5EEE">
        <w:rPr>
          <w:color w:val="000000" w:themeColor="text1"/>
        </w:rPr>
        <w:t>B.</w:t>
      </w:r>
      <w:r w:rsidRPr="006D5EEE">
        <w:rPr>
          <w:color w:val="000000" w:themeColor="text1"/>
        </w:rPr>
        <w:tab/>
        <w:t>En klar risk för att en medlemsstat allvarligt åsidosätter de värden som anges i artikel 2 i EU-fördraget berör inte bara den enskilda medlemsstat där risken har uppstått, utan påverkar även övriga medlemsstater, deras ömsesidiga förtroende, EU:s själva natur och unionsmedborgarnas grundläggande rättigheter enligt EU:s lagstiftning.</w:t>
      </w:r>
    </w:p>
    <w:p w14:paraId="4FDB265F" w14:textId="77777777" w:rsidR="00756C99" w:rsidRPr="006D5EEE" w:rsidRDefault="00756C99" w:rsidP="00756C99">
      <w:pPr>
        <w:pStyle w:val="NormalHanging12a"/>
        <w:rPr>
          <w:color w:val="000000" w:themeColor="text1"/>
          <w:szCs w:val="24"/>
        </w:rPr>
      </w:pPr>
      <w:r w:rsidRPr="006D5EEE">
        <w:rPr>
          <w:color w:val="000000" w:themeColor="text1"/>
        </w:rPr>
        <w:t>C.</w:t>
      </w:r>
      <w:r w:rsidRPr="006D5EEE">
        <w:rPr>
          <w:color w:val="000000" w:themeColor="text1"/>
        </w:rPr>
        <w:tab/>
        <w:t>Tillämpningsområdet för artikel 7 i EU-fördraget är inte begränsat till skyldigheterna enligt fördragen, till skillnad från artikel 258 i fördraget om Europeiska unionens funktionssätt (EUF-fördraget), och EU kan bedöma om det finns en klar risk för ett allvarligt åsidosättande av de gemensamma värdena på områden som omfattas av medlemsstaternas befogenheter.</w:t>
      </w:r>
    </w:p>
    <w:p w14:paraId="255BF31D" w14:textId="77777777" w:rsidR="00756C99" w:rsidRPr="006D5EEE" w:rsidRDefault="00756C99" w:rsidP="00756C99">
      <w:pPr>
        <w:pStyle w:val="NormalHanging12a"/>
        <w:rPr>
          <w:color w:val="000000" w:themeColor="text1"/>
          <w:szCs w:val="24"/>
        </w:rPr>
      </w:pPr>
      <w:r w:rsidRPr="006D5EEE">
        <w:rPr>
          <w:color w:val="000000" w:themeColor="text1"/>
        </w:rPr>
        <w:t>D.</w:t>
      </w:r>
      <w:r w:rsidRPr="006D5EEE">
        <w:rPr>
          <w:color w:val="000000" w:themeColor="text1"/>
        </w:rPr>
        <w:tab/>
        <w:t xml:space="preserve">2018 inledde rådet, efter ett förslag från Europaparlamentet, det förfarande som fastställs i artikel 7.1 i EU-fördraget i syfte att åtgärda en klar risk för att Ungern allvarligt åsidosätter de värden som anges i artikel 2 i EU-fördraget. Sex utfrågningar om situationen i Ungern enligt förfarandet i artikel 7.1 i EU-fördraget har ägt rum </w:t>
      </w:r>
      <w:r w:rsidRPr="006D5EEE">
        <w:rPr>
          <w:color w:val="000000" w:themeColor="text1"/>
        </w:rPr>
        <w:lastRenderedPageBreak/>
        <w:t>i rådet sedan förfarandet inleddes, men rådet har ännu inte försökt fastställa om en sådan risk föreligger och har inte utfärdat några rekommendationer till Ungerns regering.</w:t>
      </w:r>
    </w:p>
    <w:p w14:paraId="538A68E4" w14:textId="77777777" w:rsidR="00756C99" w:rsidRPr="006D5EEE" w:rsidRDefault="00756C99" w:rsidP="00756C99">
      <w:pPr>
        <w:pStyle w:val="NormalHanging12a"/>
        <w:rPr>
          <w:color w:val="000000" w:themeColor="text1"/>
          <w:szCs w:val="24"/>
        </w:rPr>
      </w:pPr>
      <w:r w:rsidRPr="006D5EEE">
        <w:rPr>
          <w:color w:val="000000" w:themeColor="text1"/>
        </w:rPr>
        <w:t>E.</w:t>
      </w:r>
      <w:r w:rsidRPr="006D5EEE">
        <w:rPr>
          <w:color w:val="000000" w:themeColor="text1"/>
        </w:rPr>
        <w:tab/>
        <w:t>Förordningen om villkorlighet är av yttersta vikt eftersom den är det instrument som gör det möjligt att skydda EU:s medel på ett ändamålsenligt sätt.</w:t>
      </w:r>
    </w:p>
    <w:p w14:paraId="7FE6C5FF" w14:textId="77777777" w:rsidR="00756C99" w:rsidRPr="006D5EEE" w:rsidRDefault="00756C99" w:rsidP="00756C99">
      <w:pPr>
        <w:pStyle w:val="NormalHanging12a"/>
        <w:rPr>
          <w:color w:val="000000" w:themeColor="text1"/>
          <w:szCs w:val="24"/>
        </w:rPr>
      </w:pPr>
      <w:r w:rsidRPr="006D5EEE">
        <w:rPr>
          <w:color w:val="000000" w:themeColor="text1"/>
        </w:rPr>
        <w:t>F.</w:t>
      </w:r>
      <w:r w:rsidRPr="006D5EEE">
        <w:rPr>
          <w:color w:val="000000" w:themeColor="text1"/>
        </w:rPr>
        <w:tab/>
        <w:t>Kommissionen har beslutat att bevilja Ungern 0,9 miljarder euro i förfinansiering inom ramen för REPowerEU. Sådan förfinansiering kan betalas utan villkor, men inte utan kontroller.</w:t>
      </w:r>
    </w:p>
    <w:p w14:paraId="5346B94D" w14:textId="77777777" w:rsidR="00756C99" w:rsidRPr="006D5EEE" w:rsidRDefault="00756C99" w:rsidP="00756C99">
      <w:pPr>
        <w:pStyle w:val="NormalHanging12a"/>
        <w:rPr>
          <w:bCs/>
          <w:color w:val="000000" w:themeColor="text1"/>
          <w:szCs w:val="24"/>
        </w:rPr>
      </w:pPr>
      <w:r w:rsidRPr="006D5EEE">
        <w:rPr>
          <w:color w:val="000000" w:themeColor="text1"/>
        </w:rPr>
        <w:t>G.</w:t>
      </w:r>
      <w:r w:rsidRPr="006D5EEE">
        <w:rPr>
          <w:color w:val="000000" w:themeColor="text1"/>
        </w:rPr>
        <w:tab/>
        <w:t>Parlamentet bedömde i sin resolution av den 15 september 2022 att flera problem med Ungerns efterlevnad av de värden som fastställs i artikel 2 i EU-fördraget kvarstod eller hade förvärrats avsevärt sedan förfarandet enligt artikel 7.1 i EU-fördraget inleddes, bland annat när det gäller rättsväsendets oberoende, korruption, intressekonflikter, mediernas oberoende och mångfald, det konstitutionella systemets och valsystemets funktionssätt samt det medborgerliga utrymmet.</w:t>
      </w:r>
    </w:p>
    <w:p w14:paraId="5B3FADF1" w14:textId="77777777" w:rsidR="00756C99" w:rsidRPr="006D5EEE" w:rsidRDefault="00756C99" w:rsidP="00756C99">
      <w:pPr>
        <w:pStyle w:val="NormalHanging12a"/>
        <w:rPr>
          <w:color w:val="000000" w:themeColor="text1"/>
          <w:szCs w:val="24"/>
        </w:rPr>
      </w:pPr>
      <w:r w:rsidRPr="006D5EEE">
        <w:rPr>
          <w:color w:val="000000" w:themeColor="text1"/>
        </w:rPr>
        <w:t>H.</w:t>
      </w:r>
      <w:r w:rsidRPr="006D5EEE">
        <w:rPr>
          <w:color w:val="000000" w:themeColor="text1"/>
        </w:rPr>
        <w:tab/>
        <w:t>Sedan denna resolution antogs har man sett begränsade förbättringar av situationen på vissa av dessa områden, medan den har varit fortsatt alarmerande på de flesta områden och försämrats ytterligare på vissa andra områden. Nya allvarliga problem har uppstått till följd av den ungerska regeringens åtgärder.</w:t>
      </w:r>
    </w:p>
    <w:p w14:paraId="3500D0C4" w14:textId="77777777" w:rsidR="00756C99" w:rsidRPr="006D5EEE" w:rsidRDefault="00756C99" w:rsidP="00756C99">
      <w:pPr>
        <w:pStyle w:val="NormalHanging12a"/>
        <w:rPr>
          <w:color w:val="000000" w:themeColor="text1"/>
          <w:szCs w:val="24"/>
        </w:rPr>
      </w:pPr>
      <w:r w:rsidRPr="006D5EEE">
        <w:rPr>
          <w:color w:val="000000" w:themeColor="text1"/>
        </w:rPr>
        <w:t>I.</w:t>
      </w:r>
      <w:r w:rsidRPr="006D5EEE">
        <w:rPr>
          <w:color w:val="000000" w:themeColor="text1"/>
        </w:rPr>
        <w:tab/>
        <w:t>I april 2024 gav sig tiotusentals ungrare ut på gatorna för att protestera mot ”state capture” och korruption.</w:t>
      </w:r>
    </w:p>
    <w:p w14:paraId="7B55BD5A" w14:textId="77777777" w:rsidR="00756C99" w:rsidRPr="006D5EEE" w:rsidRDefault="00756C99" w:rsidP="00756C99">
      <w:pPr>
        <w:pStyle w:val="NormalHanging12a"/>
        <w:rPr>
          <w:color w:val="000000" w:themeColor="text1"/>
          <w:szCs w:val="24"/>
        </w:rPr>
      </w:pPr>
      <w:r w:rsidRPr="006D5EEE">
        <w:rPr>
          <w:color w:val="000000" w:themeColor="text1"/>
        </w:rPr>
        <w:t>J.</w:t>
      </w:r>
      <w:r w:rsidRPr="006D5EEE">
        <w:rPr>
          <w:color w:val="000000" w:themeColor="text1"/>
        </w:rPr>
        <w:tab/>
        <w:t>2023 antog den ungerska regeringen ett lagstiftningspaket med reformer av rättsväsendet för att förbättra vissa aspekter av rättsväsendets oberoende, vilket bland annat innebar att nationella domarrådet fick ökat oberoende. Den icke uttömmande förteckningen över allvarliga brister i fråga om rättsstatsprincipen i rättssystemet som fortfarande inte har åtgärdats omfattar</w:t>
      </w:r>
    </w:p>
    <w:p w14:paraId="234E10D8"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bestämmelser om oavsättlighet för den sittande ordföranden för Ungerns högsta domstol, Kúria,</w:t>
      </w:r>
    </w:p>
    <w:p w14:paraId="04E8FEB9"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avsaknad av meningsfulla skyddsåtgärder och garantier för att Kúria är oberoende,</w:t>
      </w:r>
    </w:p>
    <w:p w14:paraId="7980A0EC"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brist på insyn och automatisering i systemet för fördelning av ärenden i Kúria och brist på öppenhet när det gäller reglerna för panelernas sammansättning,</w:t>
      </w:r>
    </w:p>
    <w:p w14:paraId="56AA73E5"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politiska och administrativa påtryckningar på nationella domarrådet och dess ledamöters oberoende, bland annat genom smutskastningskampanjer,</w:t>
      </w:r>
    </w:p>
    <w:p w14:paraId="642D0343"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bestämmelser om utnämning och befordran av samt oavsättlighet för domare,</w:t>
      </w:r>
    </w:p>
    <w:p w14:paraId="2DE310D6"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avsaknad av meningsfulla skyddsåtgärder och garantier för att de domare som prövar förvaltningsbeslut är oberoende,</w:t>
      </w:r>
    </w:p>
    <w:p w14:paraId="7B09A001"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ett ökande antal hinder för att begära förhandsavgöranden från Europeiska unionens domstol (EU-domstolen),</w:t>
      </w:r>
    </w:p>
    <w:p w14:paraId="3B4C4465"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 xml:space="preserve">bristfälliga regler om immunitet och disciplinära förfaranden mot åklagare och </w:t>
      </w:r>
      <w:r w:rsidRPr="006D5EEE">
        <w:rPr>
          <w:color w:val="000000" w:themeColor="text1"/>
        </w:rPr>
        <w:lastRenderedPageBreak/>
        <w:t>domare,</w:t>
      </w:r>
    </w:p>
    <w:p w14:paraId="77E89E3F"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politisk inblandning i åklagarmyndighetens och enskilda åklagares arbete,</w:t>
      </w:r>
    </w:p>
    <w:p w14:paraId="320BC2A3"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brist på effektiva stödtjänster för brottsoffer.</w:t>
      </w:r>
    </w:p>
    <w:p w14:paraId="0836A27D" w14:textId="77777777" w:rsidR="00756C99" w:rsidRPr="006D5EEE" w:rsidRDefault="00756C99" w:rsidP="00756C99">
      <w:pPr>
        <w:pStyle w:val="NormalHanging12a"/>
        <w:rPr>
          <w:color w:val="000000" w:themeColor="text1"/>
          <w:szCs w:val="24"/>
        </w:rPr>
      </w:pPr>
      <w:r w:rsidRPr="006D5EEE">
        <w:rPr>
          <w:color w:val="000000" w:themeColor="text1"/>
        </w:rPr>
        <w:t>K.</w:t>
      </w:r>
      <w:r w:rsidRPr="006D5EEE">
        <w:rPr>
          <w:color w:val="000000" w:themeColor="text1"/>
        </w:rPr>
        <w:tab/>
        <w:t>Den icke uttömmande förteckningen över ihållande allvarliga brister i fråga om korruptionsbekämpning och intressekonflikter omfattar</w:t>
      </w:r>
    </w:p>
    <w:p w14:paraId="33043C86"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avsaknaden av historik när det gäller utredningar, åtal och slutliga domar avseende korruptionsmål på hög nivå,</w:t>
      </w:r>
    </w:p>
    <w:p w14:paraId="4492B37A"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avsaknaden av stränga bestämmelser om lobbyverksamhet, svängdörrsproblematik och effektiv tillsyn över redovisningar av tillgångar,</w:t>
      </w:r>
    </w:p>
    <w:p w14:paraId="4AFC1E25"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integritetsmyndighetens brist på tillräcklig kompetens, befogenheter, tillgång till information och tillräckliga resurser,</w:t>
      </w:r>
    </w:p>
    <w:p w14:paraId="451D4E94"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avsaknad av offentligt samråd och offentlig debatt om åtgärder mot korruption,</w:t>
      </w:r>
    </w:p>
    <w:p w14:paraId="105C5524"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bristande ansvarsskyldighet för åklagarmyndigheter, även i fall av tjänstefel, åsidosättande av plikten och brottsligt beteende,</w:t>
      </w:r>
    </w:p>
    <w:p w14:paraId="413B0398"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politisk inblandning i det arbete som utförs av åklagarmyndigheter som utreder korruption och brottslighet på hög nivå.</w:t>
      </w:r>
    </w:p>
    <w:p w14:paraId="1005BCEE" w14:textId="77777777" w:rsidR="00756C99" w:rsidRPr="006D5EEE" w:rsidRDefault="00756C99" w:rsidP="00756C99">
      <w:pPr>
        <w:pStyle w:val="NormalHanging12a"/>
        <w:rPr>
          <w:color w:val="000000" w:themeColor="text1"/>
          <w:szCs w:val="24"/>
        </w:rPr>
      </w:pPr>
      <w:r w:rsidRPr="006D5EEE">
        <w:rPr>
          <w:color w:val="000000" w:themeColor="text1"/>
        </w:rPr>
        <w:t>L.</w:t>
      </w:r>
      <w:r w:rsidRPr="006D5EEE">
        <w:rPr>
          <w:color w:val="000000" w:themeColor="text1"/>
        </w:rPr>
        <w:tab/>
        <w:t>Den icke uttömmande förteckningen över ihållande allvarliga brister i fråga om mediefrihet och mediepluralism omfattar</w:t>
      </w:r>
    </w:p>
    <w:p w14:paraId="472DC0B7"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bristande funktionellt oberoende för mediemyndigheten och samordnaren för digitala tjänster,</w:t>
      </w:r>
    </w:p>
    <w:p w14:paraId="4147068B"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bristande redaktionellt och ekonomiskt oberoende för medier i allmänhetens tjänst och brist på mångfald av politiska åsikter i dessa medier, som den styrande majoriteten använder för politisk propaganda,</w:t>
      </w:r>
    </w:p>
    <w:p w14:paraId="5CD2E912"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missbruk av statlig reklam i regeringsvänliga mediekanaler och brist på regler och insyn i denna fråga,</w:t>
      </w:r>
    </w:p>
    <w:p w14:paraId="22444AEE"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smutskastningskampanjer mot oberoende journalister och medier,</w:t>
      </w:r>
    </w:p>
    <w:p w14:paraId="30FB5BD0"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ett växande antal hinder för tillgången till offentlig information,</w:t>
      </w:r>
    </w:p>
    <w:p w14:paraId="35FDFBC0"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avsaknad av meningsfulla utredningar av införandet av spionprogram riktade mot undersökande journalister och mediearbetare,</w:t>
      </w:r>
    </w:p>
    <w:p w14:paraId="6BAFCFA3"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 xml:space="preserve">koncentration av mediemarknaden och regeringens alltför stora inflytande över medielandskapet (däribland genom </w:t>
      </w:r>
      <w:r w:rsidRPr="006D5EEE">
        <w:rPr>
          <w:color w:val="000000" w:themeColor="text1"/>
          <w:shd w:val="clear" w:color="auto" w:fill="FFFFFF"/>
        </w:rPr>
        <w:t>Centraleuropeiska press- och mediestiftelsen, eller</w:t>
      </w:r>
      <w:r w:rsidRPr="006D5EEE">
        <w:rPr>
          <w:color w:val="000000" w:themeColor="text1"/>
        </w:rPr>
        <w:t xml:space="preserve"> KESMA, som den </w:t>
      </w:r>
      <w:r w:rsidRPr="006D5EEE">
        <w:rPr>
          <w:color w:val="000000" w:themeColor="text1"/>
          <w:shd w:val="clear" w:color="auto" w:fill="FFFFFF"/>
        </w:rPr>
        <w:t>kallas i Ungern</w:t>
      </w:r>
      <w:r w:rsidRPr="006D5EEE">
        <w:rPr>
          <w:color w:val="000000" w:themeColor="text1"/>
        </w:rPr>
        <w:t>),</w:t>
      </w:r>
    </w:p>
    <w:p w14:paraId="52BD86B7"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det faktum att mediekanaler och journalister kan bli föremål för utredningar av suveränitetsskyddsmyndigheten.</w:t>
      </w:r>
    </w:p>
    <w:p w14:paraId="4BE606E7" w14:textId="77777777" w:rsidR="00756C99" w:rsidRPr="006D5EEE" w:rsidRDefault="00756C99" w:rsidP="00756C99">
      <w:pPr>
        <w:pStyle w:val="NormalHanging12a"/>
        <w:rPr>
          <w:color w:val="000000" w:themeColor="text1"/>
          <w:szCs w:val="24"/>
        </w:rPr>
      </w:pPr>
      <w:r w:rsidRPr="006D5EEE">
        <w:rPr>
          <w:color w:val="000000" w:themeColor="text1"/>
        </w:rPr>
        <w:lastRenderedPageBreak/>
        <w:t>M.</w:t>
      </w:r>
      <w:r w:rsidRPr="006D5EEE">
        <w:rPr>
          <w:color w:val="000000" w:themeColor="text1"/>
        </w:rPr>
        <w:tab/>
        <w:t>Den icke uttömmande förteckningen över ihållande allvarliga brister i fråga om det konstitutionella systemet och valsystemet samt kontroller och motvikter omfattar</w:t>
      </w:r>
    </w:p>
    <w:p w14:paraId="52A39F63" w14:textId="77777777" w:rsidR="00756C99" w:rsidRPr="006D5EEE" w:rsidRDefault="00756C99" w:rsidP="00756C99">
      <w:pPr>
        <w:pStyle w:val="NormalHanging12a"/>
        <w:widowControl/>
        <w:ind w:left="1134"/>
        <w:rPr>
          <w:color w:val="000000" w:themeColor="text1"/>
          <w:szCs w:val="24"/>
        </w:rPr>
      </w:pPr>
      <w:r w:rsidRPr="006D5EEE">
        <w:rPr>
          <w:color w:val="000000" w:themeColor="text1"/>
        </w:rPr>
        <w:t>–</w:t>
      </w:r>
      <w:r w:rsidRPr="006D5EEE">
        <w:rPr>
          <w:color w:val="000000" w:themeColor="text1"/>
        </w:rPr>
        <w:tab/>
        <w:t>avsaknaden av rättvisa kampanjvillkor under val på lokal och nationell nivå och frekventa ändringar av vallagen,</w:t>
      </w:r>
    </w:p>
    <w:p w14:paraId="6A268024"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otillräcklig insyn och ansvarsskyldighet i utarbetandet och antagandet av lagar,</w:t>
      </w:r>
    </w:p>
    <w:p w14:paraId="620EC37C" w14:textId="77777777" w:rsidR="00756C99" w:rsidRPr="006D5EEE" w:rsidRDefault="00756C99" w:rsidP="00756C99">
      <w:pPr>
        <w:pStyle w:val="NormalHanging12a"/>
        <w:ind w:left="1134"/>
        <w:rPr>
          <w:bCs/>
          <w:color w:val="000000" w:themeColor="text1"/>
          <w:szCs w:val="24"/>
        </w:rPr>
      </w:pPr>
      <w:r w:rsidRPr="006D5EEE">
        <w:rPr>
          <w:color w:val="000000" w:themeColor="text1"/>
        </w:rPr>
        <w:t>–</w:t>
      </w:r>
      <w:r w:rsidRPr="006D5EEE">
        <w:rPr>
          <w:color w:val="000000" w:themeColor="text1"/>
        </w:rPr>
        <w:tab/>
        <w:t>det fortsatta officiella ”undantagstillståndet”, som ger regeringen omfattande undantagsbefogenheter och gör det möjligt för den att åsidosätta lagar på högre nivå i undantagslagar,</w:t>
      </w:r>
    </w:p>
    <w:p w14:paraId="6B6E6727"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avsaknaden av ett meningsfullt offentligt samråd om viktiga lagförslag,</w:t>
      </w:r>
    </w:p>
    <w:p w14:paraId="05782DB8"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minskningen av oberoende organs inflytande och påtryckningar på deras oberoende,</w:t>
      </w:r>
    </w:p>
    <w:p w14:paraId="6E7EAAB5" w14:textId="77777777" w:rsidR="00756C99" w:rsidRPr="006D5EEE" w:rsidRDefault="00756C99" w:rsidP="00756C99">
      <w:pPr>
        <w:pStyle w:val="NormalHanging12a"/>
        <w:ind w:left="1134"/>
        <w:rPr>
          <w:bCs/>
          <w:color w:val="000000" w:themeColor="text1"/>
          <w:szCs w:val="24"/>
        </w:rPr>
      </w:pPr>
      <w:r w:rsidRPr="006D5EEE">
        <w:rPr>
          <w:color w:val="000000" w:themeColor="text1"/>
        </w:rPr>
        <w:t>–</w:t>
      </w:r>
      <w:r w:rsidRPr="006D5EEE">
        <w:rPr>
          <w:color w:val="000000" w:themeColor="text1"/>
        </w:rPr>
        <w:tab/>
        <w:t>användningen av samlingslagar för att ändra olika lagar.</w:t>
      </w:r>
    </w:p>
    <w:p w14:paraId="0C67CACF" w14:textId="77777777" w:rsidR="00756C99" w:rsidRPr="006D5EEE" w:rsidRDefault="00756C99" w:rsidP="00756C99">
      <w:pPr>
        <w:pStyle w:val="NormalHanging12a"/>
        <w:rPr>
          <w:color w:val="000000" w:themeColor="text1"/>
          <w:szCs w:val="24"/>
        </w:rPr>
      </w:pPr>
      <w:r w:rsidRPr="006D5EEE">
        <w:rPr>
          <w:color w:val="000000" w:themeColor="text1"/>
        </w:rPr>
        <w:t>N.</w:t>
      </w:r>
      <w:r w:rsidRPr="006D5EEE">
        <w:rPr>
          <w:color w:val="000000" w:themeColor="text1"/>
        </w:rPr>
        <w:tab/>
        <w:t>Den icke uttömmande förteckningen över ihållande allvarliga brister i fråga om civilsamhällets funktion omfattar</w:t>
      </w:r>
    </w:p>
    <w:p w14:paraId="04DC0DCB"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den dämpande effekten av olika lagar som syftar till att begränsa oberoende civilsamhällesorganisationers existens och funktion, såsom lagen om insyn i organisationer som tar emot utländska medel och lagen om skyddet av den nationella suveräniteten,</w:t>
      </w:r>
    </w:p>
    <w:p w14:paraId="0909C6C4"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smutskastningskampanjer och trakasserier mot företrädare för civilsamhällesorganisationer,</w:t>
      </w:r>
    </w:p>
    <w:p w14:paraId="571B1283"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brist på offentlig finansiering för oberoende organisationer i det civila samhället samt ekonomiskt stöd till regeringsvänliga organisationer eller till organisationer som är kopplade till regeringen,</w:t>
      </w:r>
    </w:p>
    <w:p w14:paraId="44A2061A"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det faktum att civilsamhällesorganisationer och deras företrädare kan bli föremål för övervakning och utredningar av suveränitetsskyddsmyndigheten.</w:t>
      </w:r>
    </w:p>
    <w:p w14:paraId="16D0FD79" w14:textId="77777777" w:rsidR="00756C99" w:rsidRPr="006D5EEE" w:rsidRDefault="00756C99" w:rsidP="00756C99">
      <w:pPr>
        <w:pStyle w:val="NormalHanging12a"/>
        <w:rPr>
          <w:color w:val="000000" w:themeColor="text1"/>
          <w:szCs w:val="24"/>
        </w:rPr>
      </w:pPr>
      <w:r w:rsidRPr="006D5EEE">
        <w:rPr>
          <w:color w:val="000000" w:themeColor="text1"/>
        </w:rPr>
        <w:t>O.</w:t>
      </w:r>
      <w:r w:rsidRPr="006D5EEE">
        <w:rPr>
          <w:color w:val="000000" w:themeColor="text1"/>
        </w:rPr>
        <w:tab/>
        <w:t>Den icke uttömmande förteckningen över ihållande allvarliga brister i fråga om skyddet av EU:s ekonomiska intressen omfattar</w:t>
      </w:r>
    </w:p>
    <w:p w14:paraId="6A98BF41"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sättet på vilket de myndigheter som genomför EU:s budget fungerar,</w:t>
      </w:r>
    </w:p>
    <w:p w14:paraId="00EE1894"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systematiska oegentligheter, brister och svagheter i offentlig upphandling, inbegripet en stor andel anbudsförfaranden med endast ett anbud och brist på konkurrens i systemet för offentlig upphandling,</w:t>
      </w:r>
    </w:p>
    <w:p w14:paraId="493191D3"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svagheter i revisions- och kontrollmekanismerna för att garantera korrekt användning av EU-medel,</w:t>
      </w:r>
    </w:p>
    <w:p w14:paraId="0DB41E01"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otillräcklig kapacitet att förebygga och beivra bedrägerier, korruption eller andra överträdelser av EU-lagstiftningen i samband med genomförandet av EU:s budget eller skyddet av EU:s ekonomiska intressen,</w:t>
      </w:r>
    </w:p>
    <w:p w14:paraId="51EFBCD7" w14:textId="77777777" w:rsidR="00756C99" w:rsidRPr="006D5EEE" w:rsidRDefault="00756C99" w:rsidP="00756C99">
      <w:pPr>
        <w:pStyle w:val="NormalHanging12a"/>
        <w:ind w:left="1134"/>
        <w:rPr>
          <w:color w:val="000000" w:themeColor="text1"/>
          <w:szCs w:val="24"/>
        </w:rPr>
      </w:pPr>
      <w:r w:rsidRPr="006D5EEE">
        <w:rPr>
          <w:color w:val="000000" w:themeColor="text1"/>
        </w:rPr>
        <w:lastRenderedPageBreak/>
        <w:t>–</w:t>
      </w:r>
      <w:r w:rsidRPr="006D5EEE">
        <w:rPr>
          <w:color w:val="000000" w:themeColor="text1"/>
        </w:rPr>
        <w:tab/>
        <w:t>otillräcklig tillämpning av Arachne-verktyget,</w:t>
      </w:r>
    </w:p>
    <w:p w14:paraId="752C71F3"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bristande insyn i hur stiftelser för förvaltning av tillgångar av allmänt intresse använder EU-medel,</w:t>
      </w:r>
    </w:p>
    <w:p w14:paraId="451C5C0E"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Ungerns underlåtenhet att ansluta sig till Europeiska åklagarmyndigheten (Eppo).</w:t>
      </w:r>
    </w:p>
    <w:p w14:paraId="6C046AC3" w14:textId="77777777" w:rsidR="00756C99" w:rsidRPr="006D5EEE" w:rsidRDefault="00756C99" w:rsidP="00756C99">
      <w:pPr>
        <w:pStyle w:val="NormalHanging12a"/>
        <w:rPr>
          <w:color w:val="000000" w:themeColor="text1"/>
          <w:szCs w:val="24"/>
        </w:rPr>
      </w:pPr>
      <w:r w:rsidRPr="006D5EEE">
        <w:rPr>
          <w:color w:val="000000" w:themeColor="text1"/>
        </w:rPr>
        <w:t>P.</w:t>
      </w:r>
      <w:r w:rsidRPr="006D5EEE">
        <w:rPr>
          <w:color w:val="000000" w:themeColor="text1"/>
        </w:rPr>
        <w:tab/>
        <w:t>Den icke uttömmande förteckningen över ihållande allvarliga brister i fråga om den inre marknadens principer och regler omfattar</w:t>
      </w:r>
    </w:p>
    <w:p w14:paraId="0080A757" w14:textId="77777777" w:rsidR="00756C99" w:rsidRPr="006D5EEE" w:rsidRDefault="00756C99" w:rsidP="00756C99">
      <w:pPr>
        <w:pStyle w:val="NormalHanging12a"/>
        <w:ind w:left="1134"/>
        <w:rPr>
          <w:bCs/>
          <w:color w:val="000000" w:themeColor="text1"/>
          <w:szCs w:val="24"/>
        </w:rPr>
      </w:pPr>
      <w:r w:rsidRPr="006D5EEE">
        <w:rPr>
          <w:color w:val="000000" w:themeColor="text1"/>
        </w:rPr>
        <w:t>–</w:t>
      </w:r>
      <w:r w:rsidRPr="006D5EEE">
        <w:rPr>
          <w:color w:val="000000" w:themeColor="text1"/>
        </w:rPr>
        <w:tab/>
        <w:t>diskriminering av företag som är verksamma på områden som anses vara av strategiskt intresse för den ungerska regeringen,</w:t>
      </w:r>
    </w:p>
    <w:p w14:paraId="62A068AE" w14:textId="77777777" w:rsidR="00756C99" w:rsidRPr="006D5EEE" w:rsidRDefault="00756C99" w:rsidP="00756C99">
      <w:pPr>
        <w:pStyle w:val="NormalHanging12a"/>
        <w:ind w:left="1134"/>
        <w:rPr>
          <w:bCs/>
          <w:color w:val="000000" w:themeColor="text1"/>
          <w:szCs w:val="24"/>
        </w:rPr>
      </w:pPr>
      <w:r w:rsidRPr="006D5EEE">
        <w:rPr>
          <w:color w:val="000000" w:themeColor="text1"/>
        </w:rPr>
        <w:t>–</w:t>
      </w:r>
      <w:r w:rsidRPr="006D5EEE">
        <w:rPr>
          <w:color w:val="000000" w:themeColor="text1"/>
        </w:rPr>
        <w:tab/>
        <w:t>missbruk av myndighetsutövning och lagstiftningsbefogenheter och användning av metoder för att hota ekonomiska aktörer som är verksamma på områden som anses vara av strategiskt intresse för den ungerska regeringen.</w:t>
      </w:r>
    </w:p>
    <w:p w14:paraId="3EDCBE45" w14:textId="77777777" w:rsidR="00756C99" w:rsidRPr="006D5EEE" w:rsidRDefault="00756C99" w:rsidP="00756C99">
      <w:pPr>
        <w:pStyle w:val="NormalHanging12a"/>
        <w:rPr>
          <w:color w:val="000000" w:themeColor="text1"/>
          <w:szCs w:val="24"/>
        </w:rPr>
      </w:pPr>
      <w:r w:rsidRPr="006D5EEE">
        <w:rPr>
          <w:color w:val="000000" w:themeColor="text1"/>
        </w:rPr>
        <w:t>Q.</w:t>
      </w:r>
      <w:r w:rsidRPr="006D5EEE">
        <w:rPr>
          <w:color w:val="000000" w:themeColor="text1"/>
        </w:rPr>
        <w:tab/>
        <w:t>Den ungerska regeringen har också underlåtit att ta itu med andra problem som tas upp i parlamentets resolution av den 15 september 2022 om grundläggande rättigheter, såsom</w:t>
      </w:r>
    </w:p>
    <w:p w14:paraId="357C20F4"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den akademiska friheten,</w:t>
      </w:r>
    </w:p>
    <w:p w14:paraId="7608F9D8"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religionsfriheten, </w:t>
      </w:r>
    </w:p>
    <w:p w14:paraId="5165BF11"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rätten till likabehandling, inbegripet hbtqi-rättigheter,</w:t>
      </w:r>
    </w:p>
    <w:p w14:paraId="475FC2B9"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rättigheter för personer som tillhör minoriteter, bland annat romer och judar, och skydd mot hatiska uttalanden mot sådana minoriteter,</w:t>
      </w:r>
    </w:p>
    <w:p w14:paraId="3FBDFAFD"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migranters, asylsökandes och flyktingars grundläggande rättigheter,</w:t>
      </w:r>
    </w:p>
    <w:p w14:paraId="76529632" w14:textId="77777777" w:rsidR="00756C99" w:rsidRPr="006D5EEE" w:rsidRDefault="00756C99" w:rsidP="00756C99">
      <w:pPr>
        <w:pStyle w:val="NormalHanging12a"/>
        <w:ind w:left="1134"/>
        <w:rPr>
          <w:color w:val="000000" w:themeColor="text1"/>
          <w:szCs w:val="24"/>
        </w:rPr>
      </w:pPr>
      <w:r w:rsidRPr="006D5EEE">
        <w:rPr>
          <w:color w:val="000000" w:themeColor="text1"/>
        </w:rPr>
        <w:t>–</w:t>
      </w:r>
      <w:r w:rsidRPr="006D5EEE">
        <w:rPr>
          <w:color w:val="000000" w:themeColor="text1"/>
        </w:rPr>
        <w:tab/>
        <w:t>ekonomiska och sociala rättigheter.</w:t>
      </w:r>
    </w:p>
    <w:p w14:paraId="5958F7A5" w14:textId="77777777" w:rsidR="00756C99" w:rsidRPr="006D5EEE" w:rsidRDefault="00756C99" w:rsidP="00756C99">
      <w:pPr>
        <w:pStyle w:val="NormalHanging12a"/>
        <w:rPr>
          <w:color w:val="000000" w:themeColor="text1"/>
          <w:szCs w:val="24"/>
        </w:rPr>
      </w:pPr>
      <w:r w:rsidRPr="006D5EEE">
        <w:rPr>
          <w:color w:val="000000" w:themeColor="text1"/>
        </w:rPr>
        <w:t>R.</w:t>
      </w:r>
      <w:r w:rsidRPr="006D5EEE">
        <w:rPr>
          <w:color w:val="000000" w:themeColor="text1"/>
        </w:rPr>
        <w:tab/>
        <w:t xml:space="preserve">Lagen om skyddet av den nationella suveräniteten trädde i kraft den 23 december 2023. Till följd av detta inrättades den nya suveränitetsskyddsmyndigheten, och strafflagen har ändrats för att bland annat föreskriva ett fängelsestraff för användning av finansiering från utlandet till politiska kampanjer. I sitt uttalande av den 27 november 2023 angav Europarådets kommissarie för mänskliga rättigheter att utkastet till denna lag utgjorde en betydande risk för de mänskliga rättigheterna och att det borde slopas. I sitt yttrande av den 18 mars 2024 konstaterade Venedigkommissionen att restriktioner mot utländsk finansiering av politiska partier och valkampanjer var vanligt förekommande och i princip i linje med internationell bästa praxis och internationella standarder, men att det inte tydligt framgick av lagändringarna vilken typ av kampanjverksamhet som var förbjuden och hur man skulle fastställa att den har finansierats med utländska medel. Venedigkommissionen påpekade också i sitt yttrande att ändringarna inte tog hänsyn till samarbete mellan politiska partier på internationell nivå, uteslöt finansiering från internationella organisationer eller föreskrev respekt för internationella skyldigheter, däribland de skyldigheter som följer av EU-medlemskapet. Den 7 februari 2024 beslutade kommissionen att inleda ett överträdelseförfarande mot Ungern, eftersom den ansåg att lagen stred mot flera bestämmelser i EU:s primär- och sekundärrätt, däribland EU:s demokratiska värden, principen om demokrati och </w:t>
      </w:r>
      <w:r w:rsidRPr="006D5EEE">
        <w:rPr>
          <w:color w:val="000000" w:themeColor="text1"/>
        </w:rPr>
        <w:lastRenderedPageBreak/>
        <w:t>EU</w:t>
      </w:r>
      <w:r w:rsidRPr="006D5EEE">
        <w:rPr>
          <w:color w:val="000000" w:themeColor="text1"/>
        </w:rPr>
        <w:noBreakHyphen/>
        <w:t>medborgarnas rösträttigheter, och flera grundläggande rättigheter som fastställs i stadgan, såsom rätten till respekt för privatlivet och familjelivet, rätten till skydd av personuppgifter, yttrande- och informationsfriheten, föreningsfriheten, EU</w:t>
      </w:r>
      <w:r w:rsidRPr="006D5EEE">
        <w:rPr>
          <w:color w:val="000000" w:themeColor="text1"/>
        </w:rPr>
        <w:noBreakHyphen/>
        <w:t>medborgarnas rösträttigheter, rätten till ett effektivt rättsmedel och till en opartisk domstol, rätten att inte vittna mot sig själv och rätten till förtrolig kommunikation mellan advokat och klient, kraven i EU-lagstiftningen om dataskydd samt flera regler som är tillämpliga på den inre marknaden.</w:t>
      </w:r>
    </w:p>
    <w:p w14:paraId="45215BF8" w14:textId="77777777" w:rsidR="00756C99" w:rsidRPr="006D5EEE" w:rsidRDefault="00756C99" w:rsidP="00756C99">
      <w:pPr>
        <w:pStyle w:val="NormalHanging12a"/>
        <w:rPr>
          <w:color w:val="000000" w:themeColor="text1"/>
          <w:szCs w:val="24"/>
        </w:rPr>
      </w:pPr>
      <w:r w:rsidRPr="006D5EEE">
        <w:rPr>
          <w:color w:val="000000" w:themeColor="text1"/>
        </w:rPr>
        <w:t>S.</w:t>
      </w:r>
      <w:r w:rsidRPr="006D5EEE">
        <w:rPr>
          <w:color w:val="000000" w:themeColor="text1"/>
        </w:rPr>
        <w:tab/>
        <w:t>Sedan interimsrapporten antogs har EU-domstolen i sin dom i mål C-823/21</w:t>
      </w:r>
      <w:r w:rsidRPr="006D5EEE">
        <w:rPr>
          <w:rStyle w:val="FootnoteReference"/>
          <w:color w:val="000000" w:themeColor="text1"/>
          <w:szCs w:val="24"/>
        </w:rPr>
        <w:footnoteReference w:id="7"/>
      </w:r>
      <w:r w:rsidRPr="006D5EEE">
        <w:rPr>
          <w:color w:val="000000" w:themeColor="text1"/>
        </w:rPr>
        <w:t xml:space="preserve">, </w:t>
      </w:r>
      <w:r w:rsidRPr="006D5EEE">
        <w:rPr>
          <w:i/>
          <w:color w:val="000000" w:themeColor="text1"/>
        </w:rPr>
        <w:t>kommissionen</w:t>
      </w:r>
      <w:r w:rsidRPr="006D5EEE">
        <w:rPr>
          <w:color w:val="000000" w:themeColor="text1"/>
        </w:rPr>
        <w:t xml:space="preserve"> mot </w:t>
      </w:r>
      <w:r w:rsidRPr="006D5EEE">
        <w:rPr>
          <w:i/>
          <w:color w:val="000000" w:themeColor="text1"/>
        </w:rPr>
        <w:t>Ungern</w:t>
      </w:r>
      <w:r w:rsidRPr="006D5EEE">
        <w:rPr>
          <w:color w:val="000000" w:themeColor="text1"/>
        </w:rPr>
        <w:t>, förklarat att Ungern har underlåtit att uppfylla sina skyldigheter enligt EU:s asyllagstiftning genom att föreskriva att en ansökan om internationellt skydd måste föregås av en avsiktsförklaring vid en ungersk ambassad i ett tredjeland.</w:t>
      </w:r>
    </w:p>
    <w:p w14:paraId="2BD20991" w14:textId="77777777" w:rsidR="00756C99" w:rsidRPr="006D5EEE" w:rsidRDefault="00756C99" w:rsidP="00756C99">
      <w:pPr>
        <w:pStyle w:val="NormalHanging12a"/>
        <w:rPr>
          <w:color w:val="000000" w:themeColor="text1"/>
          <w:szCs w:val="24"/>
        </w:rPr>
      </w:pPr>
      <w:r w:rsidRPr="006D5EEE">
        <w:rPr>
          <w:color w:val="000000" w:themeColor="text1"/>
        </w:rPr>
        <w:t>T.</w:t>
      </w:r>
      <w:r w:rsidRPr="006D5EEE">
        <w:rPr>
          <w:color w:val="000000" w:themeColor="text1"/>
        </w:rPr>
        <w:tab/>
        <w:t>I Europeiska domstolen för de mänskliga rättigheternas (</w:t>
      </w:r>
      <w:r w:rsidRPr="006D5EEE">
        <w:rPr>
          <w:i/>
          <w:iCs/>
          <w:color w:val="000000" w:themeColor="text1"/>
        </w:rPr>
        <w:t>Europadomstolen</w:t>
      </w:r>
      <w:r w:rsidRPr="006D5EEE">
        <w:rPr>
          <w:color w:val="000000" w:themeColor="text1"/>
        </w:rPr>
        <w:t xml:space="preserve">) domar av den 10 november 2022 i målet </w:t>
      </w:r>
      <w:r w:rsidRPr="006D5EEE">
        <w:rPr>
          <w:i/>
          <w:color w:val="000000" w:themeColor="text1"/>
        </w:rPr>
        <w:t>Bakirdzi och Europeiska kommissionen</w:t>
      </w:r>
      <w:r w:rsidRPr="006D5EEE">
        <w:rPr>
          <w:color w:val="000000" w:themeColor="text1"/>
        </w:rPr>
        <w:t xml:space="preserve"> mot </w:t>
      </w:r>
      <w:r w:rsidRPr="006D5EEE">
        <w:rPr>
          <w:i/>
          <w:color w:val="000000" w:themeColor="text1"/>
        </w:rPr>
        <w:t>Ungern</w:t>
      </w:r>
      <w:r w:rsidRPr="006D5EEE">
        <w:rPr>
          <w:color w:val="000000" w:themeColor="text1"/>
        </w:rPr>
        <w:t xml:space="preserve"> (</w:t>
      </w:r>
      <w:hyperlink r:id="rId9" w:anchor="{%22appno%22:[%2249636/14%22]}" w:tgtFrame="_blank" w:history="1">
        <w:r w:rsidRPr="006D5EEE">
          <w:rPr>
            <w:rStyle w:val="Hyperlink"/>
            <w:color w:val="000000" w:themeColor="text1"/>
            <w:u w:val="none"/>
            <w:shd w:val="clear" w:color="auto" w:fill="FFFFFF"/>
          </w:rPr>
          <w:t>49636/14</w:t>
        </w:r>
      </w:hyperlink>
      <w:r w:rsidRPr="006D5EEE">
        <w:rPr>
          <w:color w:val="000000" w:themeColor="text1"/>
          <w:shd w:val="clear" w:color="auto" w:fill="FFFFFF"/>
        </w:rPr>
        <w:t xml:space="preserve"> och</w:t>
      </w:r>
      <w:r w:rsidRPr="006D5EEE">
        <w:rPr>
          <w:color w:val="000000" w:themeColor="text1"/>
        </w:rPr>
        <w:t xml:space="preserve"> </w:t>
      </w:r>
      <w:hyperlink r:id="rId10" w:anchor="{%22appno%22:[%2265678/14%22]}" w:tgtFrame="_blank" w:history="1">
        <w:r w:rsidRPr="006D5EEE">
          <w:rPr>
            <w:rStyle w:val="Hyperlink"/>
            <w:color w:val="000000" w:themeColor="text1"/>
            <w:u w:val="none"/>
            <w:shd w:val="clear" w:color="auto" w:fill="FFFFFF"/>
          </w:rPr>
          <w:t>65678/14</w:t>
        </w:r>
      </w:hyperlink>
      <w:r w:rsidRPr="006D5EEE">
        <w:rPr>
          <w:color w:val="000000" w:themeColor="text1"/>
        </w:rPr>
        <w:t xml:space="preserve">), som vann laga kraft den 3 april 2023, och av den 30 mars 2023 i målet </w:t>
      </w:r>
      <w:r w:rsidRPr="006D5EEE">
        <w:rPr>
          <w:i/>
          <w:color w:val="000000" w:themeColor="text1"/>
        </w:rPr>
        <w:t>Szolcsán</w:t>
      </w:r>
      <w:r w:rsidRPr="006D5EEE">
        <w:rPr>
          <w:color w:val="000000" w:themeColor="text1"/>
        </w:rPr>
        <w:t xml:space="preserve"> mot </w:t>
      </w:r>
      <w:r w:rsidRPr="006D5EEE">
        <w:rPr>
          <w:i/>
          <w:color w:val="000000" w:themeColor="text1"/>
        </w:rPr>
        <w:t>Ungern</w:t>
      </w:r>
      <w:r w:rsidRPr="006D5EEE">
        <w:rPr>
          <w:color w:val="000000" w:themeColor="text1"/>
        </w:rPr>
        <w:t xml:space="preserve"> (</w:t>
      </w:r>
      <w:r w:rsidRPr="006D5EEE">
        <w:rPr>
          <w:rStyle w:val="textcolumn"/>
          <w:color w:val="000000" w:themeColor="text1"/>
          <w:shd w:val="clear" w:color="auto" w:fill="FFFFFF"/>
        </w:rPr>
        <w:t>24408/16</w:t>
      </w:r>
      <w:r w:rsidRPr="006D5EEE">
        <w:rPr>
          <w:color w:val="000000" w:themeColor="text1"/>
        </w:rPr>
        <w:t>), som vann laga kraft den 30 juni 2023, konstaterade Europadomstolen kränkningar av rösträtten för väljare som tillhör nationella minoriteter och när det gäller utbildning av romska barn i segregerade klasser eller skolor utan att lämpliga åtgärder vidtagits för att åtgärda ojämlikheter.</w:t>
      </w:r>
    </w:p>
    <w:p w14:paraId="33C5DCAA" w14:textId="77777777" w:rsidR="00756C99" w:rsidRPr="006D5EEE" w:rsidRDefault="00756C99" w:rsidP="00756C99">
      <w:pPr>
        <w:pStyle w:val="NormalHanging12a"/>
        <w:rPr>
          <w:color w:val="000000" w:themeColor="text1"/>
          <w:szCs w:val="24"/>
        </w:rPr>
      </w:pPr>
      <w:r w:rsidRPr="006D5EEE">
        <w:rPr>
          <w:color w:val="000000" w:themeColor="text1"/>
        </w:rPr>
        <w:t>U.</w:t>
      </w:r>
      <w:r w:rsidRPr="006D5EEE">
        <w:rPr>
          <w:color w:val="000000" w:themeColor="text1"/>
        </w:rPr>
        <w:tab/>
        <w:t xml:space="preserve">I sina beslut om den pågående förstärkta övervakningen av verkställandet av Europadomstolens domar i målen och grupperna av mål </w:t>
      </w:r>
      <w:r w:rsidRPr="006D5EEE">
        <w:rPr>
          <w:i/>
          <w:color w:val="000000" w:themeColor="text1"/>
        </w:rPr>
        <w:t>Szabó och Vissy</w:t>
      </w:r>
      <w:r w:rsidRPr="006D5EEE">
        <w:rPr>
          <w:color w:val="000000" w:themeColor="text1"/>
        </w:rPr>
        <w:t xml:space="preserve"> mot </w:t>
      </w:r>
      <w:r w:rsidRPr="006D5EEE">
        <w:rPr>
          <w:i/>
          <w:color w:val="000000" w:themeColor="text1"/>
        </w:rPr>
        <w:t>Ungern</w:t>
      </w:r>
      <w:r w:rsidRPr="006D5EEE">
        <w:rPr>
          <w:rStyle w:val="FootnoteReference"/>
          <w:i/>
          <w:color w:val="000000" w:themeColor="text1"/>
          <w:szCs w:val="24"/>
        </w:rPr>
        <w:footnoteReference w:id="8"/>
      </w:r>
      <w:r w:rsidRPr="006D5EEE">
        <w:rPr>
          <w:color w:val="000000" w:themeColor="text1"/>
        </w:rPr>
        <w:t xml:space="preserve">, </w:t>
      </w:r>
      <w:r w:rsidRPr="006D5EEE">
        <w:rPr>
          <w:i/>
          <w:color w:val="000000" w:themeColor="text1"/>
        </w:rPr>
        <w:t>Gazsó</w:t>
      </w:r>
      <w:r w:rsidRPr="006D5EEE">
        <w:rPr>
          <w:color w:val="000000" w:themeColor="text1"/>
        </w:rPr>
        <w:t xml:space="preserve"> mot </w:t>
      </w:r>
      <w:r w:rsidRPr="006D5EEE">
        <w:rPr>
          <w:i/>
          <w:color w:val="000000" w:themeColor="text1"/>
        </w:rPr>
        <w:t>Ungern</w:t>
      </w:r>
      <w:r w:rsidRPr="006D5EEE">
        <w:rPr>
          <w:rStyle w:val="FootnoteReference"/>
          <w:i/>
          <w:color w:val="000000" w:themeColor="text1"/>
          <w:szCs w:val="24"/>
        </w:rPr>
        <w:footnoteReference w:id="9"/>
      </w:r>
      <w:r w:rsidRPr="006D5EEE">
        <w:rPr>
          <w:color w:val="000000" w:themeColor="text1"/>
        </w:rPr>
        <w:t xml:space="preserve">, </w:t>
      </w:r>
      <w:r w:rsidRPr="006D5EEE">
        <w:rPr>
          <w:i/>
          <w:color w:val="000000" w:themeColor="text1"/>
        </w:rPr>
        <w:t>Ilias och Ahmed</w:t>
      </w:r>
      <w:r w:rsidRPr="006D5EEE">
        <w:rPr>
          <w:color w:val="000000" w:themeColor="text1"/>
        </w:rPr>
        <w:t xml:space="preserve"> mot </w:t>
      </w:r>
      <w:r w:rsidRPr="006D5EEE">
        <w:rPr>
          <w:i/>
          <w:color w:val="000000" w:themeColor="text1"/>
        </w:rPr>
        <w:t>Ungern</w:t>
      </w:r>
      <w:r w:rsidRPr="006D5EEE">
        <w:rPr>
          <w:rStyle w:val="FootnoteReference"/>
          <w:i/>
          <w:color w:val="000000" w:themeColor="text1"/>
          <w:szCs w:val="24"/>
        </w:rPr>
        <w:footnoteReference w:id="10"/>
      </w:r>
      <w:r w:rsidRPr="006D5EEE">
        <w:rPr>
          <w:color w:val="000000" w:themeColor="text1"/>
        </w:rPr>
        <w:t xml:space="preserve"> och </w:t>
      </w:r>
      <w:r w:rsidRPr="006D5EEE">
        <w:rPr>
          <w:i/>
          <w:color w:val="000000" w:themeColor="text1"/>
        </w:rPr>
        <w:t>Baka</w:t>
      </w:r>
      <w:r w:rsidRPr="006D5EEE">
        <w:rPr>
          <w:color w:val="000000" w:themeColor="text1"/>
        </w:rPr>
        <w:t xml:space="preserve"> mot </w:t>
      </w:r>
      <w:r w:rsidRPr="006D5EEE">
        <w:rPr>
          <w:i/>
          <w:color w:val="000000" w:themeColor="text1"/>
        </w:rPr>
        <w:t>Ungern</w:t>
      </w:r>
      <w:r w:rsidRPr="006D5EEE">
        <w:rPr>
          <w:rStyle w:val="FootnoteReference"/>
          <w:i/>
          <w:color w:val="000000" w:themeColor="text1"/>
          <w:szCs w:val="24"/>
        </w:rPr>
        <w:footnoteReference w:id="11"/>
      </w:r>
      <w:r w:rsidRPr="006D5EEE">
        <w:rPr>
          <w:color w:val="000000" w:themeColor="text1"/>
        </w:rPr>
        <w:t>, upprepade Europarådets ministerkommitté sin oro över underlåtenheten att verkställa dessa domar.</w:t>
      </w:r>
    </w:p>
    <w:p w14:paraId="48AF2931" w14:textId="77777777" w:rsidR="00756C99" w:rsidRPr="006D5EEE" w:rsidRDefault="00756C99" w:rsidP="00756C99">
      <w:pPr>
        <w:pStyle w:val="NormalHanging12a"/>
        <w:rPr>
          <w:color w:val="000000" w:themeColor="text1"/>
          <w:szCs w:val="24"/>
        </w:rPr>
      </w:pPr>
      <w:r w:rsidRPr="006D5EEE">
        <w:rPr>
          <w:color w:val="000000" w:themeColor="text1"/>
        </w:rPr>
        <w:t>V.</w:t>
      </w:r>
      <w:r w:rsidRPr="006D5EEE">
        <w:rPr>
          <w:color w:val="000000" w:themeColor="text1"/>
        </w:rPr>
        <w:tab/>
        <w:t>I sin utvärderingsrapport från den femte utvärderingsrundan om Ungern uttryckte Gruppen av stater mot korruption (Greco) flera farhågor om ändamålsenligheten hos den ram som införts i Ungern för att förhindra korruption bland personer med höga verkställande befattningar och medlemmar av den ungerska nationella polisen och den nationella säkerhetstjänsten. Greco uppgav att ett gemensamt och allmänt drag hos den offentliga förvaltningen och de brottsbekämpande organen i Ungern är att de flesta integritetsåtgärder och korruptionsförebyggande åtgärder riktar sig mot tjänstemän på låg nivå och på mellannivå, medan den integritetsram som gäller för personer med höga verkställande befattningar är mycket svag och villkoren för att utse högre chefer inom polisväsendet och den nationella säkerhetstjänsten medför en risk för politisering.</w:t>
      </w:r>
    </w:p>
    <w:p w14:paraId="02CC28ED" w14:textId="77777777" w:rsidR="00756C99" w:rsidRPr="006D5EEE" w:rsidRDefault="00756C99" w:rsidP="00756C99">
      <w:pPr>
        <w:pStyle w:val="NormalHanging12a"/>
        <w:rPr>
          <w:color w:val="000000" w:themeColor="text1"/>
          <w:szCs w:val="24"/>
        </w:rPr>
      </w:pPr>
      <w:r w:rsidRPr="006D5EEE">
        <w:rPr>
          <w:color w:val="000000" w:themeColor="text1"/>
        </w:rPr>
        <w:t>W.</w:t>
      </w:r>
      <w:r w:rsidRPr="006D5EEE">
        <w:rPr>
          <w:color w:val="000000" w:themeColor="text1"/>
        </w:rPr>
        <w:tab/>
        <w:t xml:space="preserve">Europeiska kommissionen mot rasism och intolerans noterade i sin rapport en viss positiv utveckling i Ungern, men uttryckte oro över avskaffandet av myndigheten för likabehandling, stigmatiseringen av studenter från missgynnade miljöer och låginkomstfamiljer, såsom romska studenter, den betydande försämringen av </w:t>
      </w:r>
      <w:r w:rsidRPr="006D5EEE">
        <w:rPr>
          <w:color w:val="000000" w:themeColor="text1"/>
        </w:rPr>
        <w:lastRenderedPageBreak/>
        <w:t>hbti</w:t>
      </w:r>
      <w:r w:rsidRPr="006D5EEE">
        <w:rPr>
          <w:color w:val="000000" w:themeColor="text1"/>
        </w:rPr>
        <w:noBreakHyphen/>
        <w:t>personers mänskliga rättigheter, den alltmer främlingsfientliga offentliga debatten och politiska uttalanden som särskilt riktar sig mot flyktingar, asylsökande och migranter, muslimer och hbti-personer, den extremt begränsade ändamålsenligheten i den rättsliga ramen för hatpropaganda, underlåtenheten att genomföra de nationella strategierna för social integration, avskaffandet av statligt integrationsstöd för flyktingar och personer som beviljats alternativt skydd och den inskränka tillgången till asyl i landet.</w:t>
      </w:r>
    </w:p>
    <w:p w14:paraId="6D4AC3B1" w14:textId="77777777" w:rsidR="00756C99" w:rsidRPr="006D5EEE" w:rsidRDefault="00756C99" w:rsidP="00756C99">
      <w:pPr>
        <w:pStyle w:val="NormalHanging12a"/>
        <w:rPr>
          <w:color w:val="000000" w:themeColor="text1"/>
          <w:szCs w:val="24"/>
        </w:rPr>
      </w:pPr>
      <w:r w:rsidRPr="006D5EEE">
        <w:rPr>
          <w:color w:val="000000" w:themeColor="text1"/>
        </w:rPr>
        <w:t>X.</w:t>
      </w:r>
      <w:r w:rsidRPr="006D5EEE">
        <w:rPr>
          <w:color w:val="000000" w:themeColor="text1"/>
        </w:rPr>
        <w:tab/>
        <w:t>FN:s kommitté för avskaffande av diskriminering av kvinnor uttryckte i sina avslutande iakttagelser oro över sexuell och reproduktiv hälsa och rättigheter och det faktum att Ungerns jämställdhetspolitik uteslutande bygger på begreppet familj, där en kvinnas främsta roll är som hustru och mor, och rekommenderade Ungern att vidta åtgärder för att motverka en genusfientlig offentlig debatt.</w:t>
      </w:r>
    </w:p>
    <w:p w14:paraId="684254F6" w14:textId="77777777" w:rsidR="00756C99" w:rsidRPr="006D5EEE" w:rsidRDefault="00756C99" w:rsidP="00756C99">
      <w:pPr>
        <w:pStyle w:val="NormalHanging12a"/>
        <w:rPr>
          <w:color w:val="000000" w:themeColor="text1"/>
          <w:szCs w:val="24"/>
        </w:rPr>
      </w:pPr>
      <w:r w:rsidRPr="006D5EEE">
        <w:rPr>
          <w:color w:val="000000" w:themeColor="text1"/>
        </w:rPr>
        <w:t>Y.</w:t>
      </w:r>
      <w:r w:rsidRPr="006D5EEE">
        <w:rPr>
          <w:color w:val="000000" w:themeColor="text1"/>
        </w:rPr>
        <w:tab/>
        <w:t>Företrädaren för mediefrihet vid Organisationen för säkerhet och samarbete i Europa uppgav i sitt uttalande efter ett officiellt besök i Ungern att när man undersöker situationen för mediefriheten i Ungern ser man en systematisk strategi där vissa röster inte åtnjuter samma grundläggande villkor för att höras.</w:t>
      </w:r>
    </w:p>
    <w:p w14:paraId="53C25548" w14:textId="72A2CC75" w:rsidR="00756C99" w:rsidRPr="006D5EEE" w:rsidRDefault="00756C99" w:rsidP="00756C99">
      <w:pPr>
        <w:pStyle w:val="NormalHanging12a"/>
        <w:rPr>
          <w:color w:val="000000" w:themeColor="text1"/>
          <w:szCs w:val="24"/>
        </w:rPr>
      </w:pPr>
      <w:r w:rsidRPr="006D5EEE">
        <w:rPr>
          <w:color w:val="000000" w:themeColor="text1"/>
        </w:rPr>
        <w:t>Z.</w:t>
      </w:r>
      <w:r w:rsidRPr="006D5EEE">
        <w:rPr>
          <w:color w:val="000000" w:themeColor="text1"/>
        </w:rPr>
        <w:tab/>
        <w:t>I sin rekommendation om Ungerns nationella reformprogram 2023 med avgivande av rådets yttrande om Ungerns konvergensprogram 2023 (COM(2023)0617) rekommenderade rådet Ungern att vidta åtgärder för att förbättra tillräckligheten för det sociala trygghetssystemet, förbättra tillgången till effektiva aktiva arbetsmarknadsåtgärder, säkerställa en effektiv social dialog och förbättra regelverket och konkurrensen inom tjänstesektorn i enlighet med principerna för den inre marknaden och rättsstatsprincipen.</w:t>
      </w:r>
    </w:p>
    <w:p w14:paraId="614E84EB" w14:textId="77777777" w:rsidR="00756C99" w:rsidRPr="006D5EEE" w:rsidRDefault="00756C99" w:rsidP="00756C99">
      <w:pPr>
        <w:pStyle w:val="NormalHanging12a"/>
        <w:rPr>
          <w:color w:val="000000" w:themeColor="text1"/>
          <w:szCs w:val="24"/>
        </w:rPr>
      </w:pPr>
      <w:r w:rsidRPr="006D5EEE">
        <w:rPr>
          <w:color w:val="000000" w:themeColor="text1"/>
        </w:rPr>
        <w:t>AA.</w:t>
      </w:r>
      <w:r w:rsidRPr="006D5EEE">
        <w:rPr>
          <w:color w:val="000000" w:themeColor="text1"/>
        </w:rPr>
        <w:tab/>
        <w:t>Den ungerska regeringen har underlåtit att genomföra flera domar från den ungerska författningsdomstolen, EU-domstolen och Europadomstolen om Ungerns kränkningar av de värden som fastställs i artikel 2 i EU-fördraget och att följa upp de allra flesta av rekommendationerna i kommissionens rapport om rättsstatsprincipen 2023 eller rekommendationerna från andra internationella organ såsom Greco, Venedigkommissionen m.fl.</w:t>
      </w:r>
    </w:p>
    <w:p w14:paraId="1C4E1C71" w14:textId="77777777" w:rsidR="00756C99" w:rsidRPr="006D5EEE" w:rsidRDefault="00756C99" w:rsidP="00756C99">
      <w:pPr>
        <w:pStyle w:val="NormalHanging12a"/>
        <w:rPr>
          <w:color w:val="000000" w:themeColor="text1"/>
          <w:szCs w:val="24"/>
        </w:rPr>
      </w:pPr>
      <w:r w:rsidRPr="006D5EEE">
        <w:rPr>
          <w:color w:val="000000" w:themeColor="text1"/>
        </w:rPr>
        <w:t>1.</w:t>
      </w:r>
      <w:r w:rsidRPr="006D5EEE">
        <w:rPr>
          <w:color w:val="000000" w:themeColor="text1"/>
        </w:rPr>
        <w:tab/>
        <w:t>Europaparlamentet är bestört över de ihållande systematiska och avsiktliga kränkningarna av demokratin, rättsstatsprincipen och de grundläggande rättigheterna i Ungern som den ungerska regeringen bär ansvaret för.</w:t>
      </w:r>
    </w:p>
    <w:p w14:paraId="7BA5D232" w14:textId="77777777" w:rsidR="00756C99" w:rsidRPr="006D5EEE" w:rsidRDefault="00756C99" w:rsidP="00756C99">
      <w:pPr>
        <w:pStyle w:val="NormalHanging12a"/>
        <w:rPr>
          <w:color w:val="000000" w:themeColor="text1"/>
          <w:szCs w:val="24"/>
        </w:rPr>
      </w:pPr>
      <w:r w:rsidRPr="006D5EEE">
        <w:rPr>
          <w:color w:val="000000" w:themeColor="text1"/>
        </w:rPr>
        <w:t>2.</w:t>
      </w:r>
      <w:r w:rsidRPr="006D5EEE">
        <w:rPr>
          <w:color w:val="000000" w:themeColor="text1"/>
        </w:rPr>
        <w:tab/>
        <w:t>Europaparlamentet betonar att respekten för de värden som fastställs i artikel 2 i EU</w:t>
      </w:r>
      <w:r w:rsidRPr="006D5EEE">
        <w:rPr>
          <w:color w:val="000000" w:themeColor="text1"/>
        </w:rPr>
        <w:noBreakHyphen/>
        <w:t>fördraget har försämrats avsevärt i Ungern sedan förfarandet enligt artikel 7.1 i EU </w:t>
      </w:r>
      <w:r w:rsidRPr="006D5EEE">
        <w:rPr>
          <w:color w:val="000000" w:themeColor="text1"/>
        </w:rPr>
        <w:noBreakHyphen/>
        <w:t>fördraget inleddes och beklagar djupt att bristen på beslutsamma åtgärder från kommissionens och rådets sida har bidragit till ett sammanbrott av demokratin, rättsstatligheten och de grundläggande rättigheterna i landet, vilket enligt relevanta index har omvandlat Ungern till en hybridregim med parlamentariskt envälde.</w:t>
      </w:r>
    </w:p>
    <w:p w14:paraId="237DBC61" w14:textId="7F214913" w:rsidR="00756C99" w:rsidRPr="006D5EEE" w:rsidRDefault="00756C99" w:rsidP="00756C99">
      <w:pPr>
        <w:pStyle w:val="NormalHanging12a"/>
        <w:widowControl/>
        <w:rPr>
          <w:color w:val="000000" w:themeColor="text1"/>
          <w:szCs w:val="24"/>
        </w:rPr>
      </w:pPr>
      <w:r w:rsidRPr="006D5EEE">
        <w:rPr>
          <w:color w:val="000000" w:themeColor="text1"/>
        </w:rPr>
        <w:t>3.</w:t>
      </w:r>
      <w:r w:rsidRPr="006D5EEE">
        <w:rPr>
          <w:color w:val="000000" w:themeColor="text1"/>
        </w:rPr>
        <w:tab/>
      </w:r>
      <w:r w:rsidR="0018477C" w:rsidRPr="006D5EEE">
        <w:t xml:space="preserve">Europaparlamentet fördömer antagandet av lagen om skyddet av den nationella suveräniteten och inrättandet av suveränitetsskyddsmyndigheten som har omfattande befogenheter och ett strikt system för övervakning och sanktioner, vilket i grunden strider mot demokratiska normer såsom principen om fria och rättvisa val, rättsstatsprincipen och de grundläggande rättigheterna och bryter mot flera EU-lagar. Parlamentet välkomnar kommissionens överträdelseförfarande mot Ungern i denna </w:t>
      </w:r>
      <w:r w:rsidR="0018477C" w:rsidRPr="006D5EEE">
        <w:lastRenderedPageBreak/>
        <w:t>fråga. Parlamentet uppmanar den ungerska regeringen att omedelbart upphäva lagen.</w:t>
      </w:r>
      <w:r w:rsidR="0018477C" w:rsidRPr="006D5EEE">
        <w:rPr>
          <w:b/>
          <w:i/>
        </w:rPr>
        <w:t xml:space="preserve"> </w:t>
      </w:r>
      <w:r w:rsidR="0018477C" w:rsidRPr="006D5EEE">
        <w:t>Parlamentet uppmanar kommissionen att begära att EU-domstolen omedelbart avbryter tillämpningen av ovannämnda lag som en interimistisk åtgärd, eftersom lagen påverkar principen om fria och rättvisa val</w:t>
      </w:r>
      <w:r w:rsidRPr="006D5EEE">
        <w:rPr>
          <w:color w:val="000000" w:themeColor="text1"/>
        </w:rPr>
        <w:t>.</w:t>
      </w:r>
    </w:p>
    <w:p w14:paraId="29B0A497" w14:textId="77777777" w:rsidR="00756C99" w:rsidRPr="006D5EEE" w:rsidRDefault="00756C99" w:rsidP="00756C99">
      <w:pPr>
        <w:pStyle w:val="NormalHanging12a"/>
        <w:rPr>
          <w:color w:val="000000" w:themeColor="text1"/>
          <w:szCs w:val="24"/>
        </w:rPr>
      </w:pPr>
      <w:r w:rsidRPr="006D5EEE">
        <w:rPr>
          <w:color w:val="000000" w:themeColor="text1"/>
        </w:rPr>
        <w:t>4.</w:t>
      </w:r>
      <w:r w:rsidRPr="006D5EEE">
        <w:rPr>
          <w:color w:val="000000" w:themeColor="text1"/>
        </w:rPr>
        <w:tab/>
        <w:t>Europaparlamentet beklagar rådets oförmåga att göra meningsfulla framsteg i det pågående förfarandet enligt artikel 7.1 i EU-fördraget och upprepar sin uppmaning att förbättra situationen genom att hålla regelbundna utfrågningar, snabbt ta itu med långvariga och nya problem som påverkar rättsstatsprincipen, demokratin och de grundläggande rättigheterna och utfärda konkreta rekommendationer med tidsfrister för genomförandet. Parlamentet uppmanar rådet att offentliggöra omfattande protokoll och slutsatser efter varje utfrågning. Parlamentet insisterar på att parlamentet i alla förfaranden som rör artikel 7 i EU-fördraget bör kunna lägga fram sitt motiverade förslag för rådet, närvara vid utfrågningar enligt artikel 7 i EU-fördraget och snabbt och fullständigt informeras i varje skede av förfarandet. Parlamentet uppmanar kommissionen och medlemsstaterna att inleda förfarandet enligt artikel 7.2 i EU</w:t>
      </w:r>
      <w:r w:rsidRPr="006D5EEE">
        <w:rPr>
          <w:color w:val="000000" w:themeColor="text1"/>
        </w:rPr>
        <w:noBreakHyphen/>
        <w:t>fördraget och uppmanar Europeiska rådet att fastställa om Ungern har gjort sig skyldigt till allvarliga och ihållande kränkningar av EU:s värden enligt artikel 7.2 i EU</w:t>
      </w:r>
      <w:r w:rsidRPr="006D5EEE">
        <w:rPr>
          <w:color w:val="000000" w:themeColor="text1"/>
        </w:rPr>
        <w:noBreakHyphen/>
        <w:t>fördraget, om inga framsteg görs före utgången av det belgiska ordförandeskapet. Parlamentet understryker att rådet delar ansvaret för att skydda de värden som fastställs i artikel 2 i EU-fördraget och att underlåtenhet att skydda dem skulle få långvariga och potentiellt skadliga konsekvenser.</w:t>
      </w:r>
    </w:p>
    <w:p w14:paraId="78A6F60A" w14:textId="77777777" w:rsidR="00756C99" w:rsidRPr="006D5EEE" w:rsidRDefault="00756C99" w:rsidP="00756C99">
      <w:pPr>
        <w:pStyle w:val="NormalHanging12a"/>
        <w:rPr>
          <w:color w:val="000000" w:themeColor="text1"/>
          <w:szCs w:val="24"/>
        </w:rPr>
      </w:pPr>
      <w:r w:rsidRPr="006D5EEE">
        <w:rPr>
          <w:color w:val="000000" w:themeColor="text1"/>
        </w:rPr>
        <w:t>5.</w:t>
      </w:r>
      <w:r w:rsidRPr="006D5EEE">
        <w:rPr>
          <w:color w:val="000000" w:themeColor="text1"/>
        </w:rPr>
        <w:tab/>
        <w:t>Europaparlamentet understryker att rådsordförandeskapet har en viktig roll i att driva rådets arbete med EU-lagstiftningen framåt, säkerställa kontinuiteten i EU-agendan och representera rådet i förbindelserna med de andra EU-institutionerna. Parlamentet upprepar sin oro över att Ungerns regering eventuellt inte kommer att kunna fullgöra denna uppgift på ett trovärdigt sätt under 2024, med tanke på att landet inte följer EU</w:t>
      </w:r>
      <w:r w:rsidRPr="006D5EEE">
        <w:rPr>
          <w:color w:val="000000" w:themeColor="text1"/>
        </w:rPr>
        <w:noBreakHyphen/>
        <w:t>rätten och värdena i artikel 2 i EU-fördraget och inte heller principen om lojalt samarbete. Parlamentet beklagar att rådet ännu inte har hittat någon lösning på detta problem och att företrädare för den ungerska regeringen kommer att leda rådets möten om demokrati, rättsstatlighet och grundläggande rättigheter, däribland möten som rör skyddet av EU:s ekonomiska intressen och budget. Parlamentet understryker att denna utmaning uppstår i det kritiska skede då det är val till Europaparlamentet och den nya kommissionen ska bildas. Parlamentet beklagar att man inte har lyckats hitta en lösning och upprepar sin beredvillighet att vidta åtgärder för att försvara unionens trovärdighet med avseende på de värden som fastställs i artikel 2 i EU-fördraget i fråga om samarbete med rådet.</w:t>
      </w:r>
    </w:p>
    <w:p w14:paraId="3839DEE3" w14:textId="77777777" w:rsidR="00756C99" w:rsidRPr="006D5EEE" w:rsidRDefault="00756C99" w:rsidP="00756C99">
      <w:pPr>
        <w:pStyle w:val="NormalHanging12a"/>
        <w:rPr>
          <w:color w:val="000000" w:themeColor="text1"/>
          <w:szCs w:val="24"/>
        </w:rPr>
      </w:pPr>
      <w:r w:rsidRPr="006D5EEE">
        <w:rPr>
          <w:color w:val="000000" w:themeColor="text1"/>
        </w:rPr>
        <w:t>6.</w:t>
      </w:r>
      <w:r w:rsidRPr="006D5EEE">
        <w:rPr>
          <w:color w:val="000000" w:themeColor="text1"/>
        </w:rPr>
        <w:tab/>
        <w:t>Europaparlamentet uppmanar rådet och kommissionen att ägna större uppmärksamhet åt att motverka den systematiska avvecklingen av rättsstatsprincipen, samt åt kopplingen mellan de olika kränkningar av värden som identifierats i dess resolutioner. Parlamentet betonar att EU bör försvara alla de värden som fastställs i artikel 2 i EU-fördraget med samma beslutsamhet och att underlåtenhet att göra detta undergräver de demokratiska institutionerna och i slutändan påverkar de mänskliga rättigheterna och livet för alla människor i länder där dessa värden kränks.</w:t>
      </w:r>
    </w:p>
    <w:p w14:paraId="1F286AAE" w14:textId="77777777" w:rsidR="00756C99" w:rsidRPr="006D5EEE" w:rsidRDefault="00756C99" w:rsidP="00756C99">
      <w:pPr>
        <w:pStyle w:val="NormalHanging12a"/>
        <w:rPr>
          <w:color w:val="000000" w:themeColor="text1"/>
          <w:szCs w:val="24"/>
        </w:rPr>
      </w:pPr>
      <w:r w:rsidRPr="006D5EEE">
        <w:rPr>
          <w:color w:val="000000" w:themeColor="text1"/>
        </w:rPr>
        <w:t>7.</w:t>
      </w:r>
      <w:r w:rsidRPr="006D5EEE">
        <w:rPr>
          <w:color w:val="000000" w:themeColor="text1"/>
        </w:rPr>
        <w:tab/>
        <w:t xml:space="preserve">Europaparlamentet upprepar sin uppmaning till kommissionen att fullt ut utnyttja tillgängliga verktyg för att ta itu med den klara risken för att Ungern allvarligt åsidosätter EU:s grundläggande värden, i synnerhet påskyndade överträdelseförfaranden, ansökningar om interimistiska åtgärder vid EU-domstolen och </w:t>
      </w:r>
      <w:r w:rsidRPr="006D5EEE">
        <w:rPr>
          <w:color w:val="000000" w:themeColor="text1"/>
        </w:rPr>
        <w:lastRenderedPageBreak/>
        <w:t>åtgärder mot underlåtenheten att verkställa domstolens domar. Parlamentet påminner om vikten av förordningen om villkorlighet och välkomnar kommissionens beslut av den 13 december 2023 som bekräftar att risken för unionens budget har varit oförändrad sedan december 2022, vilket har lett till att de åtgärder som antagits enligt förordningen har förlängts. Parlamentet uppmanar kommissionen att vidta omedelbara åtgärder enligt förordningen när det gäller andra överträdelser av rättsstatsprincipen.</w:t>
      </w:r>
    </w:p>
    <w:p w14:paraId="6C91623C" w14:textId="0D11DAF8" w:rsidR="00756C99" w:rsidRPr="006D5EEE" w:rsidRDefault="00756C99" w:rsidP="00756C99">
      <w:pPr>
        <w:pStyle w:val="NormalHanging12a"/>
        <w:rPr>
          <w:color w:val="000000" w:themeColor="text1"/>
          <w:szCs w:val="24"/>
        </w:rPr>
      </w:pPr>
      <w:r w:rsidRPr="006D5EEE">
        <w:rPr>
          <w:color w:val="000000" w:themeColor="text1"/>
        </w:rPr>
        <w:t>8.</w:t>
      </w:r>
      <w:r w:rsidRPr="006D5EEE">
        <w:rPr>
          <w:color w:val="000000" w:themeColor="text1"/>
        </w:rPr>
        <w:tab/>
      </w:r>
      <w:r w:rsidR="0018477C" w:rsidRPr="006D5EEE">
        <w:t xml:space="preserve">Europaparlamentet upprepar i samband med detta sin stora oro över beslutet, med tanke på att det övergripande nödvändiga villkoret i stadgan hade uppfyllts avseende rättsväsendets oberoende, vilket gjorde det möjligt för de ungerska myndigheterna att lämna in ansökningar om ersättning på upp till 10,2 miljarder euro utan att det fanns lämpliga kontrollmekanismer eller förfaranden för offentlig upphandling för att garantera en sund ekonomisk förvaltning eller skydd av EU:s budget. Parlamentet påminner om sin ansökan om att granska lagenligheten av beslut C(2023) 9014 inför EU-domstolen, i enlighet med artikel 263 i EUF-fördraget, som ingavs den 25 mars 2024. Parlamentet ser fram emot en snabb lösning i frågan. Parlamentet upprepar sin uppmaning till kommissionen att återkalla sitt beslut, särskilt mot bakgrund av de nationella åtgärder som vidtagits sedan det antogs och de läckta avslöjandena från Ungerns tidigare justitieminister, vilka tyder på en brist på oberoende lagföring och politisk inblandning i straffrättsliga förfaranden. Parlamentet uppmanar kommissionen att frysa medlen tills all relevant lagstiftning har genomförts fullt ut, de antagna åtgärderna har visat sig vara ändamålsenliga i praktiken och Ungern har genomfört alla relevanta domar från EU-domstolen och Europadomstolen. Parlamentet uppmanar kommissionen att noggrant kontrollera förfinansiering som beviljas med EU medel för att säkerställa att medlen genomförs i enlighet med målen i respektive lagstiftning. </w:t>
      </w:r>
      <w:r w:rsidR="00672E76" w:rsidRPr="006D5EEE">
        <w:t>Parlamentet upprepar sin uppmaning till Ungern att snarast ansluta sig till Eppo</w:t>
      </w:r>
      <w:r w:rsidR="0018477C" w:rsidRPr="006D5EEE">
        <w:t>. Parlamentet uppmanar kommissionen att kräva att Ungern deltar i Eppo.</w:t>
      </w:r>
      <w:r w:rsidR="0018477C" w:rsidRPr="006D5EEE">
        <w:rPr>
          <w:b/>
          <w:i/>
        </w:rPr>
        <w:t xml:space="preserve"> </w:t>
      </w:r>
    </w:p>
    <w:p w14:paraId="20728D83" w14:textId="77777777" w:rsidR="00756C99" w:rsidRPr="006D5EEE" w:rsidRDefault="00756C99" w:rsidP="00756C99">
      <w:pPr>
        <w:pStyle w:val="NormalHanging12a"/>
        <w:rPr>
          <w:color w:val="000000" w:themeColor="text1"/>
          <w:szCs w:val="24"/>
        </w:rPr>
      </w:pPr>
      <w:r w:rsidRPr="006D5EEE">
        <w:rPr>
          <w:color w:val="000000" w:themeColor="text1"/>
        </w:rPr>
        <w:t>9.</w:t>
      </w:r>
      <w:r w:rsidRPr="006D5EEE">
        <w:rPr>
          <w:color w:val="000000" w:themeColor="text1"/>
        </w:rPr>
        <w:tab/>
        <w:t>Europaparlamentet insisterar på att de åtgärder som krävs för att frigöra EU-medel, enligt definitionen i de relevanta beslut som fattats enligt förordningen om gemensamma bestämmelser</w:t>
      </w:r>
      <w:r w:rsidRPr="006D5EEE">
        <w:rPr>
          <w:rStyle w:val="FootnoteReference"/>
          <w:color w:val="000000" w:themeColor="text1"/>
          <w:szCs w:val="24"/>
        </w:rPr>
        <w:footnoteReference w:id="12"/>
      </w:r>
      <w:r w:rsidRPr="006D5EEE">
        <w:rPr>
          <w:color w:val="000000" w:themeColor="text1"/>
        </w:rPr>
        <w:t>, förordningen om faciliteten för återhämtning och resiliens</w:t>
      </w:r>
      <w:r w:rsidRPr="006D5EEE">
        <w:rPr>
          <w:rStyle w:val="FootnoteReference"/>
          <w:color w:val="000000" w:themeColor="text1"/>
          <w:szCs w:val="24"/>
        </w:rPr>
        <w:footnoteReference w:id="13"/>
      </w:r>
      <w:r w:rsidRPr="006D5EEE">
        <w:rPr>
          <w:color w:val="000000" w:themeColor="text1"/>
        </w:rPr>
        <w:t xml:space="preserve"> och förordningen om villkorlighet, måste bedömas på ett enhetligt sätt som ett integrerat paket och att inga betalningar bör göras även om framsteg görs på ett eller flera områden men brister kvarstår i ett annat. Parlamentet betonar att det är obegripligt att frigöra medel inom ramen för förordningen om gemensamma bestämmelser med hänvisning till förbättringar av rättsväsendets oberoende, samtidigt som medel inom ramen för faciliteten för återhämtning och resiliens och villkorlighetsmekanismen fortfarande är blockerade på grund av fortsatta brister i rättsväsendets oberoende.</w:t>
      </w:r>
    </w:p>
    <w:p w14:paraId="65AB9BDA" w14:textId="77777777" w:rsidR="00756C99" w:rsidRPr="006D5EEE" w:rsidRDefault="00756C99" w:rsidP="00756C99">
      <w:pPr>
        <w:pStyle w:val="NormalHanging12a"/>
        <w:widowControl/>
        <w:rPr>
          <w:color w:val="000000" w:themeColor="text1"/>
          <w:szCs w:val="24"/>
        </w:rPr>
      </w:pPr>
      <w:r w:rsidRPr="006D5EEE">
        <w:rPr>
          <w:color w:val="000000" w:themeColor="text1"/>
        </w:rPr>
        <w:lastRenderedPageBreak/>
        <w:t>10.</w:t>
      </w:r>
      <w:r w:rsidRPr="006D5EEE">
        <w:rPr>
          <w:color w:val="000000" w:themeColor="text1"/>
        </w:rPr>
        <w:tab/>
        <w:t>Europaparlamentet noterar inrättandet av integritetsmyndigheten som en av de korrigerande åtgärder som ska genomföras inom ramen för förordningen om villkorlighet. Parlamentet anser att enbart inrättandet av institutionen i sig inte kan anses vara tillräckligt för att ta itu med aktuella farhågor och anser att fullgörandet av de respektive korrigerande åtgärderna bör bedömas utifrån hur institutionen fungerar i praktiken. Parlamentet anser att integritetsmyndigheten har potential att avhjälpa vissa av farhågorna i samband med rättsstatssituationen i Ungern, särskilt kampen mot korruption, om den ges lämpliga rättigheter och genomförandebefogenheter. Parlamentet uttrycker dock oro över att myndigheten i praktiken saknar behörighet och befogenheter att fullgöra sina uppgifter på ett adekvat sätt, vilket framkom under det första året som den var verksam. Parlamentet insisterar på att den ska ges ytterligare befogenheter och att dessa befogenheter ska vara genomförbara, särskilt genom att den ges adekvat tillgång till relevanta databaser, att dess utredningsbefogenheter stärks och att det blir obligatoriskt att anta dess rekommendationer.</w:t>
      </w:r>
    </w:p>
    <w:p w14:paraId="0386DC0E" w14:textId="77777777" w:rsidR="00756C99" w:rsidRPr="006D5EEE" w:rsidRDefault="00756C99" w:rsidP="00756C99">
      <w:pPr>
        <w:pStyle w:val="NormalHanging12a"/>
        <w:rPr>
          <w:color w:val="000000" w:themeColor="text1"/>
          <w:szCs w:val="24"/>
        </w:rPr>
      </w:pPr>
      <w:r w:rsidRPr="006D5EEE">
        <w:rPr>
          <w:color w:val="000000" w:themeColor="text1"/>
        </w:rPr>
        <w:t>11.</w:t>
      </w:r>
      <w:r w:rsidRPr="006D5EEE">
        <w:rPr>
          <w:color w:val="000000" w:themeColor="text1"/>
        </w:rPr>
        <w:tab/>
        <w:t>Europaparlamentet understryker att efterlevnad av EU-rätten, inbegripet reglerna för den inre marknaden, är en av hörnstenarna i rättsstatsprincipen. Parlamentet uppmanar kommissionen att inkludera en bedömning av situationen på den inre marknaden i en medlemsstat i utvärderingen av rättsstatssituationen i varje medlemsstat. Parlamentet är bekymrat över de ungerska myndigheternas maktmissbruk mot och systematiska diskriminerande behandling av företag som är verksamma på områden som anses ha strategiskt intresse för den ungerska regeringen och oligarker. Parlamentet betonar att detta har lett till en miljö av diskriminering och rädsla som strider mot den inre marknadens pelare och utsätter vissa företag och deras legitima affärsintressen för allvarliga risker och i praktiken tvingar bort dem från den ungerska marknaden. Parlamentet uppmanar kommissionen att lägga särskilt fokus på efterlevnaden av reglerna för den inre marknaden när den bedömer rättsstatssituationen i Ungern. Parlamentet uppmanar kommissionen att undersöka om lagarna på områden som definieras som områden av strategiskt intresse för den ungerska regeringen är förenliga med gällande EU-lagstiftning. Parlamentet betonar att kommissionen är skyldig att snabbt följa upp klagomål från företag som systematiskt är måltavlor för de ungerska myndigheterna och att hänskjuta relevanta ärenden till EU-domstolen.</w:t>
      </w:r>
    </w:p>
    <w:p w14:paraId="67B4C11A" w14:textId="77777777" w:rsidR="00756C99" w:rsidRPr="006D5EEE" w:rsidRDefault="00756C99" w:rsidP="00756C99">
      <w:pPr>
        <w:pStyle w:val="NormalHanging12a"/>
        <w:rPr>
          <w:color w:val="000000" w:themeColor="text1"/>
          <w:szCs w:val="24"/>
        </w:rPr>
      </w:pPr>
      <w:r w:rsidRPr="006D5EEE">
        <w:rPr>
          <w:color w:val="000000" w:themeColor="text1"/>
        </w:rPr>
        <w:t>12.</w:t>
      </w:r>
      <w:r w:rsidRPr="006D5EEE">
        <w:rPr>
          <w:color w:val="000000" w:themeColor="text1"/>
        </w:rPr>
        <w:tab/>
        <w:t>Europaparlamentet beklagar djupt det faktum att Ungern har missbrukat sin vetorätt i rådet för att förhindra att nödvändigt bistånd beviljas Ukraina och på så sätt undergräver EU:s strategiska intressen. Parlamentet fördömer den ungerska regeringens allmänna politik gentemot Ryssland.</w:t>
      </w:r>
    </w:p>
    <w:p w14:paraId="1C60EF3E" w14:textId="77777777" w:rsidR="00756C99" w:rsidRPr="006D5EEE" w:rsidRDefault="00756C99" w:rsidP="00756C99">
      <w:pPr>
        <w:pStyle w:val="NormalHanging12a"/>
        <w:rPr>
          <w:color w:val="000000" w:themeColor="text1"/>
          <w:szCs w:val="24"/>
        </w:rPr>
      </w:pPr>
      <w:r w:rsidRPr="006D5EEE">
        <w:rPr>
          <w:color w:val="000000" w:themeColor="text1"/>
        </w:rPr>
        <w:t>13.</w:t>
      </w:r>
      <w:r w:rsidRPr="006D5EEE">
        <w:rPr>
          <w:color w:val="000000" w:themeColor="text1"/>
        </w:rPr>
        <w:tab/>
        <w:t>Europaparlamentet uppmanar på nytt kommissionen att säkerställa att slutmottagarna eller mottagarna av EU-medel inte berövas dessa medel, enligt vad som fastställs i förordningen om villkorlighet. Parlamentet uppmanar kommissionen att hitta sätt att fördela EU-medel via lokala och regionala myndigheter och civilsamhället om den berörda regeringen inte samarbetar när det gäller brister i genomförandet av rättsstatsprincipen.</w:t>
      </w:r>
    </w:p>
    <w:p w14:paraId="4DC6ED79" w14:textId="77777777" w:rsidR="00756C99" w:rsidRPr="006D5EEE" w:rsidRDefault="00756C99" w:rsidP="00756C99">
      <w:pPr>
        <w:pStyle w:val="NormalHanging12a"/>
        <w:rPr>
          <w:color w:val="000000" w:themeColor="text1"/>
          <w:szCs w:val="24"/>
        </w:rPr>
      </w:pPr>
      <w:r w:rsidRPr="006D5EEE">
        <w:rPr>
          <w:color w:val="000000" w:themeColor="text1"/>
        </w:rPr>
        <w:t>14.</w:t>
      </w:r>
      <w:r w:rsidRPr="006D5EEE">
        <w:rPr>
          <w:color w:val="000000" w:themeColor="text1"/>
        </w:rPr>
        <w:tab/>
        <w:t>Europaparlamentet understryker att de ungerska myndigheterna måste garantera öppenhet och lika möjligheter för enskilda personer, företag, det civila samhället, icke</w:t>
      </w:r>
      <w:r w:rsidRPr="006D5EEE">
        <w:rPr>
          <w:color w:val="000000" w:themeColor="text1"/>
        </w:rPr>
        <w:noBreakHyphen/>
        <w:t xml:space="preserve">statliga organisationer och lokala och regionala myndigheter som önskar få tillgång till EU-medel och att de måste säkerställa oberoende rättslig tillsyn samt opartiska och ändamålsenliga klagomålsmekanismer. Parlamentet fördömer den rapporterade systemiska diskriminering som används mot den akademiska världen, journalister, </w:t>
      </w:r>
      <w:r w:rsidRPr="006D5EEE">
        <w:rPr>
          <w:color w:val="000000" w:themeColor="text1"/>
        </w:rPr>
        <w:lastRenderedPageBreak/>
        <w:t>politiska partier och det civila samhället samt mot företag inom vissa sektorer.</w:t>
      </w:r>
    </w:p>
    <w:p w14:paraId="63910D87" w14:textId="77777777" w:rsidR="00756C99" w:rsidRPr="006D5EEE" w:rsidRDefault="00756C99" w:rsidP="00756C99">
      <w:pPr>
        <w:pStyle w:val="NormalHanging12a"/>
        <w:rPr>
          <w:color w:val="000000" w:themeColor="text1"/>
          <w:szCs w:val="24"/>
        </w:rPr>
      </w:pPr>
      <w:r w:rsidRPr="006D5EEE">
        <w:rPr>
          <w:color w:val="000000" w:themeColor="text1"/>
        </w:rPr>
        <w:t>15.</w:t>
      </w:r>
      <w:r w:rsidRPr="006D5EEE">
        <w:rPr>
          <w:color w:val="000000" w:themeColor="text1"/>
        </w:rPr>
        <w:tab/>
        <w:t>Europaparlamentet uppmanar kommissionen att stödja det oberoende civila samhället i Ungern, som skyddar de värden som anges i artikel 2 i EU-fördraget, särskilt genom att använda programmet för medborgare, jämlikhet, rättigheter och värden. Parlamentet upprepar sin uppmaning till kommissionen att anta en omfattande strategi för det civila samhället för skydd och utveckling av det medborgerliga utrymmet inom EU, som integrerar alla nuvarande verktyg och tar fram en uppsättning specifika åtgärder för att skydda och stärka det medborgerliga utrymmet.</w:t>
      </w:r>
    </w:p>
    <w:p w14:paraId="4EC0D453" w14:textId="77777777" w:rsidR="00756C99" w:rsidRPr="006D5EEE" w:rsidRDefault="00756C99" w:rsidP="00756C99">
      <w:pPr>
        <w:pStyle w:val="NormalHanging12a"/>
        <w:rPr>
          <w:color w:val="000000" w:themeColor="text1"/>
          <w:szCs w:val="24"/>
        </w:rPr>
      </w:pPr>
      <w:r w:rsidRPr="006D5EEE">
        <w:rPr>
          <w:color w:val="000000" w:themeColor="text1"/>
        </w:rPr>
        <w:t>16.</w:t>
      </w:r>
      <w:r w:rsidRPr="006D5EEE">
        <w:rPr>
          <w:color w:val="000000" w:themeColor="text1"/>
        </w:rPr>
        <w:tab/>
        <w:t>Europaparlamentet upprepar sin uppmaning till kommissionen och rådet att omedelbart inleda förhandlingar med parlamentet om en EU-mekanism för demokrati, rättsstatlighet och grundläggande rättigheter i form av ett interinstitutionellt avtal och om införandet av en permanent policycykel mellan EU-institutionerna.</w:t>
      </w:r>
    </w:p>
    <w:p w14:paraId="569E5DA6" w14:textId="77777777" w:rsidR="00756C99" w:rsidRPr="006D5EEE" w:rsidRDefault="00756C99" w:rsidP="00756C99">
      <w:pPr>
        <w:pStyle w:val="NormalHanging12a"/>
        <w:rPr>
          <w:color w:val="000000" w:themeColor="text1"/>
        </w:rPr>
      </w:pPr>
      <w:r w:rsidRPr="006D5EEE">
        <w:rPr>
          <w:color w:val="000000" w:themeColor="text1"/>
        </w:rPr>
        <w:t>17.</w:t>
      </w:r>
      <w:r w:rsidRPr="006D5EEE">
        <w:rPr>
          <w:color w:val="000000" w:themeColor="text1"/>
        </w:rPr>
        <w:tab/>
        <w:t>Europaparlamentet uppdrar åt talmannen att översända denna resolution till rådet, kommissionen, medlemsstaternas regeringar och parlament, Europarådet, Organisationen för säkerhet och samarbete i Europa samt Förenta nationerna.</w:t>
      </w:r>
    </w:p>
    <w:p w14:paraId="147B9FEB" w14:textId="77777777" w:rsidR="00E365E1" w:rsidRPr="006D5EEE" w:rsidRDefault="00E365E1" w:rsidP="00824E5F">
      <w:pPr>
        <w:rPr>
          <w:color w:val="000000" w:themeColor="text1"/>
        </w:rPr>
      </w:pPr>
      <w:bookmarkStart w:id="8" w:name="TextBodyEnd"/>
      <w:bookmarkEnd w:id="8"/>
    </w:p>
    <w:sectPr w:rsidR="00E365E1" w:rsidRPr="006D5EEE" w:rsidSect="006774C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F5B92" w14:textId="77777777" w:rsidR="00824E5F" w:rsidRPr="006774CF" w:rsidRDefault="00824E5F">
      <w:r w:rsidRPr="006774CF">
        <w:separator/>
      </w:r>
    </w:p>
  </w:endnote>
  <w:endnote w:type="continuationSeparator" w:id="0">
    <w:p w14:paraId="09EC6805" w14:textId="77777777" w:rsidR="00824E5F" w:rsidRPr="006774CF" w:rsidRDefault="00824E5F">
      <w:r w:rsidRPr="006774C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56D17" w14:textId="77777777" w:rsidR="00064002" w:rsidRPr="006774C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A15968" w14:textId="77777777" w:rsidR="00064002" w:rsidRPr="006774C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9B9DF6" w14:textId="77777777" w:rsidR="00064002" w:rsidRPr="006774C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76701F" w14:textId="77777777" w:rsidR="00824E5F" w:rsidRPr="006774CF" w:rsidRDefault="00824E5F">
      <w:r w:rsidRPr="006774CF">
        <w:separator/>
      </w:r>
    </w:p>
  </w:footnote>
  <w:footnote w:type="continuationSeparator" w:id="0">
    <w:p w14:paraId="4E330745" w14:textId="77777777" w:rsidR="00824E5F" w:rsidRPr="006774CF" w:rsidRDefault="00824E5F">
      <w:r w:rsidRPr="006774CF">
        <w:continuationSeparator/>
      </w:r>
    </w:p>
  </w:footnote>
  <w:footnote w:id="1">
    <w:p w14:paraId="2C88CE31" w14:textId="77777777" w:rsidR="00756C99" w:rsidRPr="00863E44" w:rsidRDefault="00756C99" w:rsidP="006774CF">
      <w:pPr>
        <w:pStyle w:val="FootnoteText"/>
        <w:ind w:left="567" w:hanging="567"/>
        <w:rPr>
          <w:i/>
          <w:sz w:val="24"/>
          <w:lang w:val="sv-SE"/>
        </w:rPr>
      </w:pPr>
      <w:r w:rsidRPr="00863E44">
        <w:rPr>
          <w:rStyle w:val="FootnoteReference"/>
          <w:i/>
          <w:sz w:val="24"/>
          <w:lang w:val="sv-SE"/>
        </w:rPr>
        <w:footnoteRef/>
      </w:r>
      <w:r w:rsidR="006774CF" w:rsidRPr="00863E44">
        <w:rPr>
          <w:rStyle w:val="Emphasis"/>
          <w:i w:val="0"/>
          <w:sz w:val="24"/>
          <w:shd w:val="clear" w:color="auto" w:fill="FFFFFF"/>
          <w:lang w:val="sv-SE"/>
        </w:rPr>
        <w:t xml:space="preserve"> </w:t>
      </w:r>
      <w:r w:rsidR="006774CF" w:rsidRPr="00863E44">
        <w:rPr>
          <w:rStyle w:val="Emphasis"/>
          <w:i w:val="0"/>
          <w:sz w:val="24"/>
          <w:shd w:val="clear" w:color="auto" w:fill="FFFFFF"/>
          <w:lang w:val="sv-SE"/>
        </w:rPr>
        <w:tab/>
      </w:r>
      <w:r w:rsidRPr="00863E44">
        <w:rPr>
          <w:rStyle w:val="Emphasis"/>
          <w:i w:val="0"/>
          <w:sz w:val="24"/>
          <w:shd w:val="clear" w:color="auto" w:fill="FFFFFF"/>
          <w:lang w:val="sv-SE"/>
        </w:rPr>
        <w:t>EUT C 433, 23.12.2019, s. 66.</w:t>
      </w:r>
    </w:p>
  </w:footnote>
  <w:footnote w:id="2">
    <w:p w14:paraId="175AEBEB" w14:textId="61A27DCC" w:rsidR="00756C99" w:rsidRPr="00863E44" w:rsidRDefault="00756C99" w:rsidP="006774CF">
      <w:pPr>
        <w:pStyle w:val="FootnoteText"/>
        <w:ind w:left="567" w:hanging="567"/>
        <w:rPr>
          <w:i/>
          <w:sz w:val="24"/>
          <w:lang w:val="sv-SE"/>
        </w:rPr>
      </w:pPr>
      <w:r w:rsidRPr="00863E44">
        <w:rPr>
          <w:rStyle w:val="FootnoteReference"/>
          <w:i/>
          <w:sz w:val="24"/>
          <w:lang w:val="sv-SE"/>
        </w:rPr>
        <w:footnoteRef/>
      </w:r>
      <w:r w:rsidR="006774CF" w:rsidRPr="00863E44">
        <w:rPr>
          <w:rStyle w:val="Emphasis"/>
          <w:i w:val="0"/>
          <w:sz w:val="24"/>
          <w:shd w:val="clear" w:color="auto" w:fill="FFFFFF"/>
          <w:lang w:val="sv-SE"/>
        </w:rPr>
        <w:t xml:space="preserve"> </w:t>
      </w:r>
      <w:r w:rsidR="006774CF" w:rsidRPr="00863E44">
        <w:rPr>
          <w:rStyle w:val="Emphasis"/>
          <w:i w:val="0"/>
          <w:sz w:val="24"/>
          <w:shd w:val="clear" w:color="auto" w:fill="FFFFFF"/>
          <w:lang w:val="sv-SE"/>
        </w:rPr>
        <w:tab/>
      </w:r>
      <w:r w:rsidRPr="00863E44">
        <w:rPr>
          <w:rStyle w:val="Emphasis"/>
          <w:i w:val="0"/>
          <w:sz w:val="24"/>
          <w:shd w:val="clear" w:color="auto" w:fill="FFFFFF"/>
          <w:lang w:val="sv-SE"/>
        </w:rPr>
        <w:t>EUT L 433</w:t>
      </w:r>
      <w:r w:rsidR="00AB5AA2">
        <w:rPr>
          <w:rStyle w:val="Emphasis"/>
          <w:i w:val="0"/>
          <w:sz w:val="24"/>
          <w:shd w:val="clear" w:color="auto" w:fill="FFFFFF"/>
          <w:lang w:val="sv-SE"/>
        </w:rPr>
        <w:t xml:space="preserve"> </w:t>
      </w:r>
      <w:bookmarkStart w:id="7" w:name="_GoBack"/>
      <w:bookmarkEnd w:id="7"/>
      <w:r w:rsidRPr="00863E44">
        <w:rPr>
          <w:rStyle w:val="Emphasis"/>
          <w:i w:val="0"/>
          <w:sz w:val="24"/>
          <w:shd w:val="clear" w:color="auto" w:fill="FFFFFF"/>
          <w:lang w:val="sv-SE"/>
        </w:rPr>
        <w:t>I, 22.12.2020, s. 1.</w:t>
      </w:r>
    </w:p>
  </w:footnote>
  <w:footnote w:id="3">
    <w:p w14:paraId="1619601A" w14:textId="77777777" w:rsidR="00756C99" w:rsidRPr="00863E44" w:rsidRDefault="00756C99" w:rsidP="006774CF">
      <w:pPr>
        <w:pStyle w:val="FootnoteText"/>
        <w:ind w:left="567" w:hanging="567"/>
        <w:rPr>
          <w:i/>
          <w:sz w:val="24"/>
          <w:lang w:val="sv-SE"/>
        </w:rPr>
      </w:pPr>
      <w:r w:rsidRPr="00863E44">
        <w:rPr>
          <w:rStyle w:val="FootnoteReference"/>
          <w:i/>
          <w:sz w:val="24"/>
          <w:lang w:val="sv-SE"/>
        </w:rPr>
        <w:footnoteRef/>
      </w:r>
      <w:r w:rsidR="006774CF" w:rsidRPr="00863E44">
        <w:rPr>
          <w:rStyle w:val="Emphasis"/>
          <w:i w:val="0"/>
          <w:sz w:val="24"/>
          <w:shd w:val="clear" w:color="auto" w:fill="FFFFFF"/>
          <w:lang w:val="sv-SE"/>
        </w:rPr>
        <w:t xml:space="preserve"> </w:t>
      </w:r>
      <w:r w:rsidR="006774CF" w:rsidRPr="00863E44">
        <w:rPr>
          <w:rStyle w:val="Emphasis"/>
          <w:i w:val="0"/>
          <w:sz w:val="24"/>
          <w:shd w:val="clear" w:color="auto" w:fill="FFFFFF"/>
          <w:lang w:val="sv-SE"/>
        </w:rPr>
        <w:tab/>
      </w:r>
      <w:r w:rsidRPr="00863E44">
        <w:rPr>
          <w:rStyle w:val="Emphasis"/>
          <w:i w:val="0"/>
          <w:sz w:val="24"/>
          <w:shd w:val="clear" w:color="auto" w:fill="FFFFFF"/>
          <w:lang w:val="sv-SE"/>
        </w:rPr>
        <w:t>EUT C 125, 5.4.2023, s. 463.</w:t>
      </w:r>
    </w:p>
  </w:footnote>
  <w:footnote w:id="4">
    <w:p w14:paraId="66889518" w14:textId="77777777" w:rsidR="00756C99" w:rsidRPr="00863E44" w:rsidRDefault="00756C99" w:rsidP="006774CF">
      <w:pPr>
        <w:pStyle w:val="FootnoteText"/>
        <w:ind w:left="567" w:hanging="567"/>
        <w:rPr>
          <w:i/>
          <w:sz w:val="24"/>
          <w:lang w:val="sv-SE"/>
        </w:rPr>
      </w:pPr>
      <w:r w:rsidRPr="00863E44">
        <w:rPr>
          <w:rStyle w:val="FootnoteReference"/>
          <w:i/>
          <w:sz w:val="24"/>
          <w:lang w:val="sv-SE"/>
        </w:rPr>
        <w:footnoteRef/>
      </w:r>
      <w:r w:rsidR="006774CF" w:rsidRPr="00863E44">
        <w:rPr>
          <w:rStyle w:val="Emphasis"/>
          <w:i w:val="0"/>
          <w:sz w:val="24"/>
          <w:shd w:val="clear" w:color="auto" w:fill="FFFFFF"/>
          <w:lang w:val="sv-SE"/>
        </w:rPr>
        <w:t xml:space="preserve"> </w:t>
      </w:r>
      <w:r w:rsidR="006774CF" w:rsidRPr="00863E44">
        <w:rPr>
          <w:rStyle w:val="Emphasis"/>
          <w:i w:val="0"/>
          <w:sz w:val="24"/>
          <w:shd w:val="clear" w:color="auto" w:fill="FFFFFF"/>
          <w:lang w:val="sv-SE"/>
        </w:rPr>
        <w:tab/>
      </w:r>
      <w:r w:rsidRPr="00863E44">
        <w:rPr>
          <w:rStyle w:val="Emphasis"/>
          <w:i w:val="0"/>
          <w:sz w:val="24"/>
          <w:shd w:val="clear" w:color="auto" w:fill="FFFFFF"/>
          <w:lang w:val="sv-SE"/>
        </w:rPr>
        <w:t>EUT C 167, 11.5.2023, s. 74.</w:t>
      </w:r>
    </w:p>
  </w:footnote>
  <w:footnote w:id="5">
    <w:p w14:paraId="20CC96C8" w14:textId="77777777" w:rsidR="00756C99" w:rsidRPr="006D5EEE" w:rsidRDefault="00756C99" w:rsidP="006774CF">
      <w:pPr>
        <w:pStyle w:val="FootnoteText"/>
        <w:ind w:left="567" w:hanging="567"/>
        <w:rPr>
          <w:i/>
          <w:sz w:val="24"/>
          <w:lang w:val="fi-FI"/>
        </w:rPr>
      </w:pPr>
      <w:r w:rsidRPr="00863E44">
        <w:rPr>
          <w:rStyle w:val="FootnoteReference"/>
          <w:i/>
          <w:sz w:val="24"/>
          <w:lang w:val="sv-SE"/>
        </w:rPr>
        <w:footnoteRef/>
      </w:r>
      <w:r w:rsidR="006774CF" w:rsidRPr="006D5EEE">
        <w:rPr>
          <w:rStyle w:val="Emphasis"/>
          <w:i w:val="0"/>
          <w:sz w:val="24"/>
          <w:shd w:val="clear" w:color="auto" w:fill="FFFFFF"/>
          <w:lang w:val="fi-FI"/>
        </w:rPr>
        <w:t xml:space="preserve"> </w:t>
      </w:r>
      <w:r w:rsidR="006774CF" w:rsidRPr="006D5EEE">
        <w:rPr>
          <w:rStyle w:val="Emphasis"/>
          <w:i w:val="0"/>
          <w:sz w:val="24"/>
          <w:shd w:val="clear" w:color="auto" w:fill="FFFFFF"/>
          <w:lang w:val="fi-FI"/>
        </w:rPr>
        <w:tab/>
      </w:r>
      <w:r w:rsidRPr="006D5EEE">
        <w:rPr>
          <w:rStyle w:val="Emphasis"/>
          <w:i w:val="0"/>
          <w:sz w:val="24"/>
          <w:shd w:val="clear" w:color="auto" w:fill="FFFFFF"/>
          <w:lang w:val="fi-FI"/>
        </w:rPr>
        <w:t xml:space="preserve">EUT C, C/2023/1223, 21.12.2023, </w:t>
      </w:r>
      <w:r w:rsidRPr="006D5EEE">
        <w:rPr>
          <w:rStyle w:val="Emphasis"/>
          <w:i w:val="0"/>
          <w:color w:val="000000" w:themeColor="text1"/>
          <w:sz w:val="24"/>
          <w:u w:val="single"/>
          <w:shd w:val="clear" w:color="auto" w:fill="FFFFFF"/>
          <w:lang w:val="fi-FI"/>
        </w:rPr>
        <w:t xml:space="preserve">ELI: </w:t>
      </w:r>
      <w:hyperlink r:id="rId1" w:history="1">
        <w:r w:rsidRPr="006D5EEE">
          <w:rPr>
            <w:rStyle w:val="Hyperlink"/>
            <w:i/>
            <w:color w:val="000000" w:themeColor="text1"/>
            <w:sz w:val="24"/>
            <w:shd w:val="clear" w:color="auto" w:fill="FFFFFF"/>
            <w:lang w:val="fi-FI"/>
          </w:rPr>
          <w:t>http://data.europa.eu/eli/C/2023/1223/oj</w:t>
        </w:r>
      </w:hyperlink>
      <w:r w:rsidRPr="006D5EEE">
        <w:rPr>
          <w:rStyle w:val="Emphasis"/>
          <w:i w:val="0"/>
          <w:sz w:val="24"/>
          <w:shd w:val="clear" w:color="auto" w:fill="FFFFFF"/>
          <w:lang w:val="fi-FI"/>
        </w:rPr>
        <w:t>.</w:t>
      </w:r>
    </w:p>
  </w:footnote>
  <w:footnote w:id="6">
    <w:p w14:paraId="63C1410F" w14:textId="77777777" w:rsidR="00756C99" w:rsidRPr="00863E44" w:rsidRDefault="00756C99" w:rsidP="006774CF">
      <w:pPr>
        <w:pStyle w:val="FootnoteText"/>
        <w:ind w:left="567" w:hanging="567"/>
        <w:rPr>
          <w:i/>
          <w:sz w:val="24"/>
          <w:lang w:val="sv-SE"/>
        </w:rPr>
      </w:pPr>
      <w:r w:rsidRPr="00863E44">
        <w:rPr>
          <w:rStyle w:val="FootnoteReference"/>
          <w:i/>
          <w:sz w:val="24"/>
          <w:lang w:val="sv-SE"/>
        </w:rPr>
        <w:footnoteRef/>
      </w:r>
      <w:r w:rsidR="006774CF" w:rsidRPr="00863E44">
        <w:rPr>
          <w:i/>
          <w:sz w:val="24"/>
          <w:lang w:val="sv-SE"/>
        </w:rPr>
        <w:t xml:space="preserve"> </w:t>
      </w:r>
      <w:r w:rsidR="006774CF" w:rsidRPr="00863E44">
        <w:rPr>
          <w:i/>
          <w:sz w:val="24"/>
          <w:lang w:val="sv-SE"/>
        </w:rPr>
        <w:tab/>
      </w:r>
      <w:r w:rsidRPr="00C43594">
        <w:rPr>
          <w:sz w:val="24"/>
          <w:lang w:val="sv-SE"/>
        </w:rPr>
        <w:t>Antagna texter, P9_TA(2024)0053.</w:t>
      </w:r>
    </w:p>
  </w:footnote>
  <w:footnote w:id="7">
    <w:p w14:paraId="07E9C474" w14:textId="77777777" w:rsidR="00756C99" w:rsidRPr="00C43594" w:rsidRDefault="00756C99" w:rsidP="006774CF">
      <w:pPr>
        <w:pStyle w:val="FootnoteText"/>
        <w:ind w:left="567" w:hanging="567"/>
        <w:rPr>
          <w:sz w:val="24"/>
          <w:lang w:val="sv-SE"/>
        </w:rPr>
      </w:pPr>
      <w:r w:rsidRPr="00863E44">
        <w:rPr>
          <w:rStyle w:val="FootnoteReference"/>
          <w:i/>
          <w:sz w:val="24"/>
          <w:lang w:val="sv-SE"/>
        </w:rPr>
        <w:footnoteRef/>
      </w:r>
      <w:r w:rsidR="006774CF" w:rsidRPr="00863E44">
        <w:rPr>
          <w:i/>
          <w:sz w:val="24"/>
          <w:lang w:val="sv-SE"/>
        </w:rPr>
        <w:t xml:space="preserve"> </w:t>
      </w:r>
      <w:r w:rsidR="006774CF" w:rsidRPr="00863E44">
        <w:rPr>
          <w:i/>
          <w:sz w:val="24"/>
          <w:lang w:val="sv-SE"/>
        </w:rPr>
        <w:tab/>
      </w:r>
      <w:r w:rsidRPr="00C43594">
        <w:rPr>
          <w:sz w:val="24"/>
          <w:lang w:val="sv-SE"/>
        </w:rPr>
        <w:t xml:space="preserve">Domstolens dom av den 22 juni 2023 i mål C-823/21, </w:t>
      </w:r>
      <w:r w:rsidRPr="00863E44">
        <w:rPr>
          <w:i/>
          <w:sz w:val="24"/>
          <w:lang w:val="sv-SE"/>
        </w:rPr>
        <w:t>kommissionen mot Ungern</w:t>
      </w:r>
      <w:r w:rsidRPr="00C43594">
        <w:rPr>
          <w:sz w:val="24"/>
          <w:lang w:val="sv-SE"/>
        </w:rPr>
        <w:t>, ECLI:EU:C:2023:504.</w:t>
      </w:r>
    </w:p>
  </w:footnote>
  <w:footnote w:id="8">
    <w:p w14:paraId="2E224E1D" w14:textId="77777777" w:rsidR="00756C99" w:rsidRPr="00C43594" w:rsidRDefault="00756C99" w:rsidP="006774CF">
      <w:pPr>
        <w:pStyle w:val="FootnoteText"/>
        <w:ind w:left="567" w:hanging="567"/>
        <w:rPr>
          <w:sz w:val="24"/>
          <w:lang w:val="sv-SE"/>
        </w:rPr>
      </w:pPr>
      <w:r w:rsidRPr="00C43594">
        <w:rPr>
          <w:rStyle w:val="FootnoteReference"/>
          <w:sz w:val="24"/>
          <w:lang w:val="sv-SE"/>
        </w:rPr>
        <w:footnoteRef/>
      </w:r>
      <w:r w:rsidR="006774CF" w:rsidRPr="00C43594">
        <w:rPr>
          <w:sz w:val="24"/>
          <w:lang w:val="sv-SE"/>
        </w:rPr>
        <w:t xml:space="preserve"> </w:t>
      </w:r>
      <w:r w:rsidR="006774CF" w:rsidRPr="00C43594">
        <w:rPr>
          <w:sz w:val="24"/>
          <w:lang w:val="sv-SE"/>
        </w:rPr>
        <w:tab/>
      </w:r>
      <w:r w:rsidRPr="00C43594">
        <w:rPr>
          <w:sz w:val="24"/>
          <w:lang w:val="sv-SE"/>
        </w:rPr>
        <w:t xml:space="preserve">Europadomstolens dom av den 12 januari 2016, </w:t>
      </w:r>
      <w:r w:rsidRPr="00863E44">
        <w:rPr>
          <w:i/>
          <w:sz w:val="24"/>
          <w:lang w:val="sv-SE"/>
        </w:rPr>
        <w:t>Szabó och Vissy mot Ungern</w:t>
      </w:r>
      <w:r w:rsidRPr="00C43594">
        <w:rPr>
          <w:sz w:val="24"/>
          <w:lang w:val="sv-SE"/>
        </w:rPr>
        <w:t>, 37148/14, som vann laga kraft den 6 juni 2016.</w:t>
      </w:r>
    </w:p>
  </w:footnote>
  <w:footnote w:id="9">
    <w:p w14:paraId="751B7C4F" w14:textId="77777777" w:rsidR="00756C99" w:rsidRPr="00C43594" w:rsidRDefault="00756C99" w:rsidP="006774CF">
      <w:pPr>
        <w:pStyle w:val="FootnoteText"/>
        <w:ind w:left="567" w:hanging="567"/>
        <w:rPr>
          <w:sz w:val="24"/>
          <w:lang w:val="sv-SE"/>
        </w:rPr>
      </w:pPr>
      <w:r w:rsidRPr="00C43594">
        <w:rPr>
          <w:rStyle w:val="FootnoteReference"/>
          <w:sz w:val="24"/>
          <w:lang w:val="sv-SE"/>
        </w:rPr>
        <w:footnoteRef/>
      </w:r>
      <w:r w:rsidR="006774CF" w:rsidRPr="00C43594">
        <w:rPr>
          <w:sz w:val="24"/>
          <w:lang w:val="sv-SE"/>
        </w:rPr>
        <w:t xml:space="preserve"> </w:t>
      </w:r>
      <w:r w:rsidR="006774CF" w:rsidRPr="00C43594">
        <w:rPr>
          <w:sz w:val="24"/>
          <w:lang w:val="sv-SE"/>
        </w:rPr>
        <w:tab/>
      </w:r>
      <w:r w:rsidRPr="00C43594">
        <w:rPr>
          <w:sz w:val="24"/>
          <w:lang w:val="sv-SE"/>
        </w:rPr>
        <w:t>Europadomstolens dom av den 16 juli</w:t>
      </w:r>
      <w:r w:rsidRPr="00863E44">
        <w:rPr>
          <w:sz w:val="24"/>
          <w:lang w:val="sv-SE"/>
        </w:rPr>
        <w:t xml:space="preserve"> 2016, </w:t>
      </w:r>
      <w:r w:rsidRPr="00863E44">
        <w:rPr>
          <w:i/>
          <w:sz w:val="24"/>
          <w:lang w:val="sv-SE"/>
        </w:rPr>
        <w:t>Gazsó mot Ungern</w:t>
      </w:r>
      <w:r w:rsidRPr="00C43594">
        <w:rPr>
          <w:sz w:val="24"/>
          <w:lang w:val="sv-SE"/>
        </w:rPr>
        <w:t>, 48322/12, som vann laga kraft den 16 oktober 2015.</w:t>
      </w:r>
    </w:p>
  </w:footnote>
  <w:footnote w:id="10">
    <w:p w14:paraId="3A7CD15E" w14:textId="77777777" w:rsidR="00756C99" w:rsidRPr="00C43594" w:rsidRDefault="00756C99" w:rsidP="006774CF">
      <w:pPr>
        <w:pStyle w:val="FootnoteText"/>
        <w:ind w:left="567" w:hanging="567"/>
        <w:rPr>
          <w:sz w:val="24"/>
          <w:lang w:val="sv-SE"/>
        </w:rPr>
      </w:pPr>
      <w:r w:rsidRPr="00C43594">
        <w:rPr>
          <w:rStyle w:val="FootnoteReference"/>
          <w:sz w:val="24"/>
          <w:lang w:val="sv-SE"/>
        </w:rPr>
        <w:footnoteRef/>
      </w:r>
      <w:r w:rsidR="006774CF" w:rsidRPr="00C43594">
        <w:rPr>
          <w:sz w:val="24"/>
          <w:lang w:val="sv-SE"/>
        </w:rPr>
        <w:t xml:space="preserve"> </w:t>
      </w:r>
      <w:r w:rsidR="006774CF" w:rsidRPr="00C43594">
        <w:rPr>
          <w:sz w:val="24"/>
          <w:lang w:val="sv-SE"/>
        </w:rPr>
        <w:tab/>
      </w:r>
      <w:r w:rsidRPr="00C43594">
        <w:rPr>
          <w:sz w:val="24"/>
          <w:lang w:val="sv-SE"/>
        </w:rPr>
        <w:t xml:space="preserve">Europadomstolens dom av den 14 mars 2017, </w:t>
      </w:r>
      <w:r w:rsidRPr="00863E44">
        <w:rPr>
          <w:i/>
          <w:sz w:val="24"/>
          <w:lang w:val="sv-SE"/>
        </w:rPr>
        <w:t>Ilias och Ahmed mot Ungern</w:t>
      </w:r>
      <w:r w:rsidRPr="00C43594">
        <w:rPr>
          <w:sz w:val="24"/>
          <w:lang w:val="sv-SE"/>
        </w:rPr>
        <w:t>, 47287/15.</w:t>
      </w:r>
    </w:p>
  </w:footnote>
  <w:footnote w:id="11">
    <w:p w14:paraId="6178E7ED" w14:textId="77777777" w:rsidR="00756C99" w:rsidRPr="00C43594" w:rsidRDefault="00756C99" w:rsidP="006774CF">
      <w:pPr>
        <w:pStyle w:val="FootnoteText"/>
        <w:ind w:left="567" w:hanging="567"/>
        <w:rPr>
          <w:sz w:val="24"/>
          <w:lang w:val="sv-SE"/>
        </w:rPr>
      </w:pPr>
      <w:r w:rsidRPr="00C43594">
        <w:rPr>
          <w:rStyle w:val="FootnoteReference"/>
          <w:sz w:val="24"/>
          <w:lang w:val="sv-SE"/>
        </w:rPr>
        <w:footnoteRef/>
      </w:r>
      <w:r w:rsidR="006774CF" w:rsidRPr="00C43594">
        <w:rPr>
          <w:sz w:val="24"/>
          <w:lang w:val="sv-SE"/>
        </w:rPr>
        <w:t xml:space="preserve"> </w:t>
      </w:r>
      <w:r w:rsidR="006774CF" w:rsidRPr="00C43594">
        <w:rPr>
          <w:sz w:val="24"/>
          <w:lang w:val="sv-SE"/>
        </w:rPr>
        <w:tab/>
      </w:r>
      <w:r w:rsidRPr="00C43594">
        <w:rPr>
          <w:sz w:val="24"/>
          <w:lang w:val="sv-SE"/>
        </w:rPr>
        <w:t xml:space="preserve">Europadomstolens dom av den 23 juni 2016, </w:t>
      </w:r>
      <w:r w:rsidRPr="00863E44">
        <w:rPr>
          <w:i/>
          <w:sz w:val="24"/>
          <w:lang w:val="sv-SE"/>
        </w:rPr>
        <w:t>Baka mot Ungern</w:t>
      </w:r>
      <w:r w:rsidRPr="00C43594">
        <w:rPr>
          <w:sz w:val="24"/>
          <w:lang w:val="sv-SE"/>
        </w:rPr>
        <w:t>, 20261/12.</w:t>
      </w:r>
    </w:p>
  </w:footnote>
  <w:footnote w:id="12">
    <w:p w14:paraId="766654B3" w14:textId="77777777" w:rsidR="00756C99" w:rsidRPr="00C43594" w:rsidRDefault="00756C99" w:rsidP="006774CF">
      <w:pPr>
        <w:pStyle w:val="FootnoteText"/>
        <w:ind w:left="567" w:hanging="567"/>
        <w:rPr>
          <w:sz w:val="24"/>
          <w:lang w:val="sv-SE"/>
        </w:rPr>
      </w:pPr>
      <w:r w:rsidRPr="00863E44">
        <w:rPr>
          <w:rStyle w:val="FootnoteReference"/>
          <w:i/>
          <w:sz w:val="24"/>
          <w:lang w:val="sv-SE"/>
        </w:rPr>
        <w:footnoteRef/>
      </w:r>
      <w:r w:rsidR="006774CF" w:rsidRPr="00863E44">
        <w:rPr>
          <w:i/>
          <w:sz w:val="24"/>
          <w:shd w:val="clear" w:color="auto" w:fill="FFFFFF"/>
          <w:lang w:val="sv-SE"/>
        </w:rPr>
        <w:t xml:space="preserve"> </w:t>
      </w:r>
      <w:r w:rsidR="006774CF" w:rsidRPr="00863E44">
        <w:rPr>
          <w:i/>
          <w:sz w:val="24"/>
          <w:shd w:val="clear" w:color="auto" w:fill="FFFFFF"/>
          <w:lang w:val="sv-SE"/>
        </w:rPr>
        <w:tab/>
      </w:r>
      <w:r w:rsidRPr="00C43594">
        <w:rPr>
          <w:sz w:val="24"/>
          <w:shd w:val="clear" w:color="auto" w:fill="FFFFFF"/>
          <w:lang w:val="sv-SE"/>
        </w:rPr>
        <w:t xml:space="preserve">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fonder och för Asyl- migrations- och integrationsfonden, Fonden för inre säkerhet samt instrumentet för ekonomiskt stöd för gränsförvaltning och viseringspolitik, </w:t>
      </w:r>
      <w:r w:rsidRPr="00863E44">
        <w:rPr>
          <w:rStyle w:val="Emphasis"/>
          <w:i w:val="0"/>
          <w:sz w:val="24"/>
          <w:shd w:val="clear" w:color="auto" w:fill="FFFFFF"/>
          <w:lang w:val="sv-SE"/>
        </w:rPr>
        <w:t>EUT L 231, 30.6.2021, s. 159</w:t>
      </w:r>
      <w:r w:rsidRPr="00C43594">
        <w:rPr>
          <w:sz w:val="24"/>
          <w:shd w:val="clear" w:color="auto" w:fill="FFFFFF"/>
          <w:lang w:val="sv-SE"/>
        </w:rPr>
        <w:t>.</w:t>
      </w:r>
    </w:p>
  </w:footnote>
  <w:footnote w:id="13">
    <w:p w14:paraId="4ECC3C8E" w14:textId="77777777" w:rsidR="00756C99" w:rsidRPr="00C43594" w:rsidRDefault="00756C99" w:rsidP="006774CF">
      <w:pPr>
        <w:pStyle w:val="title-bold"/>
        <w:shd w:val="clear" w:color="auto" w:fill="FFFFFF"/>
        <w:spacing w:before="0" w:beforeAutospacing="0" w:after="75" w:afterAutospacing="0"/>
        <w:ind w:left="567" w:hanging="567"/>
        <w:rPr>
          <w:bCs/>
          <w:szCs w:val="20"/>
          <w:vertAlign w:val="superscript"/>
        </w:rPr>
      </w:pPr>
      <w:r w:rsidRPr="00C43594">
        <w:rPr>
          <w:rStyle w:val="FootnoteReference"/>
          <w:szCs w:val="20"/>
        </w:rPr>
        <w:footnoteRef/>
      </w:r>
      <w:r w:rsidR="006774CF" w:rsidRPr="00C43594">
        <w:t xml:space="preserve"> </w:t>
      </w:r>
      <w:r w:rsidR="006774CF" w:rsidRPr="00C43594">
        <w:tab/>
      </w:r>
      <w:r w:rsidRPr="00C43594">
        <w:t xml:space="preserve">Europaparlamentets och rådets förordning (EU) 2021/241 av den 12 februari 2021 om inrättande av faciliteten för återhämtning och resiliens, </w:t>
      </w:r>
      <w:r w:rsidRPr="00863E44">
        <w:rPr>
          <w:rStyle w:val="Emphasis"/>
          <w:i w:val="0"/>
        </w:rPr>
        <w:t>EUT L 57, 18.2.2021, s. 17.</w:t>
      </w:r>
    </w:p>
    <w:p w14:paraId="0C3BF239" w14:textId="77777777" w:rsidR="00756C99" w:rsidRPr="00C43594" w:rsidRDefault="00756C99" w:rsidP="006774CF">
      <w:pPr>
        <w:pStyle w:val="FootnoteText"/>
        <w:ind w:left="567" w:hanging="567"/>
        <w:rPr>
          <w:sz w:val="24"/>
          <w:lang w:val="sv-S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DECD8" w14:textId="77777777" w:rsidR="00064002" w:rsidRPr="006774C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656D4" w14:textId="77777777" w:rsidR="00064002" w:rsidRPr="006774C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3F21" w14:textId="77777777" w:rsidR="00064002" w:rsidRPr="006774C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3/2024"/>
    <w:docVar w:name="dvlangue" w:val="SV"/>
    <w:docVar w:name="dvnumam" w:val="0"/>
    <w:docVar w:name="dvpe" w:val="760.687"/>
    <w:docVar w:name="dvtitre" w:val="Europaparlamentets resolution av den xx xx 2024 om de pågående utfrågningarna inom ramen för artikel 7.1 i EU-fördraget angående Ungern för att stärka rättsstaten och konsekvenserna för budgeten (2024/2683(RSP))"/>
  </w:docVars>
  <w:rsids>
    <w:rsidRoot w:val="00824E5F"/>
    <w:rsid w:val="00002272"/>
    <w:rsid w:val="00064002"/>
    <w:rsid w:val="000677B9"/>
    <w:rsid w:val="000831BA"/>
    <w:rsid w:val="000935C3"/>
    <w:rsid w:val="000A42CC"/>
    <w:rsid w:val="000E7DD9"/>
    <w:rsid w:val="0010095E"/>
    <w:rsid w:val="00125B37"/>
    <w:rsid w:val="0018477C"/>
    <w:rsid w:val="00187494"/>
    <w:rsid w:val="001F32AE"/>
    <w:rsid w:val="00266AF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D89"/>
    <w:rsid w:val="00545827"/>
    <w:rsid w:val="00560270"/>
    <w:rsid w:val="005C2568"/>
    <w:rsid w:val="006037C0"/>
    <w:rsid w:val="006631B6"/>
    <w:rsid w:val="00672E76"/>
    <w:rsid w:val="006774CF"/>
    <w:rsid w:val="00680577"/>
    <w:rsid w:val="006D5EEE"/>
    <w:rsid w:val="006F74FA"/>
    <w:rsid w:val="00731ADD"/>
    <w:rsid w:val="00734777"/>
    <w:rsid w:val="00747932"/>
    <w:rsid w:val="00751A4A"/>
    <w:rsid w:val="00756632"/>
    <w:rsid w:val="00756C99"/>
    <w:rsid w:val="00762C74"/>
    <w:rsid w:val="00786EC0"/>
    <w:rsid w:val="007D1690"/>
    <w:rsid w:val="007E22AD"/>
    <w:rsid w:val="00817416"/>
    <w:rsid w:val="00824E5F"/>
    <w:rsid w:val="00842779"/>
    <w:rsid w:val="00863E44"/>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5AA2"/>
    <w:rsid w:val="00AB6293"/>
    <w:rsid w:val="00AE0928"/>
    <w:rsid w:val="00AF3B82"/>
    <w:rsid w:val="00B12E95"/>
    <w:rsid w:val="00B22876"/>
    <w:rsid w:val="00B558F0"/>
    <w:rsid w:val="00BD48FE"/>
    <w:rsid w:val="00BD7BD8"/>
    <w:rsid w:val="00BE6ADC"/>
    <w:rsid w:val="00C05BFE"/>
    <w:rsid w:val="00C23CD4"/>
    <w:rsid w:val="00C4359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C113C9"/>
  <w15:chartTrackingRefBased/>
  <w15:docId w15:val="{D1124370-D9BB-4EE9-8114-1FD505CF2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56C99"/>
    <w:rPr>
      <w:b/>
    </w:rPr>
  </w:style>
  <w:style w:type="paragraph" w:customStyle="1" w:styleId="NormalBold12a">
    <w:name w:val="NormalBold12a"/>
    <w:basedOn w:val="Normal"/>
    <w:rsid w:val="00756C99"/>
    <w:pPr>
      <w:spacing w:after="240"/>
    </w:pPr>
    <w:rPr>
      <w:b/>
    </w:rPr>
  </w:style>
  <w:style w:type="paragraph" w:customStyle="1" w:styleId="NormalHanging12a">
    <w:name w:val="NormalHanging12a"/>
    <w:basedOn w:val="Normal"/>
    <w:rsid w:val="00756C99"/>
    <w:pPr>
      <w:spacing w:after="240"/>
      <w:ind w:left="567" w:hanging="567"/>
    </w:pPr>
  </w:style>
  <w:style w:type="character" w:styleId="Emphasis">
    <w:name w:val="Emphasis"/>
    <w:basedOn w:val="DefaultParagraphFont"/>
    <w:uiPriority w:val="20"/>
    <w:qFormat/>
    <w:rsid w:val="00756C99"/>
    <w:rPr>
      <w:i/>
      <w:iCs/>
    </w:rPr>
  </w:style>
  <w:style w:type="character" w:styleId="Hyperlink">
    <w:name w:val="Hyperlink"/>
    <w:basedOn w:val="DefaultParagraphFont"/>
    <w:uiPriority w:val="99"/>
    <w:unhideWhenUsed/>
    <w:rsid w:val="00756C99"/>
    <w:rPr>
      <w:color w:val="0000FF"/>
      <w:u w:val="single"/>
    </w:rPr>
  </w:style>
  <w:style w:type="character" w:customStyle="1" w:styleId="textcolumn">
    <w:name w:val="textcolumn"/>
    <w:basedOn w:val="DefaultParagraphFont"/>
    <w:rsid w:val="00756C99"/>
  </w:style>
  <w:style w:type="paragraph" w:customStyle="1" w:styleId="title-bold">
    <w:name w:val="title-bold"/>
    <w:basedOn w:val="Normal"/>
    <w:rsid w:val="00756C99"/>
    <w:pPr>
      <w:widowControl/>
      <w:spacing w:before="100" w:beforeAutospacing="1" w:after="100" w:afterAutospacing="1"/>
    </w:pPr>
    <w:rPr>
      <w:szCs w:val="24"/>
    </w:rPr>
  </w:style>
  <w:style w:type="paragraph" w:styleId="BalloonText">
    <w:name w:val="Balloon Text"/>
    <w:basedOn w:val="Normal"/>
    <w:link w:val="BalloonTextChar"/>
    <w:rsid w:val="00C43594"/>
    <w:rPr>
      <w:rFonts w:ascii="Segoe UI" w:hAnsi="Segoe UI" w:cs="Segoe UI"/>
      <w:sz w:val="18"/>
      <w:szCs w:val="18"/>
    </w:rPr>
  </w:style>
  <w:style w:type="character" w:customStyle="1" w:styleId="BalloonTextChar">
    <w:name w:val="Balloon Text Char"/>
    <w:basedOn w:val="DefaultParagraphFont"/>
    <w:link w:val="BalloonText"/>
    <w:rsid w:val="00C43594"/>
    <w:rPr>
      <w:rFonts w:ascii="Segoe UI" w:hAnsi="Segoe UI" w:cs="Segoe UI"/>
      <w:sz w:val="18"/>
      <w:szCs w:val="18"/>
      <w:lang w:val="sv-SE"/>
    </w:rPr>
  </w:style>
  <w:style w:type="character" w:styleId="CommentReference">
    <w:name w:val="annotation reference"/>
    <w:basedOn w:val="DefaultParagraphFont"/>
    <w:rsid w:val="0018477C"/>
    <w:rPr>
      <w:sz w:val="16"/>
      <w:szCs w:val="16"/>
    </w:rPr>
  </w:style>
  <w:style w:type="paragraph" w:styleId="CommentText">
    <w:name w:val="annotation text"/>
    <w:basedOn w:val="Normal"/>
    <w:link w:val="CommentTextChar"/>
    <w:rsid w:val="0018477C"/>
    <w:rPr>
      <w:sz w:val="20"/>
    </w:rPr>
  </w:style>
  <w:style w:type="character" w:customStyle="1" w:styleId="CommentTextChar">
    <w:name w:val="Comment Text Char"/>
    <w:basedOn w:val="DefaultParagraphFont"/>
    <w:link w:val="CommentText"/>
    <w:rsid w:val="0018477C"/>
    <w:rPr>
      <w:lang w:val="sv-SE"/>
    </w:rPr>
  </w:style>
  <w:style w:type="paragraph" w:styleId="CommentSubject">
    <w:name w:val="annotation subject"/>
    <w:basedOn w:val="CommentText"/>
    <w:next w:val="CommentText"/>
    <w:link w:val="CommentSubjectChar"/>
    <w:rsid w:val="0018477C"/>
    <w:rPr>
      <w:b/>
      <w:bCs/>
    </w:rPr>
  </w:style>
  <w:style w:type="character" w:customStyle="1" w:styleId="CommentSubjectChar">
    <w:name w:val="Comment Subject Char"/>
    <w:basedOn w:val="CommentTextChar"/>
    <w:link w:val="CommentSubject"/>
    <w:rsid w:val="0018477C"/>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hudoc.echr.coe.int/eng" TargetMode="External"/><Relationship Id="rId4" Type="http://schemas.openxmlformats.org/officeDocument/2006/relationships/settings" Target="settings.xml"/><Relationship Id="rId9" Type="http://schemas.openxmlformats.org/officeDocument/2006/relationships/hyperlink" Target="https://hudoc.echr.coe.int/eng" TargetMode="Externa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E4E05-ECF5-46F9-A63C-C88256A85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4715</Words>
  <Characters>27777</Characters>
  <Application>Microsoft Office Word</Application>
  <DocSecurity>0</DocSecurity>
  <Lines>957</Lines>
  <Paragraphs>401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NETTREUS Anna</cp:lastModifiedBy>
  <cp:revision>2</cp:revision>
  <cp:lastPrinted>2004-11-19T15:42:00Z</cp:lastPrinted>
  <dcterms:created xsi:type="dcterms:W3CDTF">2024-06-14T09:06:00Z</dcterms:created>
  <dcterms:modified xsi:type="dcterms:W3CDTF">2024-06-14T09:06:00Z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B9-0223/2024</vt:lpwstr>
  </property>
  <property fmtid="{D5CDD505-2E9C-101B-9397-08002B2CF9AE}" pid="4" name="&lt;Type&gt;">
    <vt:lpwstr>RR</vt:lpwstr>
  </property>
</Properties>
</file>