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7D67AF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7D67AF" w:rsidRDefault="00D032B6" w:rsidP="00425111">
            <w:pPr>
              <w:pStyle w:val="EPName"/>
              <w:rPr>
                <w:lang w:val="en-GB"/>
              </w:rPr>
            </w:pPr>
            <w:r w:rsidRPr="007D67AF">
              <w:rPr>
                <w:lang w:val="en-GB"/>
              </w:rPr>
              <w:t>Evropský parlament</w:t>
            </w:r>
          </w:p>
          <w:p w:rsidR="00757DD5" w:rsidRPr="007D67AF" w:rsidRDefault="00D032B6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7D67AF">
              <w:rPr>
                <w:lang w:val="en-GB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:rsidR="00757DD5" w:rsidRPr="007D67AF" w:rsidRDefault="00172070" w:rsidP="00425111">
            <w:pPr>
              <w:pStyle w:val="EPLogo"/>
            </w:pPr>
            <w:r w:rsidRPr="007D67AF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7D67AF" w:rsidRDefault="008E7632" w:rsidP="008E7632">
      <w:pPr>
        <w:pStyle w:val="LineTop"/>
        <w:rPr>
          <w:lang w:val="en-GB"/>
        </w:rPr>
      </w:pPr>
    </w:p>
    <w:p w:rsidR="008E7632" w:rsidRPr="007D67AF" w:rsidRDefault="00D032B6" w:rsidP="008E7632">
      <w:pPr>
        <w:pStyle w:val="ZSessionDoc"/>
        <w:rPr>
          <w:b/>
          <w:i w:val="0"/>
        </w:rPr>
      </w:pPr>
      <w:r w:rsidRPr="007D67AF">
        <w:rPr>
          <w:b/>
          <w:i w:val="0"/>
        </w:rPr>
        <w:t>PŘIJATÉ TEXTY</w:t>
      </w:r>
    </w:p>
    <w:p w:rsidR="008E7632" w:rsidRPr="007D67AF" w:rsidRDefault="00D032B6" w:rsidP="008E7632">
      <w:pPr>
        <w:pStyle w:val="LineBottom"/>
      </w:pPr>
      <w:r w:rsidRPr="007D67AF">
        <w:rPr>
          <w:rFonts w:cs="Arial"/>
          <w:i/>
          <w:sz w:val="20"/>
          <w:szCs w:val="22"/>
        </w:rPr>
        <w:t xml:space="preserve"> </w:t>
      </w:r>
    </w:p>
    <w:p w:rsidR="009C4014" w:rsidRPr="007D67AF" w:rsidRDefault="00D032B6" w:rsidP="008E7632">
      <w:pPr>
        <w:pStyle w:val="ATHeading1"/>
        <w:spacing w:before="480"/>
        <w:rPr>
          <w:lang w:val="en-GB"/>
        </w:rPr>
      </w:pPr>
      <w:bookmarkStart w:id="0" w:name="TA_Heading"/>
      <w:r w:rsidRPr="007D67AF">
        <w:rPr>
          <w:lang w:val="en-GB"/>
        </w:rPr>
        <w:t>P9_TA(2024)</w:t>
      </w:r>
      <w:bookmarkStart w:id="1" w:name="TANumber"/>
      <w:bookmarkEnd w:id="0"/>
      <w:r w:rsidRPr="007D67AF">
        <w:rPr>
          <w:lang w:val="en-GB"/>
        </w:rPr>
        <w:t>0</w:t>
      </w:r>
      <w:r w:rsidR="00926150">
        <w:rPr>
          <w:lang w:val="en-GB"/>
        </w:rPr>
        <w:t>368</w:t>
      </w:r>
      <w:bookmarkEnd w:id="1"/>
    </w:p>
    <w:p w:rsidR="009C4014" w:rsidRPr="007D67AF" w:rsidRDefault="007D67AF" w:rsidP="007D67AF">
      <w:pPr>
        <w:pStyle w:val="ATHeading2"/>
        <w:spacing w:before="0" w:after="0"/>
        <w:rPr>
          <w:szCs w:val="28"/>
          <w:lang w:val="en-GB"/>
        </w:rPr>
      </w:pPr>
      <w:r w:rsidRPr="007D67AF">
        <w:rPr>
          <w:szCs w:val="28"/>
          <w:lang w:val="en-GB"/>
        </w:rPr>
        <w:t xml:space="preserve">Postupné zavádění databáze Eudamed, povinnost informovat o přerušení dodávek a přechodná ustanovení pro určité diagnostické zdravotnické prostředky </w:t>
      </w:r>
      <w:r w:rsidRPr="007D67AF">
        <w:rPr>
          <w:i/>
          <w:szCs w:val="28"/>
          <w:lang w:val="en-GB"/>
        </w:rPr>
        <w:t>in vitro</w:t>
      </w:r>
      <w:r w:rsidR="009C4014" w:rsidRPr="007D67AF">
        <w:rPr>
          <w:szCs w:val="28"/>
          <w:lang w:val="en-GB"/>
        </w:rPr>
        <w:t xml:space="preserve"> </w:t>
      </w:r>
      <w:bookmarkStart w:id="2" w:name="Etoiles"/>
      <w:bookmarkEnd w:id="2"/>
    </w:p>
    <w:p w:rsidR="009C4014" w:rsidRPr="007D67AF" w:rsidRDefault="009C4014" w:rsidP="007D67AF">
      <w:pPr>
        <w:spacing w:before="120"/>
        <w:rPr>
          <w:i/>
          <w:vanish/>
          <w:lang w:val="en-GB"/>
        </w:rPr>
      </w:pPr>
      <w:r w:rsidRPr="007D67AF">
        <w:rPr>
          <w:i/>
        </w:rPr>
        <w:fldChar w:fldCharType="begin"/>
      </w:r>
      <w:r w:rsidRPr="007D67AF">
        <w:rPr>
          <w:i/>
          <w:lang w:val="en-GB"/>
        </w:rPr>
        <w:instrText xml:space="preserve"> TC"</w:instrText>
      </w:r>
      <w:bookmarkStart w:id="3" w:name="DocNumber"/>
      <w:r w:rsidR="00D032B6" w:rsidRPr="007D67AF">
        <w:rPr>
          <w:i/>
          <w:lang w:val="en-GB"/>
        </w:rPr>
        <w:instrText>(C9-0010/2024)</w:instrText>
      </w:r>
      <w:bookmarkEnd w:id="3"/>
      <w:r w:rsidRPr="007D67AF">
        <w:rPr>
          <w:i/>
          <w:lang w:val="en-GB"/>
        </w:rPr>
        <w:instrText xml:space="preserve">"\l3 \n&gt; \* MERGEFORMAT </w:instrText>
      </w:r>
      <w:r w:rsidRPr="007D67AF">
        <w:rPr>
          <w:i/>
        </w:rPr>
        <w:fldChar w:fldCharType="end"/>
      </w:r>
    </w:p>
    <w:p w:rsidR="00D032B6" w:rsidRPr="007D67AF" w:rsidRDefault="00D032B6" w:rsidP="009C4014">
      <w:pPr>
        <w:rPr>
          <w:vanish/>
          <w:lang w:val="en-GB"/>
        </w:rPr>
      </w:pPr>
      <w:bookmarkStart w:id="4" w:name="Commission"/>
      <w:r w:rsidRPr="007D67AF">
        <w:rPr>
          <w:vanish/>
          <w:lang w:val="en-GB"/>
        </w:rPr>
        <w:t>Výbor pro životní prostředí, veřejné zdraví a bezpečnost potravin,</w:t>
      </w:r>
    </w:p>
    <w:p w:rsidR="009C4014" w:rsidRPr="007D67AF" w:rsidRDefault="00D032B6" w:rsidP="009C4014">
      <w:pPr>
        <w:rPr>
          <w:vanish/>
          <w:lang w:val="en-GB"/>
        </w:rPr>
      </w:pPr>
      <w:bookmarkStart w:id="5" w:name="PE"/>
      <w:bookmarkEnd w:id="4"/>
      <w:r w:rsidRPr="007D67AF">
        <w:rPr>
          <w:vanish/>
          <w:lang w:val="en-GB"/>
        </w:rPr>
        <w:t>PE762.481</w:t>
      </w:r>
      <w:bookmarkEnd w:id="5"/>
    </w:p>
    <w:p w:rsidR="009C4014" w:rsidRPr="007D67AF" w:rsidRDefault="007D67AF" w:rsidP="00D032B6">
      <w:pPr>
        <w:pStyle w:val="ATHeading3"/>
        <w:rPr>
          <w:lang w:val="en-GB"/>
        </w:rPr>
      </w:pPr>
      <w:r w:rsidRPr="007D67AF">
        <w:rPr>
          <w:lang w:val="en-GB"/>
        </w:rPr>
        <w:t xml:space="preserve">Legislativní usnesení Evropského parlamentu ze dne 25. dubna 2024 o přijetí nařízení Evropského parlamentu a Rady, kterým se mění nařízení (EU) 2017/745 a (EU) 2017/746, pokud jde o postupné zavádění databáze Eudamed, informační povinnost v případě přerušení dodávek a přechodná ustanovení pro některé diagnostické zdravotnické prostředky </w:t>
      </w:r>
      <w:r w:rsidRPr="007D67AF">
        <w:rPr>
          <w:i/>
          <w:lang w:val="en-GB"/>
        </w:rPr>
        <w:t>in vitro</w:t>
      </w:r>
      <w:r w:rsidR="00E73B02" w:rsidRPr="007D67AF">
        <w:rPr>
          <w:lang w:val="en-GB"/>
        </w:rPr>
        <w:t xml:space="preserve"> </w:t>
      </w:r>
      <w:bookmarkStart w:id="6" w:name="References"/>
      <w:r w:rsidR="00D032B6" w:rsidRPr="007D67AF">
        <w:rPr>
          <w:lang w:val="en-GB"/>
        </w:rPr>
        <w:t>(</w:t>
      </w:r>
      <w:r w:rsidRPr="007D67AF">
        <w:rPr>
          <w:lang w:val="en-GB"/>
        </w:rPr>
        <w:t>COM(2024)0043 – C9-0010/2024 – 2024/0021(COD)</w:t>
      </w:r>
      <w:r w:rsidR="00D032B6" w:rsidRPr="007D67AF">
        <w:rPr>
          <w:lang w:val="en-GB"/>
        </w:rPr>
        <w:t>)</w:t>
      </w:r>
      <w:bookmarkEnd w:id="6"/>
    </w:p>
    <w:p w:rsidR="00D032B6" w:rsidRPr="007D67AF" w:rsidRDefault="00D032B6" w:rsidP="007D67AF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line="221" w:lineRule="auto"/>
        <w:rPr>
          <w:lang w:val="cs-CZ"/>
        </w:rPr>
      </w:pPr>
      <w:bookmarkStart w:id="7" w:name="TextBodyBegin"/>
      <w:bookmarkEnd w:id="7"/>
      <w:r w:rsidRPr="007D67AF">
        <w:rPr>
          <w:b/>
          <w:lang w:val="cs-CZ"/>
        </w:rPr>
        <w:t>(Řádný legislativní postup: první čtení)</w:t>
      </w:r>
    </w:p>
    <w:p w:rsidR="00D032B6" w:rsidRPr="007D67AF" w:rsidRDefault="00D032B6" w:rsidP="00A72FA6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240" w:line="221" w:lineRule="auto"/>
        <w:rPr>
          <w:lang w:val="cs-CZ"/>
        </w:rPr>
      </w:pPr>
      <w:r w:rsidRPr="007D67AF">
        <w:rPr>
          <w:i/>
          <w:lang w:val="cs-CZ"/>
        </w:rPr>
        <w:t>Evropský parlament,</w:t>
      </w:r>
    </w:p>
    <w:p w:rsidR="00D032B6" w:rsidRPr="007D67AF" w:rsidRDefault="00D032B6" w:rsidP="00A72FA6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cs-CZ"/>
        </w:rPr>
      </w:pPr>
      <w:r w:rsidRPr="007D67AF">
        <w:rPr>
          <w:lang w:val="cs-CZ"/>
        </w:rPr>
        <w:t>–</w:t>
      </w:r>
      <w:r w:rsidRPr="007D67AF">
        <w:rPr>
          <w:lang w:val="cs-CZ"/>
        </w:rPr>
        <w:tab/>
      </w:r>
      <w:r w:rsidRPr="007D67AF">
        <w:rPr>
          <w:szCs w:val="24"/>
          <w:lang w:val="cs-CZ"/>
        </w:rPr>
        <w:t>s ohledem na návrh Komise předložený Evropskému parlamentu a Radě (C</w:t>
      </w:r>
      <w:r w:rsidR="007D67AF" w:rsidRPr="007D67AF">
        <w:rPr>
          <w:szCs w:val="24"/>
          <w:lang w:val="cs-CZ"/>
        </w:rPr>
        <w:t>OM(2024)0043</w:t>
      </w:r>
      <w:r w:rsidRPr="007D67AF">
        <w:rPr>
          <w:szCs w:val="24"/>
          <w:lang w:val="cs-CZ"/>
        </w:rPr>
        <w:t>)</w:t>
      </w:r>
      <w:r w:rsidR="007D67AF" w:rsidRPr="007D67AF">
        <w:rPr>
          <w:szCs w:val="24"/>
          <w:lang w:val="cs-CZ"/>
        </w:rPr>
        <w:t>,</w:t>
      </w:r>
    </w:p>
    <w:p w:rsidR="00D032B6" w:rsidRPr="007D67AF" w:rsidRDefault="00D032B6" w:rsidP="007D67AF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hd w:val="pct12" w:color="auto" w:fill="FFFFFF"/>
          <w:lang w:val="cs-CZ"/>
        </w:rPr>
      </w:pPr>
      <w:r w:rsidRPr="007D67AF">
        <w:rPr>
          <w:lang w:val="cs-CZ"/>
        </w:rPr>
        <w:t>–</w:t>
      </w:r>
      <w:r w:rsidRPr="007D67AF">
        <w:rPr>
          <w:lang w:val="cs-CZ"/>
        </w:rPr>
        <w:tab/>
      </w:r>
      <w:r w:rsidRPr="007D67AF">
        <w:rPr>
          <w:szCs w:val="24"/>
          <w:lang w:val="cs-CZ"/>
        </w:rPr>
        <w:t xml:space="preserve">s ohledem na čl. 294 odst. 2 a </w:t>
      </w:r>
      <w:r w:rsidR="007D67AF" w:rsidRPr="007D67AF">
        <w:rPr>
          <w:szCs w:val="24"/>
          <w:lang w:val="cs-CZ"/>
        </w:rPr>
        <w:t>článek 114 a čl. 168 odst. 4 písm. c)</w:t>
      </w:r>
      <w:r w:rsidRPr="007D67AF">
        <w:rPr>
          <w:szCs w:val="24"/>
          <w:lang w:val="cs-CZ"/>
        </w:rPr>
        <w:t xml:space="preserve"> Smlouvy o fungování Evropské unie, v souladu </w:t>
      </w:r>
      <w:r w:rsidR="00BA400B">
        <w:rPr>
          <w:szCs w:val="24"/>
          <w:lang w:val="cs-CZ"/>
        </w:rPr>
        <w:t> se kterými</w:t>
      </w:r>
      <w:r w:rsidRPr="007D67AF">
        <w:rPr>
          <w:szCs w:val="24"/>
          <w:lang w:val="cs-CZ"/>
        </w:rPr>
        <w:t xml:space="preserve"> Komise předložila svůj návrh Parlamentu (</w:t>
      </w:r>
      <w:r w:rsidR="007D67AF" w:rsidRPr="007D67AF">
        <w:rPr>
          <w:szCs w:val="24"/>
          <w:lang w:val="cs-CZ"/>
        </w:rPr>
        <w:t>C</w:t>
      </w:r>
      <w:r w:rsidRPr="007D67AF">
        <w:rPr>
          <w:szCs w:val="24"/>
          <w:lang w:val="cs-CZ"/>
        </w:rPr>
        <w:t>9</w:t>
      </w:r>
      <w:r w:rsidR="007D67AF" w:rsidRPr="007D67AF">
        <w:rPr>
          <w:szCs w:val="24"/>
          <w:lang w:val="cs-CZ"/>
        </w:rPr>
        <w:t>-0010/2024</w:t>
      </w:r>
      <w:r w:rsidRPr="007D67AF">
        <w:rPr>
          <w:szCs w:val="24"/>
          <w:lang w:val="cs-CZ"/>
        </w:rPr>
        <w:t>)</w:t>
      </w:r>
      <w:r w:rsidRPr="007D67AF">
        <w:rPr>
          <w:lang w:val="cs-CZ"/>
        </w:rPr>
        <w:t>,</w:t>
      </w:r>
    </w:p>
    <w:p w:rsidR="00D032B6" w:rsidRPr="007D67AF" w:rsidRDefault="00D032B6" w:rsidP="007D67AF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cs-CZ"/>
        </w:rPr>
      </w:pPr>
      <w:r w:rsidRPr="007D67AF">
        <w:rPr>
          <w:lang w:val="cs-CZ"/>
        </w:rPr>
        <w:sym w:font="Symbol" w:char="F02D"/>
      </w:r>
      <w:r w:rsidRPr="007D67AF">
        <w:rPr>
          <w:lang w:val="cs-CZ"/>
        </w:rPr>
        <w:tab/>
      </w:r>
      <w:r w:rsidRPr="007D67AF">
        <w:rPr>
          <w:szCs w:val="24"/>
          <w:lang w:val="cs-CZ"/>
        </w:rPr>
        <w:t>s ohledem na čl. 294 odst. 3 Smlouvy o fungování Evropské unie</w:t>
      </w:r>
      <w:r w:rsidRPr="007D67AF">
        <w:rPr>
          <w:lang w:val="cs-CZ"/>
        </w:rPr>
        <w:t>,</w:t>
      </w:r>
    </w:p>
    <w:p w:rsidR="00D032B6" w:rsidRPr="007D67AF" w:rsidRDefault="00D032B6" w:rsidP="007D67AF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cs-CZ"/>
        </w:rPr>
      </w:pPr>
      <w:r w:rsidRPr="007D67AF">
        <w:rPr>
          <w:lang w:val="cs-CZ"/>
        </w:rPr>
        <w:t>–</w:t>
      </w:r>
      <w:r w:rsidRPr="007D67AF">
        <w:rPr>
          <w:lang w:val="cs-CZ"/>
        </w:rPr>
        <w:tab/>
      </w:r>
      <w:r w:rsidRPr="007D67AF">
        <w:rPr>
          <w:szCs w:val="24"/>
          <w:lang w:val="cs-CZ"/>
        </w:rPr>
        <w:t>s ohledem na stanovisko Evropského hospodářského a soc</w:t>
      </w:r>
      <w:r w:rsidR="007D67AF" w:rsidRPr="007D67AF">
        <w:rPr>
          <w:szCs w:val="24"/>
          <w:lang w:val="cs-CZ"/>
        </w:rPr>
        <w:t>iálního výboru ze dne 20. března</w:t>
      </w:r>
      <w:r w:rsidR="007D67AF" w:rsidRPr="007D67AF">
        <w:rPr>
          <w:lang w:val="cs-CZ"/>
        </w:rPr>
        <w:t> 2024</w:t>
      </w:r>
      <w:r w:rsidRPr="007D67AF">
        <w:rPr>
          <w:rStyle w:val="FootnoteReference"/>
          <w:lang w:val="cs-CZ"/>
        </w:rPr>
        <w:footnoteReference w:id="1"/>
      </w:r>
      <w:r w:rsidR="007D67AF" w:rsidRPr="007D67AF">
        <w:rPr>
          <w:lang w:val="cs-CZ"/>
        </w:rPr>
        <w:t>,</w:t>
      </w:r>
    </w:p>
    <w:p w:rsidR="007D67AF" w:rsidRPr="007D67AF" w:rsidRDefault="007D67AF" w:rsidP="007D67AF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hd w:val="pct12" w:color="auto" w:fill="FFFFFF"/>
          <w:lang w:val="cs-CZ"/>
        </w:rPr>
      </w:pPr>
      <w:r w:rsidRPr="007D67AF">
        <w:rPr>
          <w:lang w:val="cs-CZ"/>
        </w:rPr>
        <w:t>–</w:t>
      </w:r>
      <w:r w:rsidRPr="007D67AF">
        <w:rPr>
          <w:lang w:val="cs-CZ"/>
        </w:rPr>
        <w:tab/>
        <w:t>po konzultaci s Výborem regionů,</w:t>
      </w:r>
    </w:p>
    <w:p w:rsidR="00D032B6" w:rsidRPr="007D67AF" w:rsidRDefault="00D032B6" w:rsidP="007D67AF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b/>
          <w:lang w:val="cs-CZ"/>
        </w:rPr>
      </w:pPr>
      <w:r w:rsidRPr="007D67AF">
        <w:rPr>
          <w:lang w:val="cs-CZ"/>
        </w:rPr>
        <w:t>–</w:t>
      </w:r>
      <w:r w:rsidRPr="007D67AF">
        <w:rPr>
          <w:lang w:val="cs-CZ"/>
        </w:rPr>
        <w:tab/>
        <w:t>s ohledem na to</w:t>
      </w:r>
      <w:r w:rsidR="007D67AF" w:rsidRPr="007D67AF">
        <w:rPr>
          <w:lang w:val="cs-CZ"/>
        </w:rPr>
        <w:t xml:space="preserve">, </w:t>
      </w:r>
      <w:r w:rsidRPr="007D67AF">
        <w:rPr>
          <w:szCs w:val="24"/>
          <w:lang w:val="cs-CZ"/>
        </w:rPr>
        <w:t>že s</w:t>
      </w:r>
      <w:r w:rsidR="007D67AF" w:rsidRPr="007D67AF">
        <w:rPr>
          <w:szCs w:val="24"/>
          <w:lang w:val="cs-CZ"/>
        </w:rPr>
        <w:t>e zástupce Rady dopisem ze dne 21. února 2024</w:t>
      </w:r>
      <w:r w:rsidRPr="007D67AF">
        <w:rPr>
          <w:szCs w:val="24"/>
          <w:lang w:val="cs-CZ"/>
        </w:rPr>
        <w:t xml:space="preserve"> zavázal schválit tento postoj podle čl. 294 odst. 4 Smlouvy o fungování Evropské unie</w:t>
      </w:r>
      <w:r w:rsidR="007D67AF" w:rsidRPr="007D67AF">
        <w:rPr>
          <w:lang w:val="cs-CZ"/>
        </w:rPr>
        <w:t>,</w:t>
      </w:r>
    </w:p>
    <w:p w:rsidR="00D032B6" w:rsidRPr="007D67AF" w:rsidRDefault="00D032B6" w:rsidP="007D67AF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cs-CZ"/>
        </w:rPr>
      </w:pPr>
      <w:r w:rsidRPr="007D67AF">
        <w:rPr>
          <w:lang w:val="cs-CZ"/>
        </w:rPr>
        <w:t>–</w:t>
      </w:r>
      <w:r w:rsidRPr="007D67AF">
        <w:rPr>
          <w:lang w:val="cs-CZ"/>
        </w:rPr>
        <w:tab/>
      </w:r>
      <w:r w:rsidR="007D67AF" w:rsidRPr="007D67AF">
        <w:rPr>
          <w:szCs w:val="24"/>
          <w:lang w:val="cs-CZ"/>
        </w:rPr>
        <w:t>s ohledem na články</w:t>
      </w:r>
      <w:r w:rsidRPr="007D67AF">
        <w:rPr>
          <w:szCs w:val="24"/>
          <w:lang w:val="cs-CZ"/>
        </w:rPr>
        <w:t xml:space="preserve"> 59 </w:t>
      </w:r>
      <w:r w:rsidR="007D67AF" w:rsidRPr="007D67AF">
        <w:rPr>
          <w:szCs w:val="24"/>
          <w:lang w:val="cs-CZ"/>
        </w:rPr>
        <w:t xml:space="preserve">a 163 </w:t>
      </w:r>
      <w:r w:rsidRPr="007D67AF">
        <w:rPr>
          <w:szCs w:val="24"/>
          <w:lang w:val="cs-CZ"/>
        </w:rPr>
        <w:t>jednacího řádu</w:t>
      </w:r>
      <w:r w:rsidRPr="007D67AF">
        <w:rPr>
          <w:lang w:val="cs-CZ"/>
        </w:rPr>
        <w:t>,</w:t>
      </w:r>
    </w:p>
    <w:p w:rsidR="00D032B6" w:rsidRPr="007D67AF" w:rsidRDefault="00D032B6" w:rsidP="007D67AF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cs-CZ"/>
        </w:rPr>
      </w:pPr>
      <w:r w:rsidRPr="007D67AF">
        <w:rPr>
          <w:lang w:val="cs-CZ"/>
        </w:rPr>
        <w:t>1.</w:t>
      </w:r>
      <w:r w:rsidRPr="007D67AF">
        <w:rPr>
          <w:lang w:val="cs-CZ"/>
        </w:rPr>
        <w:tab/>
      </w:r>
      <w:r w:rsidRPr="007D67AF">
        <w:rPr>
          <w:szCs w:val="24"/>
          <w:lang w:val="cs-CZ"/>
        </w:rPr>
        <w:t xml:space="preserve">přijímá </w:t>
      </w:r>
      <w:r w:rsidR="007D67AF" w:rsidRPr="007D67AF">
        <w:rPr>
          <w:szCs w:val="24"/>
          <w:lang w:val="cs-CZ"/>
        </w:rPr>
        <w:t>níže uvedený postoj v prvním čtení;</w:t>
      </w:r>
    </w:p>
    <w:p w:rsidR="00D032B6" w:rsidRPr="007D67AF" w:rsidRDefault="007D67AF" w:rsidP="007D67AF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cs-CZ"/>
        </w:rPr>
      </w:pPr>
      <w:r w:rsidRPr="007D67AF">
        <w:rPr>
          <w:lang w:val="cs-CZ"/>
        </w:rPr>
        <w:t>2.</w:t>
      </w:r>
      <w:r w:rsidR="00D032B6" w:rsidRPr="007D67AF">
        <w:rPr>
          <w:lang w:val="cs-CZ"/>
        </w:rPr>
        <w:tab/>
        <w:t>vyzývá Komisi, aby věc znovu postoupila Parlamentu, jestliže svůj návrh nahradí jiným textem, podstatně jej změní nebo má v úmyslu jej podstatně změnit;</w:t>
      </w:r>
    </w:p>
    <w:p w:rsidR="00D032B6" w:rsidRPr="007D67AF" w:rsidRDefault="007D67AF" w:rsidP="007D67AF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cs-CZ"/>
        </w:rPr>
      </w:pPr>
      <w:r w:rsidRPr="007D67AF">
        <w:rPr>
          <w:lang w:val="cs-CZ"/>
        </w:rPr>
        <w:lastRenderedPageBreak/>
        <w:t>3</w:t>
      </w:r>
      <w:r w:rsidR="00D032B6" w:rsidRPr="007D67AF">
        <w:rPr>
          <w:lang w:val="cs-CZ"/>
        </w:rPr>
        <w:t>.</w:t>
      </w:r>
      <w:r w:rsidR="00D032B6" w:rsidRPr="007D67AF">
        <w:rPr>
          <w:lang w:val="cs-CZ"/>
        </w:rPr>
        <w:tab/>
        <w:t xml:space="preserve">pověřuje </w:t>
      </w:r>
      <w:r w:rsidRPr="007D67AF">
        <w:rPr>
          <w:lang w:val="cs-CZ"/>
        </w:rPr>
        <w:t xml:space="preserve">svou </w:t>
      </w:r>
      <w:r w:rsidR="00D032B6" w:rsidRPr="007D67AF">
        <w:rPr>
          <w:lang w:val="cs-CZ"/>
        </w:rPr>
        <w:t>předsedkyni</w:t>
      </w:r>
      <w:r w:rsidR="00D032B6" w:rsidRPr="007D67AF">
        <w:rPr>
          <w:szCs w:val="24"/>
          <w:lang w:val="cs-CZ"/>
        </w:rPr>
        <w:t>, aby předala</w:t>
      </w:r>
      <w:r w:rsidRPr="007D67AF">
        <w:rPr>
          <w:lang w:val="cs-CZ"/>
        </w:rPr>
        <w:t xml:space="preserve"> postoj Parlamentu Radě a</w:t>
      </w:r>
      <w:r w:rsidR="00D032B6" w:rsidRPr="007D67AF">
        <w:rPr>
          <w:lang w:val="cs-CZ"/>
        </w:rPr>
        <w:t xml:space="preserve"> Komisi, jakož i vnitrostátním parlamentům.</w:t>
      </w:r>
    </w:p>
    <w:p w:rsidR="007D67AF" w:rsidRPr="007D67AF" w:rsidRDefault="007D67AF" w:rsidP="00D032B6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16" w:lineRule="auto"/>
        <w:ind w:left="283" w:hanging="283"/>
        <w:rPr>
          <w:lang w:val="cs-CZ"/>
        </w:rPr>
        <w:sectPr w:rsidR="007D67AF" w:rsidRPr="007D67AF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7D67AF" w:rsidRPr="007D67AF" w:rsidRDefault="007D67AF" w:rsidP="007D67AF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cs-CZ"/>
        </w:rPr>
      </w:pPr>
      <w:r w:rsidRPr="007D67AF">
        <w:rPr>
          <w:rFonts w:eastAsia="Calibri"/>
          <w:b/>
          <w:bCs/>
          <w:color w:val="000000"/>
          <w:szCs w:val="24"/>
          <w:lang w:val="cs-CZ"/>
        </w:rPr>
        <w:lastRenderedPageBreak/>
        <w:t>P9_TC1-COD(2024)0021</w:t>
      </w:r>
    </w:p>
    <w:p w:rsidR="00A72FA6" w:rsidRDefault="007D67AF" w:rsidP="00A72FA6">
      <w:pPr>
        <w:tabs>
          <w:tab w:val="left" w:pos="-774"/>
          <w:tab w:val="left" w:pos="-114"/>
          <w:tab w:val="left" w:pos="0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16" w:lineRule="auto"/>
        <w:rPr>
          <w:rFonts w:eastAsia="Calibri"/>
          <w:b/>
          <w:i/>
          <w:noProof/>
          <w:szCs w:val="22"/>
          <w:lang w:val="cs-CZ"/>
        </w:rPr>
      </w:pPr>
      <w:r w:rsidRPr="007D67AF">
        <w:rPr>
          <w:b/>
          <w:lang w:val="cs-CZ"/>
        </w:rPr>
        <w:t>Postoj Evropského parlamentu přijatý v prvním čtení dne 25. dubna 2024 k přijetí nařízení Evropského parlamentu a Rady (EU) 2024/...</w:t>
      </w:r>
      <w:r w:rsidR="00A72FA6">
        <w:rPr>
          <w:b/>
          <w:lang w:val="cs-CZ"/>
        </w:rPr>
        <w:t xml:space="preserve">, </w:t>
      </w:r>
      <w:r w:rsidR="00A72FA6" w:rsidRPr="0089300D">
        <w:rPr>
          <w:rFonts w:eastAsia="Calibri"/>
          <w:b/>
          <w:noProof/>
          <w:szCs w:val="22"/>
          <w:lang w:val="cs-CZ"/>
        </w:rPr>
        <w:t>kterým se mění nařízení (EU) 2017/745</w:t>
      </w:r>
      <w:r w:rsidR="00A72FA6">
        <w:rPr>
          <w:rFonts w:eastAsia="Calibri"/>
          <w:b/>
          <w:noProof/>
          <w:szCs w:val="22"/>
          <w:lang w:val="cs-CZ"/>
        </w:rPr>
        <w:t xml:space="preserve"> a </w:t>
      </w:r>
      <w:r w:rsidR="00A72FA6" w:rsidRPr="0089300D">
        <w:rPr>
          <w:rFonts w:eastAsia="Calibri"/>
          <w:b/>
          <w:noProof/>
          <w:szCs w:val="22"/>
          <w:lang w:val="cs-CZ"/>
        </w:rPr>
        <w:t>(EU) 2017/746, pokud jde</w:t>
      </w:r>
      <w:r w:rsidR="00A72FA6">
        <w:rPr>
          <w:rFonts w:eastAsia="Calibri"/>
          <w:b/>
          <w:noProof/>
          <w:szCs w:val="22"/>
          <w:lang w:val="cs-CZ"/>
        </w:rPr>
        <w:t xml:space="preserve"> o </w:t>
      </w:r>
      <w:r w:rsidR="00A72FA6" w:rsidRPr="0089300D">
        <w:rPr>
          <w:rFonts w:eastAsia="Calibri"/>
          <w:b/>
          <w:noProof/>
          <w:szCs w:val="22"/>
          <w:lang w:val="cs-CZ"/>
        </w:rPr>
        <w:t xml:space="preserve">postupné zavádění databáze Eudamed, povinnost </w:t>
      </w:r>
      <w:r w:rsidR="00A72FA6">
        <w:rPr>
          <w:rFonts w:eastAsia="Calibri"/>
          <w:b/>
          <w:noProof/>
          <w:szCs w:val="22"/>
          <w:lang w:val="cs-CZ"/>
        </w:rPr>
        <w:t xml:space="preserve">informovat </w:t>
      </w:r>
      <w:r w:rsidR="00A72FA6" w:rsidRPr="0089300D">
        <w:rPr>
          <w:rFonts w:eastAsia="Calibri"/>
          <w:b/>
          <w:noProof/>
          <w:szCs w:val="22"/>
          <w:lang w:val="cs-CZ"/>
        </w:rPr>
        <w:t>v</w:t>
      </w:r>
      <w:r w:rsidR="00A72FA6">
        <w:rPr>
          <w:rFonts w:eastAsia="Calibri"/>
          <w:b/>
          <w:noProof/>
          <w:szCs w:val="22"/>
          <w:lang w:val="cs-CZ"/>
        </w:rPr>
        <w:t> </w:t>
      </w:r>
      <w:r w:rsidR="00A72FA6" w:rsidRPr="0089300D">
        <w:rPr>
          <w:rFonts w:eastAsia="Calibri"/>
          <w:b/>
          <w:noProof/>
          <w:szCs w:val="22"/>
          <w:lang w:val="cs-CZ"/>
        </w:rPr>
        <w:t xml:space="preserve">případě přerušení </w:t>
      </w:r>
      <w:r w:rsidR="00A72FA6">
        <w:rPr>
          <w:rFonts w:eastAsia="Calibri"/>
          <w:b/>
          <w:noProof/>
          <w:szCs w:val="22"/>
          <w:lang w:val="cs-CZ"/>
        </w:rPr>
        <w:t xml:space="preserve">nebo ukončení </w:t>
      </w:r>
      <w:r w:rsidR="00A72FA6" w:rsidRPr="0089300D">
        <w:rPr>
          <w:rFonts w:eastAsia="Calibri"/>
          <w:b/>
          <w:noProof/>
          <w:szCs w:val="22"/>
          <w:lang w:val="cs-CZ"/>
        </w:rPr>
        <w:t>dodávek</w:t>
      </w:r>
      <w:r w:rsidR="00A72FA6">
        <w:rPr>
          <w:rFonts w:eastAsia="Calibri"/>
          <w:b/>
          <w:noProof/>
          <w:szCs w:val="22"/>
          <w:lang w:val="cs-CZ"/>
        </w:rPr>
        <w:t xml:space="preserve"> a </w:t>
      </w:r>
      <w:r w:rsidR="00A72FA6" w:rsidRPr="0089300D">
        <w:rPr>
          <w:rFonts w:eastAsia="Calibri"/>
          <w:b/>
          <w:noProof/>
          <w:szCs w:val="22"/>
          <w:lang w:val="cs-CZ"/>
        </w:rPr>
        <w:t xml:space="preserve">přechodná ustanovení pro některé diagnostické zdravotnické prostředky </w:t>
      </w:r>
      <w:r w:rsidR="00A72FA6" w:rsidRPr="0089300D">
        <w:rPr>
          <w:rFonts w:eastAsia="Calibri"/>
          <w:b/>
          <w:i/>
          <w:noProof/>
          <w:szCs w:val="22"/>
          <w:lang w:val="cs-CZ"/>
        </w:rPr>
        <w:t>in vitro</w:t>
      </w:r>
    </w:p>
    <w:p w:rsidR="003133D0" w:rsidRPr="003133D0" w:rsidRDefault="003133D0" w:rsidP="003133D0">
      <w:pPr>
        <w:tabs>
          <w:tab w:val="left" w:pos="-774"/>
          <w:tab w:val="left" w:pos="-114"/>
          <w:tab w:val="left" w:pos="0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360" w:line="216" w:lineRule="auto"/>
        <w:rPr>
          <w:i/>
          <w:lang w:val="cs-CZ"/>
        </w:rPr>
      </w:pPr>
      <w:r w:rsidRPr="003133D0">
        <w:rPr>
          <w:i/>
          <w:lang w:val="cs-CZ"/>
        </w:rPr>
        <w:t>(Vzhledem k tomu, že bylo dosaženo dohody mezi Parlamentem a Radou, postoj Parlamentu odpovídá konečnému znění legislati</w:t>
      </w:r>
      <w:r>
        <w:rPr>
          <w:i/>
          <w:lang w:val="cs-CZ"/>
        </w:rPr>
        <w:t>vního aktu, nařízení (EU) 2024/1860</w:t>
      </w:r>
      <w:bookmarkStart w:id="8" w:name="_GoBack"/>
      <w:bookmarkEnd w:id="8"/>
      <w:r w:rsidRPr="003133D0">
        <w:rPr>
          <w:i/>
          <w:lang w:val="cs-CZ"/>
        </w:rPr>
        <w:t>.)</w:t>
      </w:r>
    </w:p>
    <w:sectPr w:rsidR="003133D0" w:rsidRPr="003133D0" w:rsidSect="007D67AF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2B6" w:rsidRDefault="00D032B6" w:rsidP="009C4014">
      <w:r>
        <w:separator/>
      </w:r>
    </w:p>
  </w:endnote>
  <w:endnote w:type="continuationSeparator" w:id="0">
    <w:p w:rsidR="00D032B6" w:rsidRDefault="00D032B6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2B6" w:rsidRDefault="00D032B6" w:rsidP="009C4014">
      <w:r>
        <w:separator/>
      </w:r>
    </w:p>
  </w:footnote>
  <w:footnote w:type="continuationSeparator" w:id="0">
    <w:p w:rsidR="00D032B6" w:rsidRDefault="00D032B6" w:rsidP="009C4014">
      <w:r>
        <w:continuationSeparator/>
      </w:r>
    </w:p>
  </w:footnote>
  <w:footnote w:id="1">
    <w:p w:rsidR="00D032B6" w:rsidRPr="007D67AF" w:rsidRDefault="00D032B6" w:rsidP="007D67AF">
      <w:pPr>
        <w:pStyle w:val="FootnoteText"/>
        <w:ind w:left="567" w:hanging="567"/>
        <w:rPr>
          <w:sz w:val="24"/>
          <w:szCs w:val="24"/>
          <w:lang w:val="cs-CZ"/>
        </w:rPr>
      </w:pPr>
      <w:r w:rsidRPr="007D67AF">
        <w:rPr>
          <w:rStyle w:val="FootnoteReference"/>
          <w:sz w:val="24"/>
          <w:szCs w:val="24"/>
          <w:lang w:val="cs-CZ"/>
        </w:rPr>
        <w:footnoteRef/>
      </w:r>
      <w:r w:rsidR="007D67AF" w:rsidRPr="007D67AF">
        <w:rPr>
          <w:sz w:val="24"/>
          <w:szCs w:val="24"/>
          <w:lang w:val="cs-CZ"/>
        </w:rPr>
        <w:t xml:space="preserve"> </w:t>
      </w:r>
      <w:r w:rsidR="007D67AF" w:rsidRPr="007D67AF">
        <w:rPr>
          <w:sz w:val="24"/>
          <w:szCs w:val="24"/>
          <w:lang w:val="cs-CZ"/>
        </w:rPr>
        <w:tab/>
      </w:r>
      <w:r w:rsidRPr="007D67AF">
        <w:rPr>
          <w:sz w:val="24"/>
          <w:szCs w:val="24"/>
          <w:lang w:val="cs-CZ"/>
        </w:rPr>
        <w:t>Dosud nezv</w:t>
      </w:r>
      <w:r w:rsidR="007D67AF" w:rsidRPr="007D67AF">
        <w:rPr>
          <w:sz w:val="24"/>
          <w:szCs w:val="24"/>
          <w:lang w:val="cs-CZ"/>
        </w:rPr>
        <w:t>eřejněné v Úředním věstníku</w:t>
      </w:r>
      <w:r w:rsidRPr="007D67AF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activeWritingStyle w:appName="MSWord" w:lang="es-ES" w:vendorID="64" w:dllVersion="131078" w:nlCheck="1" w:checkStyle="0"/>
  <w:activeWritingStyle w:appName="MSWord" w:lang="en-GB" w:vendorID="64" w:dllVersion="131078" w:nlCheck="1" w:checkStyle="1"/>
  <w:activeWritingStyle w:appName="MSWord" w:lang="fr-FR" w:vendorID="9" w:dllVersion="512" w:checkStyle="0"/>
  <w:activeWritingStyle w:appName="MSWord" w:lang="pt-PT" w:vendorID="13" w:dllVersion="513" w:checkStyle="1"/>
  <w:activeWritingStyle w:appName="MSWord" w:lang="cs-CZ" w:vendorID="7" w:dllVersion="514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B6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133D0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1BBB"/>
    <w:rsid w:val="00751383"/>
    <w:rsid w:val="00757DD5"/>
    <w:rsid w:val="00760EC5"/>
    <w:rsid w:val="007713FD"/>
    <w:rsid w:val="00774A9B"/>
    <w:rsid w:val="007906DB"/>
    <w:rsid w:val="007B16FE"/>
    <w:rsid w:val="007C3388"/>
    <w:rsid w:val="007D67AF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26150"/>
    <w:rsid w:val="009865B7"/>
    <w:rsid w:val="009B7E10"/>
    <w:rsid w:val="009C4014"/>
    <w:rsid w:val="009F28EF"/>
    <w:rsid w:val="00A1739E"/>
    <w:rsid w:val="00A72FA6"/>
    <w:rsid w:val="00B54C72"/>
    <w:rsid w:val="00B85C1E"/>
    <w:rsid w:val="00BA400B"/>
    <w:rsid w:val="00C15516"/>
    <w:rsid w:val="00C16C81"/>
    <w:rsid w:val="00C47B1E"/>
    <w:rsid w:val="00C57739"/>
    <w:rsid w:val="00C65BE8"/>
    <w:rsid w:val="00CB451F"/>
    <w:rsid w:val="00CC4897"/>
    <w:rsid w:val="00D032B6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32604"/>
  <w15:chartTrackingRefBased/>
  <w15:docId w15:val="{E1FE73CB-32E2-43D8-B97F-36EBE970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FA6"/>
    <w:pPr>
      <w:spacing w:before="240" w:after="60"/>
      <w:jc w:val="both"/>
      <w:outlineLvl w:val="5"/>
    </w:pPr>
    <w:rPr>
      <w:rFonts w:eastAsiaTheme="minorHAnsi"/>
      <w:b/>
      <w:bCs/>
      <w:sz w:val="22"/>
      <w:szCs w:val="22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qFormat/>
    <w:rsid w:val="00D032B6"/>
    <w:pPr>
      <w:keepNext/>
      <w:tabs>
        <w:tab w:val="right" w:pos="9299"/>
      </w:tabs>
      <w:jc w:val="both"/>
      <w:outlineLvl w:val="6"/>
    </w:pPr>
    <w:rPr>
      <w:rFonts w:ascii="Arial" w:hAnsi="Arial"/>
      <w:b/>
      <w:snapToGrid w:val="0"/>
      <w:sz w:val="48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FA6"/>
    <w:pPr>
      <w:spacing w:before="240" w:after="60"/>
      <w:jc w:val="both"/>
      <w:outlineLvl w:val="7"/>
    </w:pPr>
    <w:rPr>
      <w:rFonts w:eastAsiaTheme="minorHAnsi"/>
      <w:i/>
      <w:iCs/>
      <w:szCs w:val="24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FA6"/>
    <w:pPr>
      <w:spacing w:before="240" w:after="60"/>
      <w:jc w:val="both"/>
      <w:outlineLvl w:val="8"/>
    </w:pPr>
    <w:rPr>
      <w:rFonts w:asciiTheme="majorHAnsi" w:eastAsiaTheme="majorEastAsia" w:hAnsiTheme="majorHAns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D032B6"/>
    <w:rPr>
      <w:rFonts w:ascii="Arial" w:hAnsi="Arial"/>
      <w:b/>
      <w:snapToGrid w:val="0"/>
      <w:sz w:val="48"/>
      <w:lang w:val="fr-F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032B6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32B6"/>
    <w:rPr>
      <w:sz w:val="22"/>
      <w:lang w:val="fr-FR"/>
    </w:rPr>
  </w:style>
  <w:style w:type="paragraph" w:customStyle="1" w:styleId="PGreferences">
    <w:name w:val="PG references"/>
    <w:basedOn w:val="Normal"/>
    <w:next w:val="Normal"/>
    <w:rsid w:val="00D032B6"/>
    <w:pPr>
      <w:tabs>
        <w:tab w:val="right" w:pos="9299"/>
      </w:tabs>
      <w:jc w:val="both"/>
    </w:pPr>
    <w:rPr>
      <w:rFonts w:ascii="Arial" w:hAnsi="Arial"/>
      <w:snapToGrid w:val="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FA6"/>
    <w:rPr>
      <w:rFonts w:eastAsiaTheme="minorHAnsi"/>
      <w:b/>
      <w:bCs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FA6"/>
    <w:rPr>
      <w:rFonts w:eastAsiaTheme="minorHAnsi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FA6"/>
    <w:rPr>
      <w:rFonts w:asciiTheme="majorHAnsi" w:eastAsiaTheme="majorEastAsia" w:hAnsiTheme="majorHAns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72FA6"/>
    <w:rPr>
      <w:b/>
      <w:kern w:val="28"/>
      <w:sz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A72FA6"/>
    <w:rPr>
      <w:sz w:val="24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A72FA6"/>
    <w:rPr>
      <w:rFonts w:ascii="Arial" w:hAnsi="Arial"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A72FA6"/>
    <w:rPr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A72FA6"/>
    <w:rPr>
      <w:sz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72FA6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A72FA6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FA6"/>
    <w:pPr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72FA6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A72FA6"/>
    <w:rPr>
      <w:b/>
      <w:bCs/>
    </w:rPr>
  </w:style>
  <w:style w:type="character" w:styleId="Emphasis">
    <w:name w:val="Emphasis"/>
    <w:basedOn w:val="DefaultParagraphFont"/>
    <w:uiPriority w:val="20"/>
    <w:qFormat/>
    <w:rsid w:val="00A72FA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72FA6"/>
    <w:pPr>
      <w:jc w:val="both"/>
    </w:pPr>
    <w:rPr>
      <w:rFonts w:eastAsiaTheme="minorHAnsi"/>
      <w:szCs w:val="32"/>
      <w:lang w:val="en-GB" w:eastAsia="en-US"/>
    </w:rPr>
  </w:style>
  <w:style w:type="paragraph" w:styleId="ListParagraph">
    <w:name w:val="List Paragraph"/>
    <w:basedOn w:val="Normal"/>
    <w:uiPriority w:val="34"/>
    <w:qFormat/>
    <w:rsid w:val="00A72FA6"/>
    <w:pPr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72FA6"/>
    <w:pPr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A72FA6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FA6"/>
    <w:pPr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FA6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A72FA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72FA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72FA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72FA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72FA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2FA6"/>
    <w:pPr>
      <w:keepLines w:val="0"/>
      <w:spacing w:before="240" w:after="60"/>
      <w:ind w:left="0" w:firstLine="0"/>
      <w:jc w:val="both"/>
      <w:outlineLvl w:val="9"/>
    </w:pPr>
    <w:rPr>
      <w:rFonts w:ascii="Arial" w:eastAsiaTheme="majorEastAsia" w:hAnsi="Arial" w:cs="Arial"/>
      <w:bCs/>
      <w:kern w:val="32"/>
      <w:sz w:val="32"/>
      <w:szCs w:val="3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72FA6"/>
    <w:rPr>
      <w:sz w:val="24"/>
      <w:lang w:val="fr-FR"/>
    </w:rPr>
  </w:style>
  <w:style w:type="character" w:styleId="Hyperlink">
    <w:name w:val="Hyperlink"/>
    <w:basedOn w:val="DefaultParagraphFont"/>
    <w:uiPriority w:val="99"/>
    <w:unhideWhenUsed/>
    <w:rsid w:val="00A72FA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A72FA6"/>
    <w:pPr>
      <w:jc w:val="both"/>
    </w:pPr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72FA6"/>
    <w:rPr>
      <w:rFonts w:ascii="Segoe UI" w:eastAsiaTheme="minorHAns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A72F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2FA6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2FA6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72F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72FA6"/>
    <w:rPr>
      <w:rFonts w:eastAsiaTheme="minorHAnsi"/>
      <w:b/>
      <w:bCs/>
      <w:lang w:eastAsia="en-US"/>
    </w:rPr>
  </w:style>
  <w:style w:type="paragraph" w:styleId="Revision">
    <w:name w:val="Revision"/>
    <w:hidden/>
    <w:uiPriority w:val="99"/>
    <w:semiHidden/>
    <w:rsid w:val="00A72FA6"/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E7003-5E52-4FBF-A905-32C61C1F8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337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HILL Romana</dc:creator>
  <cp:keywords/>
  <cp:lastModifiedBy>HILL Romana</cp:lastModifiedBy>
  <cp:revision>2</cp:revision>
  <cp:lastPrinted>2014-08-07T13:15:00Z</cp:lastPrinted>
  <dcterms:created xsi:type="dcterms:W3CDTF">2024-09-09T11:29:00Z</dcterms:created>
  <dcterms:modified xsi:type="dcterms:W3CDTF">2024-09-09T11:29:00Z</dcterms:modified>
</cp:coreProperties>
</file>