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174C1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0174C1" w:rsidRDefault="0054537A" w:rsidP="00425111">
            <w:pPr>
              <w:pStyle w:val="EPName"/>
              <w:rPr>
                <w:lang w:val="en-GB"/>
              </w:rPr>
            </w:pPr>
            <w:r w:rsidRPr="000174C1">
              <w:rPr>
                <w:lang w:val="en-GB"/>
              </w:rPr>
              <w:t>Europa-Parlamentet</w:t>
            </w:r>
          </w:p>
          <w:p w:rsidR="00757DD5" w:rsidRPr="000174C1" w:rsidRDefault="0054537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174C1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0174C1" w:rsidRDefault="00172070" w:rsidP="00425111">
            <w:pPr>
              <w:pStyle w:val="EPLogo"/>
            </w:pPr>
            <w:r w:rsidRPr="000174C1">
              <w:rPr>
                <w:noProof/>
                <w:lang w:val="da-DK" w:eastAsia="da-DK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174C1" w:rsidRDefault="008E7632" w:rsidP="008E7632">
      <w:pPr>
        <w:pStyle w:val="LineTop"/>
        <w:rPr>
          <w:lang w:val="en-GB"/>
        </w:rPr>
      </w:pPr>
    </w:p>
    <w:p w:rsidR="008E7632" w:rsidRPr="000174C1" w:rsidRDefault="0054537A" w:rsidP="008E7632">
      <w:pPr>
        <w:pStyle w:val="ZSessionDoc"/>
        <w:rPr>
          <w:b/>
          <w:i w:val="0"/>
          <w:lang w:val="da-DK"/>
        </w:rPr>
      </w:pPr>
      <w:r w:rsidRPr="000174C1">
        <w:rPr>
          <w:b/>
          <w:i w:val="0"/>
          <w:lang w:val="da-DK"/>
        </w:rPr>
        <w:t>VEDTAGNE TEKSTER</w:t>
      </w:r>
    </w:p>
    <w:p w:rsidR="008E7632" w:rsidRPr="000174C1" w:rsidRDefault="0054537A" w:rsidP="008E7632">
      <w:pPr>
        <w:pStyle w:val="LineBottom"/>
        <w:rPr>
          <w:lang w:val="da-DK"/>
        </w:rPr>
      </w:pPr>
      <w:r w:rsidRPr="000174C1">
        <w:rPr>
          <w:rFonts w:cs="Arial"/>
          <w:i/>
          <w:sz w:val="20"/>
          <w:szCs w:val="22"/>
          <w:lang w:val="da-DK"/>
        </w:rPr>
        <w:t xml:space="preserve"> </w:t>
      </w:r>
    </w:p>
    <w:p w:rsidR="009C4014" w:rsidRPr="004D5527" w:rsidRDefault="0054537A" w:rsidP="008E7632">
      <w:pPr>
        <w:pStyle w:val="ATHeading1"/>
        <w:spacing w:before="480"/>
        <w:rPr>
          <w:lang w:val="da-DK"/>
        </w:rPr>
      </w:pPr>
      <w:bookmarkStart w:id="0" w:name="TA_Heading"/>
      <w:r w:rsidRPr="004D5527">
        <w:rPr>
          <w:lang w:val="da-DK"/>
        </w:rPr>
        <w:t>P9_TA(202</w:t>
      </w:r>
      <w:r w:rsidR="005A1BA5" w:rsidRPr="004D5527">
        <w:rPr>
          <w:lang w:val="da-DK"/>
        </w:rPr>
        <w:t>4</w:t>
      </w:r>
      <w:r w:rsidRPr="004D5527">
        <w:rPr>
          <w:lang w:val="da-DK"/>
        </w:rPr>
        <w:t>)</w:t>
      </w:r>
      <w:bookmarkStart w:id="1" w:name="TANumber"/>
      <w:bookmarkEnd w:id="0"/>
      <w:r w:rsidRPr="004D5527">
        <w:rPr>
          <w:lang w:val="da-DK"/>
        </w:rPr>
        <w:t>0</w:t>
      </w:r>
      <w:r w:rsidR="00755E0F">
        <w:rPr>
          <w:lang w:val="da-DK"/>
        </w:rPr>
        <w:t>368</w:t>
      </w:r>
      <w:bookmarkEnd w:id="1"/>
    </w:p>
    <w:p w:rsidR="009C4014" w:rsidRPr="004D5527" w:rsidRDefault="005A1BA5" w:rsidP="005A1BA5">
      <w:pPr>
        <w:pStyle w:val="ATHeading2"/>
        <w:rPr>
          <w:lang w:val="da-DK"/>
        </w:rPr>
      </w:pPr>
      <w:bookmarkStart w:id="2" w:name="title"/>
      <w:r w:rsidRPr="004D5527">
        <w:rPr>
          <w:lang w:val="da-DK"/>
        </w:rPr>
        <w:t>Gradvis indfasning af Eudamed, oplysningspligt i tilfælde af forsyningsafbrydelse samt overgangsbestemmelser for visse former for medicinsk udstyr til in vitro-diagnostik</w:t>
      </w:r>
      <w:bookmarkStart w:id="3" w:name="Etoiles"/>
      <w:bookmarkEnd w:id="2"/>
      <w:bookmarkEnd w:id="3"/>
    </w:p>
    <w:p w:rsidR="009C4014" w:rsidRPr="000174C1" w:rsidRDefault="009C4014" w:rsidP="009C4014">
      <w:pPr>
        <w:rPr>
          <w:i/>
          <w:vanish/>
          <w:lang w:val="da-DK"/>
        </w:rPr>
      </w:pPr>
      <w:r w:rsidRPr="000174C1">
        <w:rPr>
          <w:i/>
        </w:rPr>
        <w:fldChar w:fldCharType="begin"/>
      </w:r>
      <w:r w:rsidRPr="000174C1">
        <w:rPr>
          <w:i/>
          <w:lang w:val="da-DK"/>
        </w:rPr>
        <w:instrText xml:space="preserve"> TC"</w:instrText>
      </w:r>
      <w:bookmarkStart w:id="4" w:name="DocNumber"/>
      <w:r w:rsidR="0054537A" w:rsidRPr="000174C1">
        <w:rPr>
          <w:i/>
          <w:lang w:val="da-DK"/>
        </w:rPr>
        <w:instrText>(C9-00</w:instrText>
      </w:r>
      <w:r w:rsidR="005A1BA5" w:rsidRPr="000174C1">
        <w:rPr>
          <w:i/>
          <w:lang w:val="da-DK"/>
        </w:rPr>
        <w:instrText>10</w:instrText>
      </w:r>
      <w:r w:rsidR="0054537A" w:rsidRPr="000174C1">
        <w:rPr>
          <w:i/>
          <w:lang w:val="da-DK"/>
        </w:rPr>
        <w:instrText>/202</w:instrText>
      </w:r>
      <w:r w:rsidR="005A1BA5" w:rsidRPr="000174C1">
        <w:rPr>
          <w:i/>
          <w:lang w:val="da-DK"/>
        </w:rPr>
        <w:instrText>4</w:instrText>
      </w:r>
      <w:r w:rsidR="0054537A" w:rsidRPr="000174C1">
        <w:rPr>
          <w:i/>
          <w:lang w:val="da-DK"/>
        </w:rPr>
        <w:instrText>)</w:instrText>
      </w:r>
      <w:bookmarkEnd w:id="4"/>
      <w:r w:rsidRPr="000174C1">
        <w:rPr>
          <w:i/>
          <w:lang w:val="da-DK"/>
        </w:rPr>
        <w:instrText xml:space="preserve">"\l3 \n&gt; \* MERGEFORMAT </w:instrText>
      </w:r>
      <w:r w:rsidRPr="000174C1">
        <w:rPr>
          <w:i/>
        </w:rPr>
        <w:fldChar w:fldCharType="end"/>
      </w:r>
    </w:p>
    <w:p w:rsidR="0054537A" w:rsidRPr="000174C1" w:rsidRDefault="0054537A" w:rsidP="009C4014">
      <w:pPr>
        <w:rPr>
          <w:vanish/>
          <w:lang w:val="da-DK"/>
        </w:rPr>
      </w:pPr>
      <w:bookmarkStart w:id="5" w:name="Commission"/>
      <w:r w:rsidRPr="000174C1">
        <w:rPr>
          <w:vanish/>
          <w:lang w:val="da-DK"/>
        </w:rPr>
        <w:t xml:space="preserve">Udvalget for </w:t>
      </w:r>
      <w:r w:rsidR="005A1BA5" w:rsidRPr="000174C1">
        <w:rPr>
          <w:vanish/>
          <w:lang w:val="da-DK"/>
        </w:rPr>
        <w:t>Miljø, Folkesundhed og Fødevaresikkerhed</w:t>
      </w:r>
    </w:p>
    <w:p w:rsidR="009C4014" w:rsidRPr="000174C1" w:rsidRDefault="0054537A" w:rsidP="009C4014">
      <w:pPr>
        <w:rPr>
          <w:vanish/>
          <w:lang w:val="da-DK"/>
        </w:rPr>
      </w:pPr>
      <w:bookmarkStart w:id="6" w:name="PE"/>
      <w:bookmarkEnd w:id="5"/>
      <w:r w:rsidRPr="000174C1">
        <w:rPr>
          <w:vanish/>
          <w:lang w:val="da-DK"/>
        </w:rPr>
        <w:t>PE</w:t>
      </w:r>
      <w:r w:rsidR="005A1BA5" w:rsidRPr="000174C1">
        <w:rPr>
          <w:vanish/>
          <w:lang w:val="da-DK"/>
        </w:rPr>
        <w:t>762.481</w:t>
      </w:r>
      <w:bookmarkEnd w:id="6"/>
    </w:p>
    <w:p w:rsidR="0054537A" w:rsidRPr="004D5527" w:rsidRDefault="005A1BA5" w:rsidP="005A1BA5">
      <w:pPr>
        <w:pStyle w:val="ATHeading3"/>
        <w:rPr>
          <w:lang w:val="da-DK"/>
        </w:rPr>
      </w:pPr>
      <w:bookmarkStart w:id="7" w:name="Sujet"/>
      <w:r w:rsidRPr="004D5527">
        <w:rPr>
          <w:lang w:val="da-DK"/>
        </w:rPr>
        <w:t>Europa-Parlamentets lovgivningsmæssige beslutning af 25. april 2024 om forslag til Europa-Parlamentets og Rådets forordning om ændring af forordning (EU) 2017/745 og (EU) 2017/746 for så vidt angår en gradvis indfasning af Eudamed, oplysningspligt i tilfælde af forsyningsafbrydelse samt overgangsbestemmelser for visse former for medicinsk udstyr til in vitro-diagnostik (COM(2024)0043 – C9-0010/2024 – 2024/0021(COD))</w:t>
      </w:r>
      <w:bookmarkEnd w:id="7"/>
    </w:p>
    <w:p w:rsidR="009C4014" w:rsidRPr="000174C1" w:rsidRDefault="00E73B02" w:rsidP="00815B02">
      <w:pPr>
        <w:pStyle w:val="Normal12"/>
        <w:rPr>
          <w:b/>
          <w:lang w:val="da-DK"/>
        </w:rPr>
      </w:pPr>
      <w:r w:rsidRPr="000174C1">
        <w:rPr>
          <w:b/>
          <w:lang w:val="da-DK"/>
        </w:rPr>
        <w:t xml:space="preserve"> </w:t>
      </w:r>
      <w:bookmarkStart w:id="8" w:name="References"/>
      <w:r w:rsidR="0054537A" w:rsidRPr="000174C1">
        <w:rPr>
          <w:b/>
          <w:lang w:val="da-DK"/>
        </w:rPr>
        <w:t>(Almindelig lovgivningsprocedure: førstebehandling)</w:t>
      </w:r>
      <w:bookmarkEnd w:id="8"/>
    </w:p>
    <w:p w:rsidR="006E5420" w:rsidRPr="000174C1" w:rsidRDefault="0054537A" w:rsidP="008B1C2E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0174C1">
        <w:rPr>
          <w:i/>
          <w:szCs w:val="24"/>
          <w:lang w:val="da-DK"/>
        </w:rPr>
        <w:t>Europa-Parlamentet,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  <w:t>der henviser til Kommissionens forslag til Europa-Parlamentet og Rådet (COM(20</w:t>
      </w:r>
      <w:r w:rsidR="005A1BA5" w:rsidRPr="000174C1">
        <w:rPr>
          <w:lang w:val="da-DK"/>
        </w:rPr>
        <w:t>24</w:t>
      </w:r>
      <w:r w:rsidRPr="000174C1">
        <w:rPr>
          <w:lang w:val="da-DK"/>
        </w:rPr>
        <w:t>)</w:t>
      </w:r>
      <w:r w:rsidR="005A1BA5" w:rsidRPr="000174C1">
        <w:rPr>
          <w:lang w:val="da-DK"/>
        </w:rPr>
        <w:t>0043</w:t>
      </w:r>
      <w:r w:rsidRPr="000174C1">
        <w:rPr>
          <w:lang w:val="da-DK"/>
        </w:rPr>
        <w:t>),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  <w:t xml:space="preserve">der henviser til artikel 294, stk. 2, og artikel </w:t>
      </w:r>
      <w:r w:rsidR="005A1BA5" w:rsidRPr="000174C1">
        <w:rPr>
          <w:lang w:val="da-DK"/>
        </w:rPr>
        <w:t>114</w:t>
      </w:r>
      <w:r w:rsidRPr="000174C1">
        <w:rPr>
          <w:lang w:val="da-DK"/>
        </w:rPr>
        <w:t xml:space="preserve">, </w:t>
      </w:r>
      <w:r w:rsidR="005A1BA5" w:rsidRPr="000174C1">
        <w:rPr>
          <w:lang w:val="da-DK"/>
        </w:rPr>
        <w:t>og artikel 168, stk. 4, litra c)</w:t>
      </w:r>
      <w:r w:rsidRPr="000174C1">
        <w:rPr>
          <w:lang w:val="da-DK"/>
        </w:rPr>
        <w:t>, i traktaten om Den Europæiske Unions funktionsmåde, på grundlag af hvilke Kommissionen har forelagt forslaget for Parlamentet (C9-</w:t>
      </w:r>
      <w:r w:rsidR="005A1BA5" w:rsidRPr="000174C1">
        <w:rPr>
          <w:lang w:val="da-DK"/>
        </w:rPr>
        <w:t>0010</w:t>
      </w:r>
      <w:r w:rsidRPr="000174C1">
        <w:rPr>
          <w:lang w:val="hu-HU"/>
        </w:rPr>
        <w:t>/</w:t>
      </w:r>
      <w:r w:rsidR="005A1BA5" w:rsidRPr="000174C1">
        <w:rPr>
          <w:lang w:val="hu-HU"/>
        </w:rPr>
        <w:t>2024</w:t>
      </w:r>
      <w:r w:rsidRPr="000174C1">
        <w:rPr>
          <w:lang w:val="da-DK"/>
        </w:rPr>
        <w:t>),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  <w:t>der henviser til artikel 294, stk. 3, i traktaten om Den Europæiske Unions funktionsmåde,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  <w:t xml:space="preserve">der henviser til udtalelse af </w:t>
      </w:r>
      <w:r w:rsidR="005A1BA5" w:rsidRPr="000174C1">
        <w:rPr>
          <w:lang w:val="da-DK"/>
        </w:rPr>
        <w:t>20. marts 2024</w:t>
      </w:r>
      <w:r w:rsidRPr="000174C1">
        <w:rPr>
          <w:rStyle w:val="FootnoteReference"/>
        </w:rPr>
        <w:footnoteReference w:id="1"/>
      </w:r>
      <w:r w:rsidRPr="000174C1">
        <w:rPr>
          <w:lang w:val="da-DK"/>
        </w:rPr>
        <w:t xml:space="preserve"> fra Det Europæiske Økonomiske og Sociale Udvalg,</w:t>
      </w:r>
    </w:p>
    <w:p w:rsidR="005A1BA5" w:rsidRPr="000174C1" w:rsidRDefault="005A1BA5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  <w:t>efter høring af Regionsudvalget,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–</w:t>
      </w:r>
      <w:r w:rsidRPr="000174C1">
        <w:rPr>
          <w:lang w:val="da-DK"/>
        </w:rPr>
        <w:tab/>
      </w:r>
      <w:r w:rsidRPr="000174C1">
        <w:rPr>
          <w:noProof/>
          <w:szCs w:val="24"/>
          <w:lang w:val="da-DK"/>
        </w:rPr>
        <w:t xml:space="preserve">der henviser til, at Rådets repræsentant ved skrivelse af </w:t>
      </w:r>
      <w:r w:rsidR="005A1BA5" w:rsidRPr="000174C1">
        <w:rPr>
          <w:noProof/>
          <w:szCs w:val="24"/>
          <w:lang w:val="da-DK"/>
        </w:rPr>
        <w:t>21. februar 2024</w:t>
      </w:r>
      <w:r w:rsidRPr="000174C1">
        <w:rPr>
          <w:noProof/>
          <w:szCs w:val="24"/>
          <w:lang w:val="da-DK"/>
        </w:rPr>
        <w:t xml:space="preserve"> forpligtede sig til at godkende Europa-Parlamentets holdning, jf. artikel 294, stk. 4, i traktaten om Den Europæiske Unions funktionsmåde</w:t>
      </w:r>
      <w:r w:rsidRPr="000174C1">
        <w:rPr>
          <w:lang w:val="da-DK"/>
        </w:rPr>
        <w:t>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lastRenderedPageBreak/>
        <w:t>–</w:t>
      </w:r>
      <w:r w:rsidRPr="000174C1">
        <w:rPr>
          <w:lang w:val="da-DK"/>
        </w:rPr>
        <w:tab/>
        <w:t>der henviser til forretningsordenens artikel 59 og 163,</w:t>
      </w:r>
    </w:p>
    <w:p w:rsidR="0054537A" w:rsidRPr="000174C1" w:rsidRDefault="0054537A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1.</w:t>
      </w:r>
      <w:r w:rsidRPr="000174C1">
        <w:rPr>
          <w:lang w:val="da-DK"/>
        </w:rPr>
        <w:tab/>
        <w:t>vedtager nedenstående holdning ved førstebehandling;</w:t>
      </w:r>
    </w:p>
    <w:p w:rsidR="0054537A" w:rsidRPr="000174C1" w:rsidRDefault="005A1BA5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2</w:t>
      </w:r>
      <w:r w:rsidR="0054537A" w:rsidRPr="000174C1">
        <w:rPr>
          <w:lang w:val="da-DK"/>
        </w:rPr>
        <w:t>.</w:t>
      </w:r>
      <w:r w:rsidR="0054537A" w:rsidRPr="000174C1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:rsidR="0054537A" w:rsidRPr="000174C1" w:rsidRDefault="005A1BA5" w:rsidP="0054537A">
      <w:pPr>
        <w:pStyle w:val="Normal12Hanging"/>
        <w:ind w:left="567" w:hanging="567"/>
        <w:rPr>
          <w:lang w:val="da-DK"/>
        </w:rPr>
      </w:pPr>
      <w:r w:rsidRPr="000174C1">
        <w:rPr>
          <w:lang w:val="da-DK"/>
        </w:rPr>
        <w:t>3</w:t>
      </w:r>
      <w:r w:rsidR="0054537A" w:rsidRPr="000174C1">
        <w:rPr>
          <w:lang w:val="da-DK"/>
        </w:rPr>
        <w:t>.</w:t>
      </w:r>
      <w:r w:rsidR="0054537A" w:rsidRPr="000174C1">
        <w:rPr>
          <w:lang w:val="da-DK"/>
        </w:rPr>
        <w:tab/>
        <w:t>pålægger sin formand at sende Parlamentets holdning til Rådet og Kommissionen samt til de nationale parlamenter.</w:t>
      </w:r>
    </w:p>
    <w:p w:rsidR="00E008E3" w:rsidRDefault="00E008E3">
      <w:pPr>
        <w:rPr>
          <w:szCs w:val="24"/>
          <w:lang w:val="da-DK"/>
        </w:rPr>
        <w:sectPr w:rsidR="00E008E3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54537A" w:rsidRPr="004D5527" w:rsidRDefault="0054537A" w:rsidP="0054537A">
      <w:pPr>
        <w:pStyle w:val="ATHeading3"/>
        <w:rPr>
          <w:lang w:val="da-DK"/>
        </w:rPr>
      </w:pPr>
      <w:r w:rsidRPr="004D5527">
        <w:rPr>
          <w:lang w:val="da-DK"/>
        </w:rPr>
        <w:lastRenderedPageBreak/>
        <w:t>P9_TC1-COD(</w:t>
      </w:r>
      <w:r w:rsidR="005A1BA5" w:rsidRPr="004D5527">
        <w:rPr>
          <w:lang w:val="da-DK"/>
        </w:rPr>
        <w:t>2024</w:t>
      </w:r>
      <w:r w:rsidRPr="004D5527">
        <w:rPr>
          <w:lang w:val="da-DK"/>
        </w:rPr>
        <w:t>)</w:t>
      </w:r>
      <w:r w:rsidR="005A1BA5" w:rsidRPr="004D5527">
        <w:rPr>
          <w:lang w:val="da-DK"/>
        </w:rPr>
        <w:t>0021</w:t>
      </w:r>
    </w:p>
    <w:p w:rsidR="005A1BA5" w:rsidRDefault="0054537A" w:rsidP="005A1BA5">
      <w:pPr>
        <w:pStyle w:val="Typedudocument"/>
        <w:spacing w:before="240" w:after="240"/>
        <w:jc w:val="left"/>
        <w:rPr>
          <w:rFonts w:eastAsia="Calibri"/>
        </w:rPr>
      </w:pPr>
      <w:r w:rsidRPr="000174C1">
        <w:t xml:space="preserve">Europa-Parlamentets holdning fastlagt ved førstebehandlingen den </w:t>
      </w:r>
      <w:r w:rsidR="005A1BA5" w:rsidRPr="000174C1">
        <w:t>25. april 2024</w:t>
      </w:r>
      <w:r w:rsidRPr="000174C1">
        <w:t xml:space="preserve"> med henblik på vedtagelse af Europa-Parlamentets og Rådets </w:t>
      </w:r>
      <w:r w:rsidRPr="000174C1">
        <w:rPr>
          <w:rFonts w:eastAsia="Calibri"/>
        </w:rPr>
        <w:t xml:space="preserve">forordning </w:t>
      </w:r>
      <w:r w:rsidRPr="000174C1">
        <w:t>(EU) 202</w:t>
      </w:r>
      <w:r w:rsidR="00CC304E">
        <w:t>4</w:t>
      </w:r>
      <w:r w:rsidRPr="000174C1">
        <w:rPr>
          <w:rFonts w:eastAsia="Calibri"/>
        </w:rPr>
        <w:t xml:space="preserve">/... </w:t>
      </w:r>
      <w:bookmarkStart w:id="10" w:name="_GoBack"/>
      <w:bookmarkEnd w:id="10"/>
      <w:r w:rsidR="005A1BA5" w:rsidRPr="000174C1">
        <w:rPr>
          <w:rFonts w:eastAsia="Calibri"/>
        </w:rPr>
        <w:t>om ændring af forordning (EU) 2017/745 og (EU) 2017/746 for så vidt angår en gradvis indfasning af Eudamed, oplysningspligt i tilfælde af forsyningsafbrydelse og -ophør samt overgangsbestemmelser for visse former for medicinsk udstyr til in vitro-diagnostik</w:t>
      </w:r>
    </w:p>
    <w:p w:rsidR="00CC304E" w:rsidRDefault="00CC304E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  <w:rPr>
          <w:lang w:val="da-DK"/>
        </w:rPr>
      </w:pPr>
    </w:p>
    <w:p w:rsidR="00CC304E" w:rsidRPr="00A851C6" w:rsidRDefault="00CC304E" w:rsidP="00591088">
      <w:pPr>
        <w:rPr>
          <w:i/>
          <w:lang w:val="da-DK"/>
        </w:rPr>
      </w:pPr>
      <w:r w:rsidRPr="00A851C6">
        <w:rPr>
          <w:i/>
          <w:lang w:val="da-DK"/>
        </w:rPr>
        <w:t xml:space="preserve">(Eftersom der var indgået en aftale mellem Parlamentet og Rådet, svarer Parlamentets holdning til den endelige retsakt, </w:t>
      </w:r>
      <w:r>
        <w:rPr>
          <w:i/>
          <w:lang w:val="da-DK"/>
        </w:rPr>
        <w:t>forordning (EU) 2024/1860.)</w:t>
      </w:r>
    </w:p>
    <w:p w:rsidR="00CC304E" w:rsidRPr="00CC304E" w:rsidRDefault="00CC304E" w:rsidP="00CC304E">
      <w:pPr>
        <w:rPr>
          <w:rFonts w:eastAsia="Calibri"/>
          <w:lang w:val="da-DK" w:eastAsia="en-US"/>
        </w:rPr>
      </w:pPr>
    </w:p>
    <w:sectPr w:rsidR="00CC304E" w:rsidRPr="00CC304E" w:rsidSect="00E008E3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37A" w:rsidRDefault="0054537A" w:rsidP="009C4014">
      <w:r>
        <w:separator/>
      </w:r>
    </w:p>
  </w:endnote>
  <w:endnote w:type="continuationSeparator" w:id="0">
    <w:p w:rsidR="0054537A" w:rsidRDefault="0054537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37A" w:rsidRDefault="0054537A" w:rsidP="009C4014">
      <w:r>
        <w:separator/>
      </w:r>
    </w:p>
  </w:footnote>
  <w:footnote w:type="continuationSeparator" w:id="0">
    <w:p w:rsidR="0054537A" w:rsidRDefault="0054537A" w:rsidP="009C4014">
      <w:r>
        <w:continuationSeparator/>
      </w:r>
    </w:p>
  </w:footnote>
  <w:footnote w:id="1">
    <w:p w:rsidR="0054537A" w:rsidRPr="007D424E" w:rsidRDefault="0054537A" w:rsidP="0054537A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da-DK"/>
        </w:rPr>
      </w:pPr>
      <w:r w:rsidRPr="00AD4D94">
        <w:rPr>
          <w:rStyle w:val="FootnoteReference"/>
          <w:sz w:val="24"/>
          <w:szCs w:val="24"/>
          <w:lang w:val="da-DK"/>
        </w:rPr>
        <w:footnoteRef/>
      </w:r>
      <w:r w:rsidRPr="00AD4D94">
        <w:rPr>
          <w:sz w:val="24"/>
          <w:szCs w:val="24"/>
          <w:lang w:val="da-DK"/>
        </w:rPr>
        <w:t xml:space="preserve"> </w:t>
      </w:r>
      <w:r w:rsidRPr="00AD4D94"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>E</w:t>
      </w:r>
      <w:r w:rsidRPr="009C64A3">
        <w:rPr>
          <w:sz w:val="24"/>
          <w:szCs w:val="24"/>
          <w:lang w:val="da-DK"/>
        </w:rPr>
        <w:t>ndnu ikke offentliggjort i EUT</w:t>
      </w:r>
      <w:r w:rsidRPr="00AD4D94">
        <w:rPr>
          <w:sz w:val="24"/>
          <w:szCs w:val="24"/>
          <w:lang w:val="da-D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A16DAB"/>
    <w:multiLevelType w:val="hybridMultilevel"/>
    <w:tmpl w:val="EE9C8F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FD67D69"/>
    <w:multiLevelType w:val="hybridMultilevel"/>
    <w:tmpl w:val="FB9E927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37A"/>
    <w:rsid w:val="00013B2A"/>
    <w:rsid w:val="000174C1"/>
    <w:rsid w:val="00080D47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D5527"/>
    <w:rsid w:val="004E6A17"/>
    <w:rsid w:val="004F2EA7"/>
    <w:rsid w:val="005200DB"/>
    <w:rsid w:val="00520780"/>
    <w:rsid w:val="00525ED0"/>
    <w:rsid w:val="00534CAB"/>
    <w:rsid w:val="0054537A"/>
    <w:rsid w:val="00547BB1"/>
    <w:rsid w:val="00591365"/>
    <w:rsid w:val="005A1BA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5E0F"/>
    <w:rsid w:val="00757DD5"/>
    <w:rsid w:val="00760EC5"/>
    <w:rsid w:val="007713FD"/>
    <w:rsid w:val="00774A9B"/>
    <w:rsid w:val="007906DB"/>
    <w:rsid w:val="007B16FE"/>
    <w:rsid w:val="007C3388"/>
    <w:rsid w:val="00815B02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304E"/>
    <w:rsid w:val="00CC4897"/>
    <w:rsid w:val="00D202A4"/>
    <w:rsid w:val="00D91669"/>
    <w:rsid w:val="00DF097A"/>
    <w:rsid w:val="00DF53A8"/>
    <w:rsid w:val="00E008E3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3C962"/>
  <w15:chartTrackingRefBased/>
  <w15:docId w15:val="{6C0A1B40-4410-4FB2-891E-3031E533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BA5"/>
    <w:pPr>
      <w:spacing w:before="240" w:after="60"/>
      <w:jc w:val="both"/>
      <w:outlineLvl w:val="5"/>
    </w:pPr>
    <w:rPr>
      <w:rFonts w:eastAsiaTheme="minorHAnsi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BA5"/>
    <w:pPr>
      <w:spacing w:before="240" w:after="60"/>
      <w:jc w:val="both"/>
      <w:outlineLvl w:val="6"/>
    </w:pPr>
    <w:rPr>
      <w:rFonts w:eastAsiaTheme="minorHAnsi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BA5"/>
    <w:pPr>
      <w:spacing w:before="240" w:after="60"/>
      <w:jc w:val="both"/>
      <w:outlineLvl w:val="7"/>
    </w:pPr>
    <w:rPr>
      <w:rFonts w:eastAsiaTheme="minorHAnsi"/>
      <w:i/>
      <w:iCs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BA5"/>
    <w:pPr>
      <w:spacing w:before="240" w:after="60"/>
      <w:jc w:val="both"/>
      <w:outlineLvl w:val="8"/>
    </w:pPr>
    <w:rPr>
      <w:rFonts w:asciiTheme="majorHAnsi" w:eastAsiaTheme="majorEastAsia" w:hAnsiTheme="maj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-E Fußnotenzeichen,BVI fnr,EN Footnote Reference,Exposant 3 Point,Footnote Reference Superscript,Footnote reference number,Footnote symbol,Ref,SUPERS,Source Reference,Times 10 Point,de nota al pie,note TESI,number,stylish"/>
    <w:link w:val="SUPERSCharCharCharCharCharCharCharChar"/>
    <w:uiPriority w:val="99"/>
    <w:qFormat/>
    <w:rPr>
      <w:b w:val="0"/>
      <w:vertAlign w:val="superscript"/>
    </w:rPr>
  </w:style>
  <w:style w:type="paragraph" w:styleId="FootnoteText">
    <w:name w:val="footnote text"/>
    <w:aliases w:val="Schriftart: 9 pt,Schriftart: 10 pt,Schriftart: 8 pt,WB-Fußnotentext,FoodNote,ft,Footnote text,Footnote Text Char Char,Footnote Text Char1 Char Char,Footnote Text Char Char Char Char,fn,f,Char,Voetnoottekst Char,Footnote Text Char1,Char2,o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Text Char Char Char,Footnote Text Char1 Char Char Char,Footnote Text Char Char Char Char Char"/>
    <w:basedOn w:val="DefaultParagraphFont"/>
    <w:link w:val="FootnoteText"/>
    <w:uiPriority w:val="99"/>
    <w:qFormat/>
    <w:rsid w:val="0054537A"/>
    <w:rPr>
      <w:sz w:val="22"/>
      <w:lang w:val="fr-FR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uiPriority w:val="99"/>
    <w:rsid w:val="0054537A"/>
    <w:pPr>
      <w:spacing w:after="160" w:line="240" w:lineRule="exact"/>
    </w:pPr>
    <w:rPr>
      <w:sz w:val="20"/>
      <w:vertAlign w:val="superscript"/>
      <w:lang w:val="en-GB"/>
    </w:rPr>
  </w:style>
  <w:style w:type="paragraph" w:customStyle="1" w:styleId="Typedudocument">
    <w:name w:val="Type du document"/>
    <w:basedOn w:val="Normal"/>
    <w:next w:val="Normal"/>
    <w:rsid w:val="0054537A"/>
    <w:pPr>
      <w:spacing w:before="360"/>
      <w:jc w:val="center"/>
    </w:pPr>
    <w:rPr>
      <w:b/>
      <w:szCs w:val="24"/>
      <w:lang w:val="da-DK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BA5"/>
    <w:rPr>
      <w:rFonts w:eastAsiaTheme="minorHAns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BA5"/>
    <w:rPr>
      <w:rFonts w:eastAsiaTheme="minorHAns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BA5"/>
    <w:rPr>
      <w:rFonts w:eastAsiaTheme="minorHAns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BA5"/>
    <w:rPr>
      <w:rFonts w:asciiTheme="majorHAnsi" w:eastAsiaTheme="majorEastAsia" w:hAnsiTheme="majorHAns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A1BA5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5A1BA5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5A1BA5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5A1BA5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BA5"/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BA5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1BA5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BA5"/>
    <w:pPr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1BA5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A1BA5"/>
    <w:rPr>
      <w:b/>
      <w:bCs/>
    </w:rPr>
  </w:style>
  <w:style w:type="character" w:styleId="Emphasis">
    <w:name w:val="Emphasis"/>
    <w:basedOn w:val="DefaultParagraphFont"/>
    <w:uiPriority w:val="20"/>
    <w:qFormat/>
    <w:rsid w:val="005A1BA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A1BA5"/>
    <w:pPr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5A1BA5"/>
    <w:pPr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1BA5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1BA5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BA5"/>
    <w:pPr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BA5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5A1BA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A1BA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A1BA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A1BA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A1BA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1BA5"/>
    <w:pPr>
      <w:keepLines w:val="0"/>
      <w:spacing w:before="240" w:after="60"/>
      <w:ind w:left="0" w:firstLine="0"/>
      <w:jc w:val="both"/>
      <w:outlineLvl w:val="9"/>
    </w:pPr>
    <w:rPr>
      <w:rFonts w:ascii="Arial" w:eastAsiaTheme="majorEastAsia" w:hAnsi="Arial" w:cs="Arial"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A1BA5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5A1BA5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5A1BA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5A1BA5"/>
    <w:pPr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1BA5"/>
    <w:rPr>
      <w:rFonts w:ascii="Segoe UI" w:eastAsiaTheme="minorHAns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A1B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A5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A5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A1B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A1BA5"/>
    <w:rPr>
      <w:rFonts w:eastAsiaTheme="minorHAnsi"/>
      <w:b/>
      <w:bCs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5A1BA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1BA5"/>
    <w:rPr>
      <w:rFonts w:eastAsiaTheme="minorHAnsi"/>
      <w:sz w:val="24"/>
      <w:szCs w:val="24"/>
      <w:lang w:eastAsia="en-US"/>
    </w:rPr>
  </w:style>
  <w:style w:type="character" w:customStyle="1" w:styleId="no-parag">
    <w:name w:val="no-parag"/>
    <w:basedOn w:val="DefaultParagraphFont"/>
    <w:rsid w:val="005A1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7C6F-0B19-42A9-88D1-4CE1C4C2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320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NIELSEN Anja</dc:creator>
  <cp:keywords/>
  <cp:lastModifiedBy>BENDIXEN Majbritt</cp:lastModifiedBy>
  <cp:revision>2</cp:revision>
  <cp:lastPrinted>2014-08-07T13:15:00Z</cp:lastPrinted>
  <dcterms:created xsi:type="dcterms:W3CDTF">2024-09-06T07:04:00Z</dcterms:created>
  <dcterms:modified xsi:type="dcterms:W3CDTF">2024-09-06T07:04:00Z</dcterms:modified>
</cp:coreProperties>
</file>