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8A226F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8A226F" w:rsidRDefault="00147EF4" w:rsidP="00425111">
            <w:pPr>
              <w:pStyle w:val="EPName"/>
              <w:rPr>
                <w:lang w:val="en-GB"/>
              </w:rPr>
            </w:pPr>
            <w:r w:rsidRPr="008A226F">
              <w:rPr>
                <w:lang w:val="en-GB"/>
              </w:rPr>
              <w:t>Ευρωπαϊκό Κοινοβούλιο</w:t>
            </w:r>
          </w:p>
          <w:p w:rsidR="00757DD5" w:rsidRPr="008A226F" w:rsidRDefault="00147EF4" w:rsidP="0019089B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8A226F">
              <w:rPr>
                <w:lang w:val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7DD5" w:rsidRPr="008A226F" w:rsidRDefault="00172070" w:rsidP="00425111">
            <w:pPr>
              <w:pStyle w:val="EPLogo"/>
            </w:pPr>
            <w:r w:rsidRPr="008A226F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8A226F" w:rsidRDefault="008E7632" w:rsidP="008E7632">
      <w:pPr>
        <w:pStyle w:val="LineTop"/>
        <w:rPr>
          <w:lang w:val="en-GB"/>
        </w:rPr>
      </w:pPr>
    </w:p>
    <w:p w:rsidR="008E7632" w:rsidRPr="008A226F" w:rsidRDefault="00147EF4" w:rsidP="008E7632">
      <w:pPr>
        <w:pStyle w:val="ZSessionDoc"/>
        <w:rPr>
          <w:b/>
          <w:i w:val="0"/>
          <w:lang w:val="el-GR"/>
        </w:rPr>
      </w:pPr>
      <w:r w:rsidRPr="008A226F">
        <w:rPr>
          <w:b/>
          <w:i w:val="0"/>
          <w:lang w:val="el-GR"/>
        </w:rPr>
        <w:t>ΚΕΙΜΕΝΑ ΠΟΥ ΕΓΚΡΙΘΗΚΑΝ</w:t>
      </w:r>
    </w:p>
    <w:p w:rsidR="008E7632" w:rsidRPr="008A226F" w:rsidRDefault="008E7632" w:rsidP="008E7632">
      <w:pPr>
        <w:pStyle w:val="LineBottom"/>
        <w:rPr>
          <w:lang w:val="el-GR"/>
        </w:rPr>
      </w:pPr>
    </w:p>
    <w:p w:rsidR="009C4014" w:rsidRPr="001E6408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8A226F">
        <w:t>P</w:t>
      </w:r>
      <w:r w:rsidRPr="008A226F">
        <w:rPr>
          <w:lang w:val="el-GR"/>
        </w:rPr>
        <w:t>9_</w:t>
      </w:r>
      <w:r w:rsidRPr="008A226F">
        <w:t>TA</w:t>
      </w:r>
      <w:r w:rsidRPr="008A226F">
        <w:rPr>
          <w:lang w:val="el-GR"/>
        </w:rPr>
        <w:t>(202</w:t>
      </w:r>
      <w:r w:rsidR="00FD5837" w:rsidRPr="00C455D6">
        <w:rPr>
          <w:lang w:val="el-GR"/>
        </w:rPr>
        <w:t>4</w:t>
      </w:r>
      <w:r w:rsidRPr="008A226F">
        <w:rPr>
          <w:lang w:val="el-GR"/>
        </w:rPr>
        <w:t>)</w:t>
      </w:r>
      <w:bookmarkEnd w:id="0"/>
      <w:r w:rsidR="001E6408" w:rsidRPr="008A226F">
        <w:rPr>
          <w:lang w:val="el-GR"/>
        </w:rPr>
        <w:t>0</w:t>
      </w:r>
      <w:r w:rsidR="001E6408" w:rsidRPr="001E6408">
        <w:rPr>
          <w:lang w:val="el-GR"/>
        </w:rPr>
        <w:t>368</w:t>
      </w:r>
    </w:p>
    <w:p w:rsidR="009C4014" w:rsidRPr="002E2463" w:rsidRDefault="009C747F" w:rsidP="009C747F">
      <w:pPr>
        <w:pStyle w:val="ATHeading2"/>
        <w:rPr>
          <w:lang w:val="el-GR"/>
        </w:rPr>
      </w:pPr>
      <w:bookmarkStart w:id="1" w:name="title"/>
      <w:r w:rsidRPr="001E6408">
        <w:rPr>
          <w:lang w:val="el-GR"/>
        </w:rPr>
        <w:t xml:space="preserve">Σταδιακή εφαρμογή της </w:t>
      </w:r>
      <w:r w:rsidRPr="009C747F">
        <w:rPr>
          <w:lang w:val="en-GB"/>
        </w:rPr>
        <w:t>Eudamed</w:t>
      </w:r>
      <w:r w:rsidRPr="001E6408">
        <w:rPr>
          <w:lang w:val="el-GR"/>
        </w:rPr>
        <w:t>, υποχρέωση ενημέρωσης σε περίπτωση</w:t>
      </w:r>
      <w:r>
        <w:rPr>
          <w:lang w:val="el-GR"/>
        </w:rPr>
        <w:t xml:space="preserve"> </w:t>
      </w:r>
      <w:r w:rsidRPr="001E6408">
        <w:rPr>
          <w:lang w:val="el-GR"/>
        </w:rPr>
        <w:t xml:space="preserve">διακοπής της προμήθειας και μεταβατικές διατάξεις για ορισμένα </w:t>
      </w:r>
      <w:r w:rsidRPr="009C747F">
        <w:rPr>
          <w:lang w:val="en-GB"/>
        </w:rPr>
        <w:t>in</w:t>
      </w:r>
      <w:r w:rsidRPr="001E6408">
        <w:rPr>
          <w:lang w:val="el-GR"/>
        </w:rPr>
        <w:t xml:space="preserve"> </w:t>
      </w:r>
      <w:r w:rsidRPr="009C747F">
        <w:rPr>
          <w:lang w:val="en-GB"/>
        </w:rPr>
        <w:t>vitro</w:t>
      </w:r>
      <w:r>
        <w:rPr>
          <w:lang w:val="el-GR"/>
        </w:rPr>
        <w:t xml:space="preserve"> </w:t>
      </w:r>
      <w:r w:rsidRPr="001E6408">
        <w:rPr>
          <w:lang w:val="el-GR"/>
        </w:rPr>
        <w:t>διαγνωστικά ιατροτεχνολογικά προϊόντα</w:t>
      </w:r>
      <w:bookmarkStart w:id="2" w:name="Etoiles"/>
      <w:bookmarkEnd w:id="1"/>
      <w:bookmarkEnd w:id="2"/>
    </w:p>
    <w:p w:rsidR="009C4014" w:rsidRPr="002E2463" w:rsidRDefault="009C4014" w:rsidP="009C4014">
      <w:pPr>
        <w:rPr>
          <w:i/>
          <w:vanish/>
          <w:lang w:val="el-GR"/>
        </w:rPr>
      </w:pPr>
      <w:r w:rsidRPr="008A226F">
        <w:rPr>
          <w:i/>
        </w:rPr>
        <w:fldChar w:fldCharType="begin"/>
      </w:r>
      <w:r w:rsidRPr="002E2463">
        <w:rPr>
          <w:i/>
          <w:lang w:val="el-GR"/>
        </w:rPr>
        <w:instrText xml:space="preserve"> </w:instrText>
      </w:r>
      <w:r w:rsidRPr="008A226F">
        <w:rPr>
          <w:i/>
        </w:rPr>
        <w:instrText>TC</w:instrText>
      </w:r>
      <w:r w:rsidRPr="002E2463">
        <w:rPr>
          <w:i/>
          <w:lang w:val="el-GR"/>
        </w:rPr>
        <w:instrText>"</w:instrText>
      </w:r>
      <w:bookmarkStart w:id="3" w:name="DocNumber"/>
      <w:r w:rsidR="00147EF4" w:rsidRPr="002E2463">
        <w:rPr>
          <w:i/>
          <w:lang w:val="el-GR"/>
        </w:rPr>
        <w:instrText>(</w:instrText>
      </w:r>
      <w:r w:rsidR="00147EF4" w:rsidRPr="008A226F">
        <w:rPr>
          <w:i/>
        </w:rPr>
        <w:instrText>C</w:instrText>
      </w:r>
      <w:r w:rsidR="00147EF4" w:rsidRPr="002E2463">
        <w:rPr>
          <w:i/>
          <w:lang w:val="el-GR"/>
        </w:rPr>
        <w:instrText>9-</w:instrText>
      </w:r>
      <w:r w:rsidR="00FD5837" w:rsidRPr="002E2463">
        <w:rPr>
          <w:i/>
          <w:lang w:val="el-GR"/>
        </w:rPr>
        <w:instrText>0</w:instrText>
      </w:r>
      <w:r w:rsidR="00FD5837">
        <w:rPr>
          <w:i/>
          <w:lang w:val="el-GR"/>
        </w:rPr>
        <w:instrText>010</w:instrText>
      </w:r>
      <w:r w:rsidR="00147EF4" w:rsidRPr="002E2463">
        <w:rPr>
          <w:i/>
          <w:lang w:val="el-GR"/>
        </w:rPr>
        <w:instrText>/202</w:instrText>
      </w:r>
      <w:r w:rsidR="00FD5837">
        <w:rPr>
          <w:i/>
          <w:lang w:val="el-GR"/>
        </w:rPr>
        <w:instrText>4</w:instrText>
      </w:r>
      <w:r w:rsidR="00147EF4" w:rsidRPr="002E2463">
        <w:rPr>
          <w:i/>
          <w:lang w:val="el-GR"/>
        </w:rPr>
        <w:instrText>)</w:instrText>
      </w:r>
      <w:bookmarkEnd w:id="3"/>
      <w:r w:rsidRPr="002E2463">
        <w:rPr>
          <w:i/>
          <w:lang w:val="el-GR"/>
        </w:rPr>
        <w:instrText>"\</w:instrText>
      </w:r>
      <w:r w:rsidRPr="008A226F">
        <w:rPr>
          <w:i/>
        </w:rPr>
        <w:instrText>l</w:instrText>
      </w:r>
      <w:r w:rsidRPr="002E2463">
        <w:rPr>
          <w:i/>
          <w:lang w:val="el-GR"/>
        </w:rPr>
        <w:instrText>3 \</w:instrText>
      </w:r>
      <w:r w:rsidRPr="008A226F">
        <w:rPr>
          <w:i/>
        </w:rPr>
        <w:instrText>n</w:instrText>
      </w:r>
      <w:r w:rsidRPr="002E2463">
        <w:rPr>
          <w:i/>
          <w:lang w:val="el-GR"/>
        </w:rPr>
        <w:instrText xml:space="preserve">&gt; \* </w:instrText>
      </w:r>
      <w:r w:rsidRPr="008A226F">
        <w:rPr>
          <w:i/>
        </w:rPr>
        <w:instrText>MERGEFORMAT</w:instrText>
      </w:r>
      <w:r w:rsidRPr="002E2463">
        <w:rPr>
          <w:i/>
          <w:lang w:val="el-GR"/>
        </w:rPr>
        <w:instrText xml:space="preserve"> </w:instrText>
      </w:r>
      <w:r w:rsidRPr="008A226F">
        <w:rPr>
          <w:i/>
        </w:rPr>
        <w:fldChar w:fldCharType="end"/>
      </w:r>
    </w:p>
    <w:p w:rsidR="00147EF4" w:rsidRPr="002E2463" w:rsidRDefault="008A226F" w:rsidP="009C4014">
      <w:pPr>
        <w:rPr>
          <w:vanish/>
          <w:lang w:val="el-GR"/>
        </w:rPr>
      </w:pPr>
      <w:bookmarkStart w:id="4" w:name="Commission"/>
      <w:r>
        <w:rPr>
          <w:vanish/>
          <w:lang w:val="el-GR"/>
        </w:rPr>
        <w:t xml:space="preserve">Επιτροπή </w:t>
      </w:r>
      <w:r w:rsidR="00FF2555">
        <w:rPr>
          <w:vanish/>
          <w:lang w:val="el-GR"/>
        </w:rPr>
        <w:t>Περιβάλλοντος, Δημόσιας Υγείας και Ασφάλειας των Τροφίμων</w:t>
      </w:r>
    </w:p>
    <w:p w:rsidR="009C4014" w:rsidRPr="00B76C5A" w:rsidRDefault="00147EF4" w:rsidP="009C4014">
      <w:pPr>
        <w:rPr>
          <w:vanish/>
          <w:lang w:val="el-GR"/>
        </w:rPr>
      </w:pPr>
      <w:bookmarkStart w:id="5" w:name="PE"/>
      <w:bookmarkEnd w:id="4"/>
      <w:r w:rsidRPr="00B76C5A">
        <w:rPr>
          <w:vanish/>
        </w:rPr>
        <w:t>PE</w:t>
      </w:r>
      <w:r w:rsidR="009C747F">
        <w:rPr>
          <w:vanish/>
          <w:lang w:val="el-GR"/>
        </w:rPr>
        <w:t>762</w:t>
      </w:r>
      <w:r w:rsidR="00B76C5A" w:rsidRPr="001E6408">
        <w:rPr>
          <w:vanish/>
          <w:lang w:val="el-GR"/>
        </w:rPr>
        <w:t>.</w:t>
      </w:r>
      <w:bookmarkEnd w:id="5"/>
      <w:r w:rsidR="009C747F">
        <w:rPr>
          <w:vanish/>
          <w:lang w:val="el-GR"/>
        </w:rPr>
        <w:t>481</w:t>
      </w:r>
    </w:p>
    <w:p w:rsidR="009C4014" w:rsidRPr="008A226F" w:rsidRDefault="008A226F" w:rsidP="008A226F">
      <w:pPr>
        <w:pStyle w:val="ATHeading3"/>
        <w:spacing w:after="240"/>
        <w:rPr>
          <w:lang w:val="el-GR"/>
        </w:rPr>
      </w:pPr>
      <w:bookmarkStart w:id="6" w:name="Sujet"/>
      <w:r w:rsidRPr="00B76C5A">
        <w:rPr>
          <w:lang w:val="el-GR"/>
        </w:rPr>
        <w:t>Νομοθετικό ψήφισ</w:t>
      </w:r>
      <w:r w:rsidRPr="008A226F">
        <w:rPr>
          <w:lang w:val="el-GR"/>
        </w:rPr>
        <w:t xml:space="preserve">μα του Ευρωπαϊκού Κοινοβουλίου της </w:t>
      </w:r>
      <w:r w:rsidR="009C747F">
        <w:rPr>
          <w:lang w:val="el-GR"/>
        </w:rPr>
        <w:t>25</w:t>
      </w:r>
      <w:r w:rsidR="00FD5837">
        <w:rPr>
          <w:lang w:val="el-GR"/>
        </w:rPr>
        <w:t>ης Απριλίου 2024</w:t>
      </w:r>
      <w:r w:rsidRPr="008A226F">
        <w:rPr>
          <w:lang w:val="el-GR"/>
        </w:rPr>
        <w:t xml:space="preserve"> σχετικά με την πρόταση </w:t>
      </w:r>
      <w:r w:rsidR="00B84588">
        <w:rPr>
          <w:lang w:val="el-GR"/>
        </w:rPr>
        <w:t xml:space="preserve">κανονισμού </w:t>
      </w:r>
      <w:r w:rsidR="00FF2555">
        <w:rPr>
          <w:lang w:val="el-GR"/>
        </w:rPr>
        <w:t xml:space="preserve">του </w:t>
      </w:r>
      <w:r w:rsidRPr="008A226F">
        <w:rPr>
          <w:lang w:val="el-GR"/>
        </w:rPr>
        <w:t>Ευρωπαϊκού Κοινοβουλίου και του Συμβουλίου</w:t>
      </w:r>
      <w:bookmarkEnd w:id="6"/>
      <w:r w:rsidR="002525A1" w:rsidRPr="002525A1">
        <w:rPr>
          <w:lang w:val="el-GR"/>
        </w:rPr>
        <w:t xml:space="preserve"> </w:t>
      </w:r>
      <w:r w:rsidR="00D31F2E" w:rsidRPr="00D31F2E">
        <w:rPr>
          <w:lang w:val="el-GR"/>
        </w:rPr>
        <w:t xml:space="preserve">για την τροποποίηση των κανονισμών (ΕΕ) 2017/745 και (ΕΕ) 2017/746 όσον αφορά τις μεταβατικές διατάξεις για ορισμένα ιατροτεχνολογικά προϊόντα και </w:t>
      </w:r>
      <w:r w:rsidR="00D31F2E" w:rsidRPr="00591EB3">
        <w:t>in</w:t>
      </w:r>
      <w:r w:rsidR="00D31F2E" w:rsidRPr="00D31F2E">
        <w:rPr>
          <w:lang w:val="el-GR"/>
        </w:rPr>
        <w:t xml:space="preserve"> </w:t>
      </w:r>
      <w:r w:rsidR="00D31F2E" w:rsidRPr="00591EB3">
        <w:t>vitro</w:t>
      </w:r>
      <w:r w:rsidR="00D31F2E" w:rsidRPr="00D31F2E">
        <w:rPr>
          <w:lang w:val="el-GR"/>
        </w:rPr>
        <w:t xml:space="preserve"> διαγνωστικά ιατροτεχνολογικά προϊόντα</w:t>
      </w:r>
      <w:r w:rsidR="00E73B02" w:rsidRPr="00B76C5A">
        <w:rPr>
          <w:lang w:val="el-GR"/>
        </w:rPr>
        <w:t xml:space="preserve"> </w:t>
      </w:r>
      <w:bookmarkStart w:id="7" w:name="References"/>
      <w:r w:rsidR="00147EF4" w:rsidRPr="00B76C5A">
        <w:rPr>
          <w:lang w:val="el-GR"/>
        </w:rPr>
        <w:t>(</w:t>
      </w:r>
      <w:r w:rsidRPr="00B76C5A">
        <w:rPr>
          <w:lang w:val="en-GB"/>
        </w:rPr>
        <w:t>COM</w:t>
      </w:r>
      <w:r w:rsidRPr="00B76C5A">
        <w:rPr>
          <w:lang w:val="el-GR"/>
        </w:rPr>
        <w:t>(202</w:t>
      </w:r>
      <w:r w:rsidR="00FD5837">
        <w:rPr>
          <w:lang w:val="el-GR"/>
        </w:rPr>
        <w:t>4</w:t>
      </w:r>
      <w:r w:rsidRPr="00B76C5A">
        <w:rPr>
          <w:lang w:val="el-GR"/>
        </w:rPr>
        <w:t>)0</w:t>
      </w:r>
      <w:r w:rsidR="00D31F2E" w:rsidRPr="00D31F2E">
        <w:rPr>
          <w:lang w:val="el-GR"/>
        </w:rPr>
        <w:t>0</w:t>
      </w:r>
      <w:r w:rsidR="00FD5837">
        <w:rPr>
          <w:lang w:val="el-GR"/>
        </w:rPr>
        <w:t>43</w:t>
      </w:r>
      <w:r w:rsidRPr="00B76C5A">
        <w:rPr>
          <w:lang w:val="el-GR"/>
        </w:rPr>
        <w:t xml:space="preserve"> – </w:t>
      </w:r>
      <w:r w:rsidRPr="00B76C5A">
        <w:rPr>
          <w:lang w:val="en-GB"/>
        </w:rPr>
        <w:t>C</w:t>
      </w:r>
      <w:r w:rsidRPr="00B76C5A">
        <w:rPr>
          <w:lang w:val="el-GR"/>
        </w:rPr>
        <w:t>9-0</w:t>
      </w:r>
      <w:r w:rsidR="00D31F2E" w:rsidRPr="00D31F2E">
        <w:rPr>
          <w:lang w:val="el-GR"/>
        </w:rPr>
        <w:t>0</w:t>
      </w:r>
      <w:r w:rsidR="00FD5837">
        <w:rPr>
          <w:lang w:val="el-GR"/>
        </w:rPr>
        <w:t>10</w:t>
      </w:r>
      <w:r w:rsidRPr="00B76C5A">
        <w:rPr>
          <w:lang w:val="el-GR"/>
        </w:rPr>
        <w:t>/202</w:t>
      </w:r>
      <w:r w:rsidR="00FD5837">
        <w:rPr>
          <w:lang w:val="el-GR"/>
        </w:rPr>
        <w:t>4</w:t>
      </w:r>
      <w:r w:rsidRPr="00B76C5A">
        <w:rPr>
          <w:lang w:val="el-GR"/>
        </w:rPr>
        <w:t xml:space="preserve"> – 2</w:t>
      </w:r>
      <w:r w:rsidRPr="008A226F">
        <w:rPr>
          <w:lang w:val="el-GR"/>
        </w:rPr>
        <w:t>02</w:t>
      </w:r>
      <w:r w:rsidR="00FD5837">
        <w:rPr>
          <w:lang w:val="el-GR"/>
        </w:rPr>
        <w:t>4</w:t>
      </w:r>
      <w:r w:rsidRPr="008A226F">
        <w:rPr>
          <w:lang w:val="el-GR"/>
        </w:rPr>
        <w:t>/0</w:t>
      </w:r>
      <w:r w:rsidR="00D31F2E" w:rsidRPr="00D31F2E">
        <w:rPr>
          <w:lang w:val="el-GR"/>
        </w:rPr>
        <w:t>0</w:t>
      </w:r>
      <w:r w:rsidR="00FD5837">
        <w:rPr>
          <w:lang w:val="el-GR"/>
        </w:rPr>
        <w:t>21</w:t>
      </w:r>
      <w:r w:rsidRPr="008A226F">
        <w:rPr>
          <w:lang w:val="el-GR"/>
        </w:rPr>
        <w:t>(</w:t>
      </w:r>
      <w:r w:rsidRPr="008A226F">
        <w:rPr>
          <w:lang w:val="en-GB"/>
        </w:rPr>
        <w:t>COD</w:t>
      </w:r>
      <w:r w:rsidRPr="008A226F">
        <w:rPr>
          <w:lang w:val="el-GR"/>
        </w:rPr>
        <w:t>)</w:t>
      </w:r>
      <w:r w:rsidR="00147EF4" w:rsidRPr="008A226F">
        <w:rPr>
          <w:lang w:val="el-GR"/>
        </w:rPr>
        <w:t>)</w:t>
      </w:r>
      <w:bookmarkEnd w:id="7"/>
    </w:p>
    <w:p w:rsidR="008A226F" w:rsidRPr="008A226F" w:rsidRDefault="008A226F" w:rsidP="00B76C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lang w:val="el-GR"/>
        </w:rPr>
      </w:pPr>
      <w:bookmarkStart w:id="8" w:name="TextBodyBegin"/>
      <w:bookmarkEnd w:id="8"/>
      <w:r w:rsidRPr="008A226F">
        <w:rPr>
          <w:b/>
          <w:lang w:val="el-GR"/>
        </w:rPr>
        <w:t>(Συνήθης νομοθετική διαδικασία: πρώτη ανάγνωση)</w:t>
      </w:r>
    </w:p>
    <w:p w:rsidR="008A226F" w:rsidRPr="008A226F" w:rsidRDefault="008A226F" w:rsidP="00B76C5A">
      <w:pPr>
        <w:spacing w:before="360" w:after="240" w:line="216" w:lineRule="auto"/>
        <w:ind w:left="567" w:hanging="567"/>
        <w:rPr>
          <w:lang w:val="el-GR"/>
        </w:rPr>
      </w:pPr>
      <w:r w:rsidRPr="008A226F">
        <w:rPr>
          <w:i/>
          <w:lang w:val="el-GR"/>
        </w:rPr>
        <w:t>Το Ευρωπαϊκό Κοινοβούλιο,</w:t>
      </w:r>
    </w:p>
    <w:p w:rsidR="008A226F" w:rsidRPr="008A226F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8A226F">
        <w:rPr>
          <w:lang w:val="el-GR"/>
        </w:rPr>
        <w:t>–</w:t>
      </w:r>
      <w:r w:rsidRPr="008A226F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0E2EE6" w:rsidRPr="001E6408">
        <w:rPr>
          <w:lang w:val="el-GR"/>
        </w:rPr>
        <w:t>4</w:t>
      </w:r>
      <w:r w:rsidRPr="008A226F">
        <w:rPr>
          <w:lang w:val="el-GR"/>
        </w:rPr>
        <w:t>)0</w:t>
      </w:r>
      <w:r w:rsidR="00D31F2E" w:rsidRPr="00D31F2E">
        <w:rPr>
          <w:lang w:val="el-GR"/>
        </w:rPr>
        <w:t>0</w:t>
      </w:r>
      <w:r w:rsidR="000E2EE6" w:rsidRPr="001E6408">
        <w:rPr>
          <w:lang w:val="el-GR"/>
        </w:rPr>
        <w:t>43</w:t>
      </w:r>
      <w:r w:rsidRPr="008A226F">
        <w:rPr>
          <w:lang w:val="el-GR"/>
        </w:rPr>
        <w:t>),</w:t>
      </w:r>
    </w:p>
    <w:p w:rsidR="008A226F" w:rsidRPr="00143A0A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lang w:val="el-GR"/>
        </w:rPr>
        <w:t>–</w:t>
      </w:r>
      <w:r w:rsidRPr="00143A0A">
        <w:rPr>
          <w:lang w:val="el-GR"/>
        </w:rPr>
        <w:tab/>
        <w:t>έχοντας υπόψη το άρθρο 294 παράγραφος 2</w:t>
      </w:r>
      <w:r w:rsidR="00382802">
        <w:rPr>
          <w:lang w:val="el-GR"/>
        </w:rPr>
        <w:t>,</w:t>
      </w:r>
      <w:r w:rsidRPr="00143A0A">
        <w:rPr>
          <w:lang w:val="el-GR"/>
        </w:rPr>
        <w:t xml:space="preserve"> </w:t>
      </w:r>
      <w:r w:rsidR="002525A1" w:rsidRPr="00143A0A">
        <w:rPr>
          <w:lang w:val="el-GR"/>
        </w:rPr>
        <w:t>τ</w:t>
      </w:r>
      <w:r w:rsidR="00382802">
        <w:rPr>
          <w:lang w:val="el-GR"/>
        </w:rPr>
        <w:t>ο άρθρο</w:t>
      </w:r>
      <w:r w:rsidR="002525A1" w:rsidRPr="00143A0A">
        <w:rPr>
          <w:lang w:val="el-GR"/>
        </w:rPr>
        <w:t xml:space="preserve"> </w:t>
      </w:r>
      <w:r w:rsidR="00382802">
        <w:rPr>
          <w:lang w:val="el-GR"/>
        </w:rPr>
        <w:t>114</w:t>
      </w:r>
      <w:r w:rsidR="002525A1" w:rsidRPr="00143A0A">
        <w:rPr>
          <w:lang w:val="el-GR"/>
        </w:rPr>
        <w:t xml:space="preserve"> και</w:t>
      </w:r>
      <w:r w:rsidR="00382802">
        <w:rPr>
          <w:lang w:val="el-GR"/>
        </w:rPr>
        <w:t xml:space="preserve"> το άρθρο</w:t>
      </w:r>
      <w:r w:rsidR="002525A1" w:rsidRPr="00143A0A">
        <w:rPr>
          <w:lang w:val="el-GR"/>
        </w:rPr>
        <w:t xml:space="preserve"> </w:t>
      </w:r>
      <w:r w:rsidR="00382802">
        <w:rPr>
          <w:lang w:val="el-GR"/>
        </w:rPr>
        <w:t>168</w:t>
      </w:r>
      <w:r w:rsidR="00382802" w:rsidRPr="00143A0A">
        <w:rPr>
          <w:lang w:val="el-GR"/>
        </w:rPr>
        <w:t xml:space="preserve"> </w:t>
      </w:r>
      <w:r w:rsidR="002525A1" w:rsidRPr="00143A0A">
        <w:rPr>
          <w:lang w:val="el-GR"/>
        </w:rPr>
        <w:t xml:space="preserve">παράγραφος </w:t>
      </w:r>
      <w:r w:rsidR="00382802">
        <w:rPr>
          <w:lang w:val="el-GR"/>
        </w:rPr>
        <w:t>4 στοιχείο γ)</w:t>
      </w:r>
      <w:r w:rsidR="002525A1" w:rsidRPr="00143A0A">
        <w:rPr>
          <w:lang w:val="el-GR"/>
        </w:rPr>
        <w:t xml:space="preserve"> </w:t>
      </w:r>
      <w:r w:rsidRPr="00143A0A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(C9</w:t>
      </w:r>
      <w:r w:rsidRPr="00B76C5A">
        <w:rPr>
          <w:lang w:val="el-GR"/>
        </w:rPr>
        <w:t>-</w:t>
      </w:r>
      <w:r w:rsidR="00D17F9A" w:rsidRPr="00B76C5A">
        <w:rPr>
          <w:lang w:val="el-GR"/>
        </w:rPr>
        <w:t>0</w:t>
      </w:r>
      <w:r w:rsidR="00D31F2E" w:rsidRPr="00D31F2E">
        <w:rPr>
          <w:lang w:val="el-GR"/>
        </w:rPr>
        <w:t>0</w:t>
      </w:r>
      <w:r w:rsidR="000E2EE6" w:rsidRPr="001E6408">
        <w:rPr>
          <w:lang w:val="el-GR"/>
        </w:rPr>
        <w:t>10</w:t>
      </w:r>
      <w:r w:rsidRPr="00B76C5A">
        <w:rPr>
          <w:lang w:val="el-GR"/>
        </w:rPr>
        <w:t>/202</w:t>
      </w:r>
      <w:r w:rsidR="000E2EE6" w:rsidRPr="001E6408">
        <w:rPr>
          <w:lang w:val="el-GR"/>
        </w:rPr>
        <w:t>4</w:t>
      </w:r>
      <w:r w:rsidRPr="00B76C5A">
        <w:rPr>
          <w:lang w:val="el-GR"/>
        </w:rPr>
        <w:t>),</w:t>
      </w:r>
    </w:p>
    <w:p w:rsidR="008A226F" w:rsidRPr="00143A0A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lang w:val="el-GR"/>
        </w:rPr>
        <w:sym w:font="Symbol" w:char="F02D"/>
      </w:r>
      <w:r w:rsidRPr="00143A0A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:rsidR="00CF7A07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lang w:val="el-GR"/>
        </w:rPr>
        <w:t>–</w:t>
      </w:r>
      <w:r w:rsidRPr="00143A0A">
        <w:rPr>
          <w:lang w:val="el-GR"/>
        </w:rPr>
        <w:tab/>
      </w:r>
      <w:r w:rsidR="002525A1" w:rsidRPr="00143A0A">
        <w:rPr>
          <w:lang w:val="el-GR"/>
        </w:rPr>
        <w:t xml:space="preserve">έχοντας υπόψη </w:t>
      </w:r>
      <w:r w:rsidRPr="00143A0A">
        <w:rPr>
          <w:lang w:val="el-GR"/>
        </w:rPr>
        <w:t>τη γνώμη της Ευρωπαϊκής Οικονομικής και Κοινωνικής Επιτροπής</w:t>
      </w:r>
      <w:r w:rsidR="00382802">
        <w:rPr>
          <w:lang w:val="el-GR"/>
        </w:rPr>
        <w:t xml:space="preserve"> της </w:t>
      </w:r>
      <w:r w:rsidR="009C747F">
        <w:rPr>
          <w:lang w:val="el-GR"/>
        </w:rPr>
        <w:t>20ής</w:t>
      </w:r>
      <w:r w:rsidR="00382802">
        <w:rPr>
          <w:lang w:val="el-GR"/>
        </w:rPr>
        <w:t xml:space="preserve"> </w:t>
      </w:r>
      <w:r w:rsidR="009C747F">
        <w:rPr>
          <w:lang w:val="el-GR"/>
        </w:rPr>
        <w:t>Μαρτίου</w:t>
      </w:r>
      <w:r w:rsidR="00382802">
        <w:rPr>
          <w:lang w:val="el-GR"/>
        </w:rPr>
        <w:t xml:space="preserve"> 202</w:t>
      </w:r>
      <w:r w:rsidR="009C747F">
        <w:rPr>
          <w:lang w:val="el-GR"/>
        </w:rPr>
        <w:t>4</w:t>
      </w:r>
      <w:r w:rsidR="002525A1" w:rsidRPr="00143A0A">
        <w:rPr>
          <w:rStyle w:val="FootnoteReference"/>
          <w:lang w:val="el-GR"/>
        </w:rPr>
        <w:footnoteReference w:id="1"/>
      </w:r>
      <w:r w:rsidRPr="00143A0A">
        <w:rPr>
          <w:lang w:val="el-GR"/>
        </w:rPr>
        <w:t>,</w:t>
      </w:r>
    </w:p>
    <w:p w:rsidR="00773791" w:rsidRPr="00CF7A07" w:rsidRDefault="00773791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143A0A">
        <w:rPr>
          <w:szCs w:val="24"/>
          <w:lang w:val="el-GR"/>
        </w:rPr>
        <w:t>–</w:t>
      </w:r>
      <w:r>
        <w:rPr>
          <w:szCs w:val="24"/>
          <w:lang w:val="el-GR"/>
        </w:rPr>
        <w:tab/>
        <w:t>αφού ζή</w:t>
      </w:r>
      <w:r w:rsidR="00B0403F">
        <w:rPr>
          <w:szCs w:val="24"/>
          <w:lang w:val="el-GR"/>
        </w:rPr>
        <w:t>τ</w:t>
      </w:r>
      <w:r>
        <w:rPr>
          <w:szCs w:val="24"/>
          <w:lang w:val="el-GR"/>
        </w:rPr>
        <w:t>η</w:t>
      </w:r>
      <w:r w:rsidR="00B0403F">
        <w:rPr>
          <w:szCs w:val="24"/>
          <w:lang w:val="el-GR"/>
        </w:rPr>
        <w:t>σ</w:t>
      </w:r>
      <w:r>
        <w:rPr>
          <w:szCs w:val="24"/>
          <w:lang w:val="el-GR"/>
        </w:rPr>
        <w:t xml:space="preserve">ε </w:t>
      </w:r>
      <w:r w:rsidR="00B0403F">
        <w:rPr>
          <w:szCs w:val="24"/>
          <w:lang w:val="el-GR"/>
        </w:rPr>
        <w:t>τ</w:t>
      </w:r>
      <w:r>
        <w:rPr>
          <w:szCs w:val="24"/>
          <w:lang w:val="el-GR"/>
        </w:rPr>
        <w:t>η γνώμη της Επιτροπής των Περιφερειών,</w:t>
      </w:r>
    </w:p>
    <w:p w:rsidR="002C5FFE" w:rsidRPr="00FD1F76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143A0A">
        <w:rPr>
          <w:szCs w:val="24"/>
          <w:lang w:val="el-GR"/>
        </w:rPr>
        <w:t>–</w:t>
      </w:r>
      <w:r w:rsidRPr="00143A0A">
        <w:rPr>
          <w:szCs w:val="24"/>
          <w:lang w:val="el-GR"/>
        </w:rPr>
        <w:tab/>
        <w:t xml:space="preserve">έχοντας υπόψη τη δέσμευση που ανέλαβε ο εκπρόσωπος του Συμβουλίου, με επιστολή της </w:t>
      </w:r>
      <w:r w:rsidR="009C747F">
        <w:rPr>
          <w:szCs w:val="24"/>
          <w:lang w:val="el-GR"/>
        </w:rPr>
        <w:t>2</w:t>
      </w:r>
      <w:r w:rsidR="00382802">
        <w:rPr>
          <w:szCs w:val="24"/>
          <w:lang w:val="el-GR"/>
        </w:rPr>
        <w:t>1</w:t>
      </w:r>
      <w:r w:rsidRPr="00143A0A">
        <w:rPr>
          <w:szCs w:val="24"/>
          <w:lang w:val="el-GR"/>
        </w:rPr>
        <w:t>ης</w:t>
      </w:r>
      <w:r w:rsidR="00382802">
        <w:rPr>
          <w:szCs w:val="24"/>
          <w:lang w:val="el-GR"/>
        </w:rPr>
        <w:t xml:space="preserve"> Φεβρουαρίου</w:t>
      </w:r>
      <w:r w:rsidRPr="00143A0A">
        <w:rPr>
          <w:szCs w:val="24"/>
          <w:lang w:val="el-GR"/>
        </w:rPr>
        <w:t xml:space="preserve"> 202</w:t>
      </w:r>
      <w:r w:rsidR="009C747F">
        <w:rPr>
          <w:szCs w:val="24"/>
          <w:lang w:val="el-GR"/>
        </w:rPr>
        <w:t>4</w:t>
      </w:r>
      <w:r w:rsidRPr="00143A0A">
        <w:rPr>
          <w:szCs w:val="24"/>
          <w:lang w:val="el-GR"/>
        </w:rPr>
        <w:t>, να εγκρίνει τη θέση του Κοινοβουλίου, σύμφωνα με το άρθρο 294 παράγραφος 4 της Συνθήκης για τη λειτουργία της Ευρωπαϊκής Ένωσης,</w:t>
      </w:r>
    </w:p>
    <w:p w:rsidR="002C5FFE" w:rsidRPr="00FD1F76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FD1F76">
        <w:rPr>
          <w:szCs w:val="24"/>
          <w:lang w:val="el-GR"/>
        </w:rPr>
        <w:t>–</w:t>
      </w:r>
      <w:r w:rsidRPr="00FD1F76">
        <w:rPr>
          <w:szCs w:val="24"/>
          <w:lang w:val="el-GR"/>
        </w:rPr>
        <w:tab/>
        <w:t>έχοντας υπόψη τα άρθρα 59 και 163 του Κανονισμού του,</w:t>
      </w:r>
    </w:p>
    <w:p w:rsidR="00B76C5A" w:rsidRPr="00B76C5A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FD1F76">
        <w:rPr>
          <w:szCs w:val="24"/>
          <w:lang w:val="el-GR"/>
        </w:rPr>
        <w:lastRenderedPageBreak/>
        <w:t>1.</w:t>
      </w:r>
      <w:r w:rsidRPr="00FD1F76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:rsidR="002C5FFE" w:rsidRPr="00FD1F76" w:rsidRDefault="002C5FFE" w:rsidP="00FF2555">
      <w:pPr>
        <w:pStyle w:val="Normal12"/>
        <w:keepLines/>
        <w:ind w:left="567" w:hanging="567"/>
        <w:rPr>
          <w:szCs w:val="24"/>
          <w:lang w:val="el-GR"/>
        </w:rPr>
      </w:pPr>
      <w:r w:rsidRPr="00FD1F76">
        <w:rPr>
          <w:szCs w:val="24"/>
          <w:lang w:val="el-GR"/>
        </w:rPr>
        <w:t>2.</w:t>
      </w:r>
      <w:r w:rsidRPr="00FD1F76">
        <w:rPr>
          <w:szCs w:val="24"/>
          <w:lang w:val="el-GR"/>
        </w:rPr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D31F2E" w:rsidRDefault="00143A0A" w:rsidP="002C5FFE">
      <w:pPr>
        <w:pStyle w:val="Normal12"/>
        <w:ind w:left="567" w:hanging="567"/>
        <w:rPr>
          <w:szCs w:val="24"/>
          <w:lang w:val="el-GR"/>
        </w:rPr>
        <w:sectPr w:rsidR="00D31F2E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>
        <w:rPr>
          <w:szCs w:val="24"/>
          <w:lang w:val="el-GR"/>
        </w:rPr>
        <w:t>3.</w:t>
      </w:r>
      <w:r>
        <w:rPr>
          <w:szCs w:val="24"/>
          <w:lang w:val="el-GR"/>
        </w:rPr>
        <w:tab/>
        <w:t>αναθέτει στη</w:t>
      </w:r>
      <w:r w:rsidR="002C5FFE" w:rsidRPr="00FD1F76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:rsidR="00D31F2E" w:rsidRPr="00D31F2E" w:rsidRDefault="00D31F2E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>
        <w:rPr>
          <w:b/>
        </w:rPr>
        <w:lastRenderedPageBreak/>
        <w:t>P</w:t>
      </w:r>
      <w:r w:rsidRPr="00D31F2E">
        <w:rPr>
          <w:b/>
          <w:lang w:val="el-GR"/>
        </w:rPr>
        <w:t>9_</w:t>
      </w:r>
      <w:r>
        <w:rPr>
          <w:b/>
        </w:rPr>
        <w:t>TC</w:t>
      </w:r>
      <w:r w:rsidRPr="00D31F2E">
        <w:rPr>
          <w:b/>
          <w:lang w:val="el-GR"/>
        </w:rPr>
        <w:t>1-</w:t>
      </w:r>
      <w:r>
        <w:rPr>
          <w:b/>
        </w:rPr>
        <w:t>COD</w:t>
      </w:r>
      <w:r w:rsidRPr="00D31F2E">
        <w:rPr>
          <w:b/>
          <w:lang w:val="el-GR"/>
        </w:rPr>
        <w:t>(202</w:t>
      </w:r>
      <w:r w:rsidR="00FD5837">
        <w:rPr>
          <w:b/>
          <w:lang w:val="el-GR"/>
        </w:rPr>
        <w:t>4</w:t>
      </w:r>
      <w:r w:rsidRPr="00D31F2E">
        <w:rPr>
          <w:b/>
          <w:lang w:val="el-GR"/>
        </w:rPr>
        <w:t>)00</w:t>
      </w:r>
      <w:r w:rsidR="00FD5837">
        <w:rPr>
          <w:b/>
          <w:lang w:val="el-GR"/>
        </w:rPr>
        <w:t>21</w:t>
      </w:r>
    </w:p>
    <w:p w:rsidR="00C455D6" w:rsidRPr="00C455D6" w:rsidRDefault="00D31F2E" w:rsidP="00C455D6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="009C747F">
        <w:rPr>
          <w:b/>
        </w:rPr>
        <w:t>25</w:t>
      </w:r>
      <w:r w:rsidR="009C747F" w:rsidRPr="00C96A0A">
        <w:rPr>
          <w:b/>
        </w:rPr>
        <w:t> </w:t>
      </w:r>
      <w:r w:rsidR="009C747F">
        <w:rPr>
          <w:b/>
        </w:rPr>
        <w:t xml:space="preserve">Απριλίου </w:t>
      </w:r>
      <w:r>
        <w:rPr>
          <w:b/>
        </w:rPr>
        <w:t>202</w:t>
      </w:r>
      <w:r w:rsidR="009C747F">
        <w:rPr>
          <w:b/>
        </w:rPr>
        <w:t>4</w:t>
      </w:r>
      <w:r w:rsidRPr="00C96A0A">
        <w:rPr>
          <w:b/>
        </w:rPr>
        <w:t xml:space="preserve"> εν όψει της έγκρισης κανονισμού (ΕΕ) 20</w:t>
      </w:r>
      <w:r>
        <w:rPr>
          <w:b/>
        </w:rPr>
        <w:t>2</w:t>
      </w:r>
      <w:r w:rsidR="000C22F0">
        <w:rPr>
          <w:b/>
        </w:rPr>
        <w:t>4</w:t>
      </w:r>
      <w:r w:rsidRPr="00C96A0A">
        <w:rPr>
          <w:b/>
        </w:rPr>
        <w:t>/... του Ευρωπαϊκού Κοινοβουλίου και του Συμβουλίου</w:t>
      </w:r>
      <w:r w:rsidRPr="001051FB">
        <w:rPr>
          <w:b/>
        </w:rPr>
        <w:t xml:space="preserve"> </w:t>
      </w:r>
      <w:r w:rsidR="00C455D6" w:rsidRPr="00C455D6">
        <w:rPr>
          <w:rFonts w:eastAsia="Calibri"/>
          <w:b/>
          <w:noProof/>
          <w:szCs w:val="22"/>
          <w:lang w:eastAsia="en-US"/>
        </w:rPr>
        <w:t>για την τροποποίηση των κανονισμών (ΕΕ) 2017/745 και (ΕΕ) 2017/746 όσον αφορά τη σταδιακή εφαρμογή της Eudamed, την υποχρέωση ενημέρωσης σε περίπτωση διακοπής ή</w:t>
      </w:r>
      <w:bookmarkStart w:id="9" w:name="_GoBack"/>
      <w:bookmarkEnd w:id="9"/>
      <w:r w:rsidR="00C455D6" w:rsidRPr="00C455D6">
        <w:rPr>
          <w:rFonts w:eastAsia="Calibri"/>
          <w:b/>
          <w:noProof/>
          <w:szCs w:val="22"/>
          <w:lang w:eastAsia="en-US"/>
        </w:rPr>
        <w:t xml:space="preserve"> παύσης της προμήθειας και μεταβατικές διατάξεις για ορισμένα in vitro διαγνωστικά ιατροτεχνολογικά προϊόντα</w:t>
      </w:r>
    </w:p>
    <w:p w:rsidR="003B0C43" w:rsidRPr="00B76C5A" w:rsidRDefault="00C008A2" w:rsidP="00C008A2">
      <w:pPr>
        <w:pStyle w:val="Text1"/>
        <w:ind w:left="0"/>
        <w:jc w:val="left"/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1860</w:t>
      </w:r>
      <w:r>
        <w:rPr>
          <w:i/>
        </w:rPr>
        <w:t>.</w:t>
      </w:r>
      <w:r w:rsidRPr="007B7B26">
        <w:rPr>
          <w:i/>
        </w:rPr>
        <w:t>)</w:t>
      </w:r>
    </w:p>
    <w:sectPr w:rsidR="003B0C43" w:rsidRPr="00B76C5A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EF4" w:rsidRDefault="00147EF4" w:rsidP="009C4014">
      <w:r>
        <w:separator/>
      </w:r>
    </w:p>
  </w:endnote>
  <w:endnote w:type="continuationSeparator" w:id="0">
    <w:p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EF4" w:rsidRDefault="00147EF4" w:rsidP="009C4014">
      <w:r>
        <w:separator/>
      </w:r>
    </w:p>
  </w:footnote>
  <w:footnote w:type="continuationSeparator" w:id="0">
    <w:p w:rsidR="00147EF4" w:rsidRDefault="00147EF4" w:rsidP="009C4014">
      <w:r>
        <w:continuationSeparator/>
      </w:r>
    </w:p>
  </w:footnote>
  <w:footnote w:id="1">
    <w:p w:rsidR="002525A1" w:rsidRPr="00B76C5A" w:rsidRDefault="002525A1" w:rsidP="00B76C5A">
      <w:pPr>
        <w:pStyle w:val="FootnoteText"/>
        <w:spacing w:line="240" w:lineRule="auto"/>
        <w:ind w:left="567" w:hanging="567"/>
        <w:rPr>
          <w:sz w:val="24"/>
          <w:szCs w:val="24"/>
          <w:lang w:val="el-GR"/>
        </w:rPr>
      </w:pPr>
      <w:r w:rsidRPr="00B76C5A">
        <w:rPr>
          <w:rStyle w:val="FootnoteReference"/>
          <w:sz w:val="24"/>
          <w:szCs w:val="24"/>
        </w:rPr>
        <w:footnoteRef/>
      </w:r>
      <w:r w:rsidRPr="00084E5C">
        <w:rPr>
          <w:sz w:val="24"/>
          <w:szCs w:val="24"/>
          <w:lang w:val="el-GR"/>
        </w:rPr>
        <w:t xml:space="preserve"> </w:t>
      </w:r>
      <w:r w:rsidRPr="00B76C5A">
        <w:rPr>
          <w:sz w:val="24"/>
          <w:szCs w:val="24"/>
          <w:lang w:val="el-GR"/>
        </w:rPr>
        <w:tab/>
      </w:r>
      <w:r w:rsidR="00382802">
        <w:rPr>
          <w:sz w:val="24"/>
          <w:szCs w:val="24"/>
          <w:lang w:val="el-GR"/>
        </w:rPr>
        <w:t>Δεν έχει ακόμα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EF4"/>
    <w:rsid w:val="000049EB"/>
    <w:rsid w:val="00013B2A"/>
    <w:rsid w:val="00050626"/>
    <w:rsid w:val="00084E5C"/>
    <w:rsid w:val="00092C1C"/>
    <w:rsid w:val="000C1EBC"/>
    <w:rsid w:val="000C22F0"/>
    <w:rsid w:val="000C2BFE"/>
    <w:rsid w:val="000E2EE6"/>
    <w:rsid w:val="000F27A9"/>
    <w:rsid w:val="000F6208"/>
    <w:rsid w:val="00125CBC"/>
    <w:rsid w:val="00143A0A"/>
    <w:rsid w:val="00147EF4"/>
    <w:rsid w:val="00172070"/>
    <w:rsid w:val="00185E15"/>
    <w:rsid w:val="0019089B"/>
    <w:rsid w:val="001D4BBF"/>
    <w:rsid w:val="001D60CB"/>
    <w:rsid w:val="001D63A8"/>
    <w:rsid w:val="001E6408"/>
    <w:rsid w:val="001F3587"/>
    <w:rsid w:val="002525A1"/>
    <w:rsid w:val="002566DB"/>
    <w:rsid w:val="002860A0"/>
    <w:rsid w:val="002924A9"/>
    <w:rsid w:val="002A1D4E"/>
    <w:rsid w:val="002B4BCF"/>
    <w:rsid w:val="002C5FFE"/>
    <w:rsid w:val="002E2463"/>
    <w:rsid w:val="002F1925"/>
    <w:rsid w:val="002F7BD5"/>
    <w:rsid w:val="00300C61"/>
    <w:rsid w:val="00302520"/>
    <w:rsid w:val="00312A38"/>
    <w:rsid w:val="003202DD"/>
    <w:rsid w:val="003445AC"/>
    <w:rsid w:val="00371248"/>
    <w:rsid w:val="00382802"/>
    <w:rsid w:val="003849AA"/>
    <w:rsid w:val="003B0C43"/>
    <w:rsid w:val="003E1189"/>
    <w:rsid w:val="003F4DFE"/>
    <w:rsid w:val="00425111"/>
    <w:rsid w:val="00441AA2"/>
    <w:rsid w:val="00451C48"/>
    <w:rsid w:val="0047030E"/>
    <w:rsid w:val="004B32F1"/>
    <w:rsid w:val="004E1162"/>
    <w:rsid w:val="004E6A17"/>
    <w:rsid w:val="004F2EA7"/>
    <w:rsid w:val="00520780"/>
    <w:rsid w:val="00525ED0"/>
    <w:rsid w:val="00534CAB"/>
    <w:rsid w:val="00547BB1"/>
    <w:rsid w:val="005666B4"/>
    <w:rsid w:val="00591365"/>
    <w:rsid w:val="005A2421"/>
    <w:rsid w:val="005B23C9"/>
    <w:rsid w:val="005F0CA1"/>
    <w:rsid w:val="005F35F8"/>
    <w:rsid w:val="00603B14"/>
    <w:rsid w:val="0066383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841ECA"/>
    <w:rsid w:val="008512F3"/>
    <w:rsid w:val="00857458"/>
    <w:rsid w:val="00873A0F"/>
    <w:rsid w:val="0087470A"/>
    <w:rsid w:val="00895FA0"/>
    <w:rsid w:val="008A226F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C747F"/>
    <w:rsid w:val="009F28EF"/>
    <w:rsid w:val="00A00523"/>
    <w:rsid w:val="00A1739E"/>
    <w:rsid w:val="00AD53E8"/>
    <w:rsid w:val="00B0403F"/>
    <w:rsid w:val="00B434D5"/>
    <w:rsid w:val="00B544B6"/>
    <w:rsid w:val="00B54C72"/>
    <w:rsid w:val="00B76C5A"/>
    <w:rsid w:val="00B84588"/>
    <w:rsid w:val="00B85C1E"/>
    <w:rsid w:val="00BB3686"/>
    <w:rsid w:val="00C008A2"/>
    <w:rsid w:val="00C15516"/>
    <w:rsid w:val="00C16C81"/>
    <w:rsid w:val="00C455D6"/>
    <w:rsid w:val="00C57739"/>
    <w:rsid w:val="00C65BE8"/>
    <w:rsid w:val="00CB451F"/>
    <w:rsid w:val="00CC4897"/>
    <w:rsid w:val="00CF7A07"/>
    <w:rsid w:val="00D17F9A"/>
    <w:rsid w:val="00D202A4"/>
    <w:rsid w:val="00D31F2E"/>
    <w:rsid w:val="00D91669"/>
    <w:rsid w:val="00DE2869"/>
    <w:rsid w:val="00DF097A"/>
    <w:rsid w:val="00DF53A8"/>
    <w:rsid w:val="00E039BF"/>
    <w:rsid w:val="00E11822"/>
    <w:rsid w:val="00E73B02"/>
    <w:rsid w:val="00E74BF3"/>
    <w:rsid w:val="00E94CCB"/>
    <w:rsid w:val="00EB198C"/>
    <w:rsid w:val="00EB305C"/>
    <w:rsid w:val="00EF3610"/>
    <w:rsid w:val="00F177A4"/>
    <w:rsid w:val="00F97E29"/>
    <w:rsid w:val="00FB1507"/>
    <w:rsid w:val="00FB3609"/>
    <w:rsid w:val="00FD20B7"/>
    <w:rsid w:val="00FD5837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1638B3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styleId="Hyperlink">
    <w:name w:val="Hyperlink"/>
    <w:basedOn w:val="DefaultParagraphFont"/>
    <w:uiPriority w:val="99"/>
    <w:unhideWhenUsed/>
    <w:rsid w:val="00C455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E635A-5EF1-4FC4-9097-C25A09D3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369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CHRISTOFOROU Nikolaos C</cp:lastModifiedBy>
  <cp:revision>2</cp:revision>
  <cp:lastPrinted>2014-08-07T13:15:00Z</cp:lastPrinted>
  <dcterms:created xsi:type="dcterms:W3CDTF">2024-09-11T05:59:00Z</dcterms:created>
  <dcterms:modified xsi:type="dcterms:W3CDTF">2024-09-11T05:59:00Z</dcterms:modified>
</cp:coreProperties>
</file>