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21D8A" w14:paraId="2148999B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32F254" w14:textId="77777777" w:rsidR="00757DD5" w:rsidRPr="00E21D8A" w:rsidRDefault="006165D2" w:rsidP="00425111">
            <w:pPr>
              <w:pStyle w:val="EPName"/>
              <w:rPr>
                <w:lang w:val="en-GB"/>
              </w:rPr>
            </w:pPr>
            <w:proofErr w:type="spellStart"/>
            <w:r w:rsidRPr="00E21D8A">
              <w:rPr>
                <w:lang w:val="en-GB"/>
              </w:rPr>
              <w:t>Parlement</w:t>
            </w:r>
            <w:proofErr w:type="spellEnd"/>
            <w:r w:rsidRPr="00E21D8A">
              <w:rPr>
                <w:lang w:val="en-GB"/>
              </w:rPr>
              <w:t xml:space="preserve"> </w:t>
            </w:r>
            <w:proofErr w:type="spellStart"/>
            <w:r w:rsidRPr="00E21D8A">
              <w:rPr>
                <w:lang w:val="en-GB"/>
              </w:rPr>
              <w:t>européen</w:t>
            </w:r>
            <w:proofErr w:type="spellEnd"/>
          </w:p>
          <w:p w14:paraId="7E875E53" w14:textId="77777777" w:rsidR="00757DD5" w:rsidRPr="00E21D8A" w:rsidRDefault="006165D2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E21D8A">
              <w:rPr>
                <w:lang w:val="en-GB"/>
              </w:rPr>
              <w:t>2019 - 2024</w:t>
            </w:r>
          </w:p>
        </w:tc>
        <w:tc>
          <w:tcPr>
            <w:tcW w:w="2268" w:type="dxa"/>
            <w:shd w:val="clear" w:color="auto" w:fill="auto"/>
          </w:tcPr>
          <w:p w14:paraId="2A3A7FE1" w14:textId="77777777" w:rsidR="00757DD5" w:rsidRPr="00E21D8A" w:rsidRDefault="00172070" w:rsidP="00425111">
            <w:pPr>
              <w:pStyle w:val="EPLogo"/>
            </w:pPr>
            <w:r w:rsidRPr="00E21D8A">
              <w:rPr>
                <w:noProof/>
                <w:lang w:val="pl-PL" w:eastAsia="pl-PL"/>
              </w:rPr>
              <w:drawing>
                <wp:inline distT="0" distB="0" distL="0" distR="0" wp14:anchorId="44DBBDD7" wp14:editId="3D0EAD62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3991FE" w14:textId="77777777" w:rsidR="008E7632" w:rsidRPr="00E21D8A" w:rsidRDefault="008E7632" w:rsidP="008E7632">
      <w:pPr>
        <w:pStyle w:val="LineTop"/>
        <w:rPr>
          <w:lang w:val="en-GB"/>
        </w:rPr>
      </w:pPr>
    </w:p>
    <w:p w14:paraId="30A2B071" w14:textId="77777777" w:rsidR="008E7632" w:rsidRPr="00E21D8A" w:rsidRDefault="006165D2" w:rsidP="008E7632">
      <w:pPr>
        <w:pStyle w:val="ZSessionDoc"/>
        <w:rPr>
          <w:b/>
          <w:i w:val="0"/>
          <w:lang w:val="fr-FR"/>
        </w:rPr>
      </w:pPr>
      <w:r w:rsidRPr="00E21D8A">
        <w:rPr>
          <w:b/>
          <w:i w:val="0"/>
          <w:lang w:val="fr-FR"/>
        </w:rPr>
        <w:t>TEXTES ADOPTÉS</w:t>
      </w:r>
    </w:p>
    <w:p w14:paraId="6C579991" w14:textId="77777777" w:rsidR="008E7632" w:rsidRPr="00E21D8A" w:rsidRDefault="006165D2" w:rsidP="008E7632">
      <w:pPr>
        <w:pStyle w:val="LineBottom"/>
        <w:rPr>
          <w:lang w:val="fr-FR"/>
        </w:rPr>
      </w:pPr>
      <w:r w:rsidRPr="00E21D8A">
        <w:rPr>
          <w:rFonts w:cs="Arial"/>
          <w:i/>
          <w:sz w:val="20"/>
          <w:szCs w:val="22"/>
          <w:lang w:val="fr-FR"/>
        </w:rPr>
        <w:t xml:space="preserve"> </w:t>
      </w:r>
    </w:p>
    <w:p w14:paraId="77AB4A8E" w14:textId="53FCAB9D" w:rsidR="009C4014" w:rsidRPr="00E21D8A" w:rsidRDefault="006165D2" w:rsidP="008E7632">
      <w:pPr>
        <w:pStyle w:val="ATHeading1"/>
        <w:spacing w:before="480"/>
      </w:pPr>
      <w:bookmarkStart w:id="0" w:name="TA_Heading"/>
      <w:r w:rsidRPr="00E21D8A">
        <w:t>P9_TA(202</w:t>
      </w:r>
      <w:r w:rsidR="00A5080E">
        <w:t>4</w:t>
      </w:r>
      <w:r w:rsidRPr="00E21D8A">
        <w:t>)</w:t>
      </w:r>
      <w:bookmarkStart w:id="1" w:name="TANumber"/>
      <w:bookmarkEnd w:id="0"/>
      <w:r w:rsidRPr="00E21D8A">
        <w:t>0</w:t>
      </w:r>
      <w:bookmarkEnd w:id="1"/>
      <w:r w:rsidR="00976ABF">
        <w:t>368</w:t>
      </w:r>
    </w:p>
    <w:p w14:paraId="01582599" w14:textId="77777777" w:rsidR="009C4014" w:rsidRPr="00E21D8A" w:rsidRDefault="007B31BF" w:rsidP="006165D2">
      <w:pPr>
        <w:pStyle w:val="ATHeading2"/>
      </w:pPr>
      <w:bookmarkStart w:id="2" w:name="title"/>
      <w:r w:rsidRPr="007B31BF">
        <w:t>Dép</w:t>
      </w:r>
      <w:r>
        <w:t>loiement progressif d’Eudamed, o</w:t>
      </w:r>
      <w:r w:rsidRPr="007B31BF">
        <w:t>bligation d’information en cas d’interruption d’approvisionnement et</w:t>
      </w:r>
      <w:r>
        <w:t xml:space="preserve"> </w:t>
      </w:r>
      <w:r w:rsidRPr="007B31BF">
        <w:t xml:space="preserve">dispositions transitoires applicables à certains dispositifs médicaux de </w:t>
      </w:r>
      <w:r w:rsidRPr="008C66E0">
        <w:t>diagnostic in vitro</w:t>
      </w:r>
      <w:bookmarkStart w:id="3" w:name="Etoiles"/>
      <w:bookmarkEnd w:id="2"/>
      <w:bookmarkEnd w:id="3"/>
    </w:p>
    <w:p w14:paraId="2DA70360" w14:textId="77777777" w:rsidR="009C4014" w:rsidRPr="00E21D8A" w:rsidRDefault="009C4014" w:rsidP="009C4014">
      <w:pPr>
        <w:rPr>
          <w:i/>
          <w:vanish/>
        </w:rPr>
      </w:pPr>
      <w:r w:rsidRPr="00E21D8A">
        <w:rPr>
          <w:i/>
        </w:rPr>
        <w:fldChar w:fldCharType="begin"/>
      </w:r>
      <w:r w:rsidRPr="00E21D8A">
        <w:rPr>
          <w:i/>
        </w:rPr>
        <w:instrText xml:space="preserve"> TC"</w:instrText>
      </w:r>
      <w:bookmarkStart w:id="4" w:name="DocNumber"/>
      <w:r w:rsidR="006165D2" w:rsidRPr="00E21D8A">
        <w:rPr>
          <w:i/>
        </w:rPr>
        <w:instrText>(C9-0</w:instrText>
      </w:r>
      <w:r w:rsidR="00A5080E">
        <w:rPr>
          <w:i/>
        </w:rPr>
        <w:instrText>010</w:instrText>
      </w:r>
      <w:r w:rsidR="006165D2" w:rsidRPr="00E21D8A">
        <w:rPr>
          <w:i/>
        </w:rPr>
        <w:instrText>/202</w:instrText>
      </w:r>
      <w:r w:rsidR="00A5080E">
        <w:rPr>
          <w:i/>
        </w:rPr>
        <w:instrText>4</w:instrText>
      </w:r>
      <w:r w:rsidR="006165D2" w:rsidRPr="00E21D8A">
        <w:rPr>
          <w:i/>
        </w:rPr>
        <w:instrText>)</w:instrText>
      </w:r>
      <w:bookmarkEnd w:id="4"/>
      <w:r w:rsidRPr="00E21D8A">
        <w:rPr>
          <w:i/>
        </w:rPr>
        <w:instrText xml:space="preserve">"\l3 \n&gt; \* MERGEFORMAT </w:instrText>
      </w:r>
      <w:r w:rsidRPr="00E21D8A">
        <w:rPr>
          <w:i/>
        </w:rPr>
        <w:fldChar w:fldCharType="end"/>
      </w:r>
    </w:p>
    <w:p w14:paraId="7B393478" w14:textId="77777777" w:rsidR="006165D2" w:rsidRPr="00E21D8A" w:rsidRDefault="00E21D8A" w:rsidP="009C4014">
      <w:pPr>
        <w:rPr>
          <w:vanish/>
        </w:rPr>
      </w:pPr>
      <w:bookmarkStart w:id="5" w:name="Commission"/>
      <w:r w:rsidRPr="00E21D8A">
        <w:rPr>
          <w:vanish/>
        </w:rPr>
        <w:t>Commission de</w:t>
      </w:r>
      <w:r w:rsidR="00A5080E">
        <w:rPr>
          <w:vanish/>
        </w:rPr>
        <w:t xml:space="preserve"> l’environnement</w:t>
      </w:r>
      <w:r w:rsidR="00A5080E" w:rsidRPr="00A5080E">
        <w:rPr>
          <w:vanish/>
        </w:rPr>
        <w:t>, de la santé publique et de la sécurité alimentaire</w:t>
      </w:r>
    </w:p>
    <w:p w14:paraId="5C9EC695" w14:textId="77777777" w:rsidR="009C4014" w:rsidRPr="00E21D8A" w:rsidRDefault="006165D2" w:rsidP="00D12B1A">
      <w:pPr>
        <w:spacing w:after="120"/>
        <w:rPr>
          <w:vanish/>
        </w:rPr>
      </w:pPr>
      <w:bookmarkStart w:id="6" w:name="PE"/>
      <w:bookmarkEnd w:id="5"/>
      <w:r w:rsidRPr="007B31BF">
        <w:rPr>
          <w:vanish/>
        </w:rPr>
        <w:t>P</w:t>
      </w:r>
      <w:r w:rsidR="00C84F77" w:rsidRPr="007B31BF">
        <w:rPr>
          <w:vanish/>
        </w:rPr>
        <w:t>E</w:t>
      </w:r>
      <w:r w:rsidR="007B31BF" w:rsidRPr="007B31BF">
        <w:rPr>
          <w:vanish/>
        </w:rPr>
        <w:t>762.481</w:t>
      </w:r>
      <w:bookmarkEnd w:id="6"/>
    </w:p>
    <w:p w14:paraId="52352269" w14:textId="77777777" w:rsidR="00C84F77" w:rsidRPr="007B31BF" w:rsidRDefault="006165D2" w:rsidP="00D12B1A">
      <w:pPr>
        <w:pStyle w:val="ATHeading3"/>
        <w:spacing w:before="0" w:after="0"/>
      </w:pPr>
      <w:bookmarkStart w:id="7" w:name="Sujet"/>
      <w:r w:rsidRPr="00E21D8A">
        <w:t xml:space="preserve">Résolution législative </w:t>
      </w:r>
      <w:r w:rsidR="00D12B1A" w:rsidRPr="00E21D8A">
        <w:t xml:space="preserve">du Parlement européen </w:t>
      </w:r>
      <w:r w:rsidRPr="00E21D8A">
        <w:t xml:space="preserve">du </w:t>
      </w:r>
      <w:r w:rsidR="007B31BF">
        <w:t>25</w:t>
      </w:r>
      <w:r w:rsidRPr="00E21D8A">
        <w:t xml:space="preserve"> </w:t>
      </w:r>
      <w:r w:rsidR="00A5080E">
        <w:t>avril</w:t>
      </w:r>
      <w:r w:rsidR="00252B47">
        <w:t xml:space="preserve"> </w:t>
      </w:r>
      <w:r w:rsidRPr="00E21D8A">
        <w:t>202</w:t>
      </w:r>
      <w:r w:rsidR="00A5080E">
        <w:t>4</w:t>
      </w:r>
      <w:r w:rsidRPr="00E21D8A">
        <w:t xml:space="preserve"> </w:t>
      </w:r>
      <w:bookmarkStart w:id="8" w:name="References"/>
      <w:bookmarkEnd w:id="7"/>
      <w:r w:rsidR="00A5080E">
        <w:t>sur la p</w:t>
      </w:r>
      <w:r w:rsidR="00A5080E" w:rsidRPr="00A5080E">
        <w:t xml:space="preserve">roposition de </w:t>
      </w:r>
      <w:r w:rsidR="00A5080E">
        <w:t>règlement du Parlement européen et du Conseil</w:t>
      </w:r>
      <w:r w:rsidR="00A5080E" w:rsidRPr="00A5080E">
        <w:t xml:space="preserve"> modifiant les règlements (UE) 2017/745 et (UE) 2017/746 en ce qui concerne un déploiement progressif d’Eudamed, l’obligation d’information en cas d’interruption d’approvisionnement et les dispositions transitoires </w:t>
      </w:r>
      <w:r w:rsidR="00A5080E" w:rsidRPr="007B31BF">
        <w:t xml:space="preserve">applicables à certains dispositifs médicaux de diagnostic in vitro </w:t>
      </w:r>
      <w:r w:rsidR="00D12B1A" w:rsidRPr="007B31BF">
        <w:t>(COM(20</w:t>
      </w:r>
      <w:r w:rsidR="00252B47" w:rsidRPr="007B31BF">
        <w:t>2</w:t>
      </w:r>
      <w:r w:rsidR="00A5080E" w:rsidRPr="007B31BF">
        <w:t>4</w:t>
      </w:r>
      <w:r w:rsidR="00D12B1A" w:rsidRPr="007B31BF">
        <w:t>)0</w:t>
      </w:r>
      <w:r w:rsidR="00A5080E" w:rsidRPr="007B31BF">
        <w:t>043</w:t>
      </w:r>
      <w:r w:rsidR="00D12B1A" w:rsidRPr="007B31BF">
        <w:t xml:space="preserve"> – C9-0</w:t>
      </w:r>
      <w:r w:rsidR="007B31BF">
        <w:t>010</w:t>
      </w:r>
      <w:r w:rsidR="00D12B1A" w:rsidRPr="007B31BF">
        <w:t>/202</w:t>
      </w:r>
      <w:r w:rsidR="007B31BF">
        <w:t>4</w:t>
      </w:r>
      <w:r w:rsidR="00C84F77" w:rsidRPr="007B31BF">
        <w:t xml:space="preserve"> – </w:t>
      </w:r>
      <w:r w:rsidR="00371341" w:rsidRPr="007B31BF">
        <w:t>20</w:t>
      </w:r>
      <w:r w:rsidR="00252B47" w:rsidRPr="007B31BF">
        <w:t>2</w:t>
      </w:r>
      <w:r w:rsidR="00A5080E" w:rsidRPr="007B31BF">
        <w:t>4</w:t>
      </w:r>
      <w:r w:rsidR="00371341" w:rsidRPr="007B31BF">
        <w:t>/0</w:t>
      </w:r>
      <w:r w:rsidR="00A5080E" w:rsidRPr="007B31BF">
        <w:t>021</w:t>
      </w:r>
      <w:r w:rsidR="00C84F77" w:rsidRPr="007B31BF">
        <w:t>(COD))</w:t>
      </w:r>
    </w:p>
    <w:p w14:paraId="5B75FFA4" w14:textId="77777777" w:rsidR="009C4014" w:rsidRPr="007B31BF" w:rsidRDefault="006165D2" w:rsidP="00D12B1A">
      <w:pPr>
        <w:pStyle w:val="ATHeading3"/>
        <w:keepNext w:val="0"/>
        <w:keepLines w:val="0"/>
        <w:widowControl w:val="0"/>
        <w:spacing w:before="240"/>
      </w:pPr>
      <w:r w:rsidRPr="007B31BF">
        <w:t>(Procédure</w:t>
      </w:r>
      <w:r w:rsidR="00C84F77" w:rsidRPr="007B31BF">
        <w:t xml:space="preserve"> législative ordinaire: première lecture</w:t>
      </w:r>
      <w:r w:rsidRPr="007B31BF">
        <w:t>)</w:t>
      </w:r>
      <w:bookmarkEnd w:id="8"/>
    </w:p>
    <w:p w14:paraId="58DD2D30" w14:textId="77777777" w:rsidR="006E5420" w:rsidRPr="007B31BF" w:rsidRDefault="006165D2" w:rsidP="008B1C2E">
      <w:pPr>
        <w:pStyle w:val="Normal12"/>
        <w:spacing w:before="360"/>
        <w:rPr>
          <w:i/>
          <w:szCs w:val="24"/>
          <w:lang w:val="fr-FR"/>
        </w:rPr>
      </w:pPr>
      <w:bookmarkStart w:id="9" w:name="TextBodyBegin"/>
      <w:bookmarkEnd w:id="9"/>
      <w:r w:rsidRPr="007B31BF">
        <w:rPr>
          <w:i/>
          <w:szCs w:val="24"/>
          <w:lang w:val="fr-FR"/>
        </w:rPr>
        <w:t>Le Parlement européen,</w:t>
      </w:r>
    </w:p>
    <w:p w14:paraId="381B78E2" w14:textId="77777777" w:rsidR="00C84F77" w:rsidRPr="007B31BF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7B31BF">
        <w:t>–</w:t>
      </w:r>
      <w:r w:rsidRPr="007B31BF">
        <w:tab/>
        <w:t>vu la proposition de la Commission au Parlement européen et au Conseil (</w:t>
      </w:r>
      <w:proofErr w:type="gramStart"/>
      <w:r w:rsidRPr="007B31BF">
        <w:t>COM(</w:t>
      </w:r>
      <w:proofErr w:type="gramEnd"/>
      <w:r w:rsidRPr="007B31BF">
        <w:t>20</w:t>
      </w:r>
      <w:r w:rsidR="00D12B1A" w:rsidRPr="007B31BF">
        <w:t>2</w:t>
      </w:r>
      <w:r w:rsidR="00A5080E" w:rsidRPr="007B31BF">
        <w:t>4</w:t>
      </w:r>
      <w:r w:rsidR="00D12B1A" w:rsidRPr="007B31BF">
        <w:t>)0</w:t>
      </w:r>
      <w:r w:rsidR="00A5080E" w:rsidRPr="007B31BF">
        <w:t>043</w:t>
      </w:r>
      <w:r w:rsidRPr="007B31BF">
        <w:t>),</w:t>
      </w:r>
    </w:p>
    <w:p w14:paraId="10F945E7" w14:textId="21D0106B" w:rsidR="00C84F77" w:rsidRPr="00E21D8A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hd w:val="pct12" w:color="auto" w:fill="FFFFFF"/>
        </w:rPr>
      </w:pPr>
      <w:r w:rsidRPr="007B31BF">
        <w:t>–</w:t>
      </w:r>
      <w:r w:rsidRPr="007B31BF">
        <w:tab/>
        <w:t>vu l’article 294, paragraphe 2, et l’article</w:t>
      </w:r>
      <w:r w:rsidR="00CA082A" w:rsidRPr="007B31BF">
        <w:t> </w:t>
      </w:r>
      <w:r w:rsidR="00CA082A">
        <w:t>114</w:t>
      </w:r>
      <w:r w:rsidR="00D12B1A" w:rsidRPr="007B31BF">
        <w:t>,</w:t>
      </w:r>
      <w:r w:rsidRPr="007B31BF">
        <w:t xml:space="preserve"> </w:t>
      </w:r>
      <w:r w:rsidR="00CA082A">
        <w:t>et l’article</w:t>
      </w:r>
      <w:r w:rsidR="00CA082A" w:rsidRPr="007B31BF">
        <w:t> </w:t>
      </w:r>
      <w:r w:rsidR="00CA082A">
        <w:t xml:space="preserve">168, paragraphe 4, point c), </w:t>
      </w:r>
      <w:r w:rsidRPr="007B31BF">
        <w:t>du traité sur le fonctionnement de l’Union européenne, conformément auxquels la proposition lui a été présentée par la Commission (C</w:t>
      </w:r>
      <w:r w:rsidR="00D12B1A" w:rsidRPr="007B31BF">
        <w:t>9</w:t>
      </w:r>
      <w:r w:rsidRPr="007B31BF">
        <w:noBreakHyphen/>
        <w:t>0</w:t>
      </w:r>
      <w:r w:rsidR="007B31BF" w:rsidRPr="007B31BF">
        <w:t>010</w:t>
      </w:r>
      <w:r w:rsidRPr="007B31BF">
        <w:t>/20</w:t>
      </w:r>
      <w:r w:rsidR="00D12B1A" w:rsidRPr="007B31BF">
        <w:t>2</w:t>
      </w:r>
      <w:r w:rsidR="007B31BF" w:rsidRPr="007B31BF">
        <w:t>4</w:t>
      </w:r>
      <w:r w:rsidRPr="007B31BF">
        <w:t>),</w:t>
      </w:r>
    </w:p>
    <w:p w14:paraId="45FB738D" w14:textId="77777777" w:rsidR="00D12B1A" w:rsidRPr="00E21D8A" w:rsidRDefault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21D8A">
        <w:t>–</w:t>
      </w:r>
      <w:r w:rsidRPr="00E21D8A">
        <w:tab/>
        <w:t>vu l’article 294, paragraphe 3, du traité sur le fonctionnement de l’Union européenne,</w:t>
      </w:r>
    </w:p>
    <w:p w14:paraId="5A8CD0BF" w14:textId="77777777" w:rsidR="00D12B1A" w:rsidRPr="00E21D8A" w:rsidRDefault="00D12B1A" w:rsidP="00D12B1A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21D8A">
        <w:t>–</w:t>
      </w:r>
      <w:r w:rsidRPr="00E21D8A">
        <w:tab/>
        <w:t xml:space="preserve">vu l’avis du Comité économique et social européen </w:t>
      </w:r>
      <w:r w:rsidRPr="007B31BF">
        <w:t xml:space="preserve">du </w:t>
      </w:r>
      <w:r w:rsidR="007B31BF" w:rsidRPr="007B31BF">
        <w:t>20 mars</w:t>
      </w:r>
      <w:r w:rsidRPr="007B31BF">
        <w:t xml:space="preserve"> 202</w:t>
      </w:r>
      <w:r w:rsidR="007B31BF" w:rsidRPr="007B31BF">
        <w:t>4</w:t>
      </w:r>
      <w:r w:rsidRPr="007B31BF">
        <w:rPr>
          <w:rStyle w:val="FootnoteReference"/>
          <w:szCs w:val="24"/>
        </w:rPr>
        <w:footnoteReference w:id="1"/>
      </w:r>
      <w:r w:rsidRPr="007B31BF">
        <w:t>,</w:t>
      </w:r>
    </w:p>
    <w:p w14:paraId="67311822" w14:textId="77777777" w:rsidR="00D12B1A" w:rsidRPr="00E21D8A" w:rsidRDefault="00D12B1A" w:rsidP="00D12B1A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21D8A">
        <w:t>–</w:t>
      </w:r>
      <w:r w:rsidRPr="00E21D8A">
        <w:tab/>
        <w:t xml:space="preserve">après consultation du Comité des régions, </w:t>
      </w:r>
    </w:p>
    <w:p w14:paraId="6177CE01" w14:textId="77777777" w:rsidR="00C84F77" w:rsidRPr="007B31BF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</w:rPr>
      </w:pPr>
      <w:r w:rsidRPr="00E21D8A">
        <w:rPr>
          <w:lang w:val="fr-BE"/>
        </w:rPr>
        <w:t>–</w:t>
      </w:r>
      <w:r w:rsidRPr="00E21D8A">
        <w:rPr>
          <w:lang w:val="fr-BE"/>
        </w:rPr>
        <w:tab/>
      </w:r>
      <w:r w:rsidRPr="00E21D8A">
        <w:t>vu</w:t>
      </w:r>
      <w:r w:rsidRPr="00E21D8A">
        <w:rPr>
          <w:szCs w:val="24"/>
        </w:rPr>
        <w:t xml:space="preserve"> l’engagement pris par </w:t>
      </w:r>
      <w:r w:rsidRPr="007B31BF">
        <w:rPr>
          <w:szCs w:val="24"/>
        </w:rPr>
        <w:t xml:space="preserve">le représentant du Conseil, par lettre du </w:t>
      </w:r>
      <w:r w:rsidR="00D12B1A" w:rsidRPr="007B31BF">
        <w:rPr>
          <w:szCs w:val="24"/>
        </w:rPr>
        <w:t>2</w:t>
      </w:r>
      <w:r w:rsidR="007B31BF" w:rsidRPr="007B31BF">
        <w:rPr>
          <w:szCs w:val="24"/>
        </w:rPr>
        <w:t>1 février</w:t>
      </w:r>
      <w:r w:rsidR="00D12B1A" w:rsidRPr="007B31BF">
        <w:rPr>
          <w:szCs w:val="24"/>
        </w:rPr>
        <w:t xml:space="preserve"> 202</w:t>
      </w:r>
      <w:r w:rsidR="007B31BF" w:rsidRPr="007B31BF">
        <w:rPr>
          <w:szCs w:val="24"/>
        </w:rPr>
        <w:t>4</w:t>
      </w:r>
      <w:r w:rsidRPr="007B31BF">
        <w:rPr>
          <w:szCs w:val="24"/>
        </w:rPr>
        <w:t>, d'approuver la position du Parlement européen, conformément à l'article 294, paragraphe 4, du traité sur le fonctionnement de l'Union européenne,</w:t>
      </w:r>
    </w:p>
    <w:p w14:paraId="4C26EDA8" w14:textId="77777777" w:rsidR="00C84F77" w:rsidRPr="00E21D8A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360" w:lineRule="auto"/>
        <w:ind w:left="567" w:hanging="567"/>
      </w:pPr>
      <w:r w:rsidRPr="007B31BF">
        <w:rPr>
          <w:lang w:val="fr-BE"/>
        </w:rPr>
        <w:t>–</w:t>
      </w:r>
      <w:r w:rsidRPr="007B31BF">
        <w:rPr>
          <w:lang w:val="fr-BE"/>
        </w:rPr>
        <w:tab/>
        <w:t>vu les articles 59 et 1</w:t>
      </w:r>
      <w:r w:rsidR="00D12B1A" w:rsidRPr="007B31BF">
        <w:rPr>
          <w:lang w:val="fr-BE"/>
        </w:rPr>
        <w:t>63</w:t>
      </w:r>
      <w:r w:rsidRPr="007B31BF">
        <w:rPr>
          <w:lang w:val="fr-BE"/>
        </w:rPr>
        <w:t xml:space="preserve"> de son règlement</w:t>
      </w:r>
      <w:r w:rsidRPr="00E21D8A">
        <w:rPr>
          <w:lang w:val="fr-BE"/>
        </w:rPr>
        <w:t xml:space="preserve"> intérieur, </w:t>
      </w:r>
    </w:p>
    <w:p w14:paraId="0C781216" w14:textId="77777777" w:rsidR="00C84F77" w:rsidRPr="00E21D8A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21D8A">
        <w:lastRenderedPageBreak/>
        <w:t>1.</w:t>
      </w:r>
      <w:r w:rsidRPr="00E21D8A">
        <w:tab/>
        <w:t>arrête la position en première lecture figurant ci-après;</w:t>
      </w:r>
    </w:p>
    <w:p w14:paraId="755A977A" w14:textId="36BC9833" w:rsidR="00C84F77" w:rsidRPr="00E21D8A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21D8A">
        <w:t>2</w:t>
      </w:r>
      <w:r w:rsidR="0032056A">
        <w:t>.</w:t>
      </w:r>
      <w:bookmarkStart w:id="10" w:name="_GoBack"/>
      <w:bookmarkEnd w:id="10"/>
      <w:r w:rsidRPr="00E21D8A">
        <w:tab/>
        <w:t>demande à la Commission de le saisir à nouveau, si elle remplace, modifie de manière substantielle ou entend modifier de manière substantielle sa proposition;</w:t>
      </w:r>
    </w:p>
    <w:p w14:paraId="2F721A15" w14:textId="77777777" w:rsidR="00C84F77" w:rsidRPr="00E21D8A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21D8A">
        <w:t>3.</w:t>
      </w:r>
      <w:r w:rsidRPr="00E21D8A">
        <w:tab/>
        <w:t>charge s</w:t>
      </w:r>
      <w:r w:rsidR="00277E81" w:rsidRPr="00E21D8A">
        <w:t>a</w:t>
      </w:r>
      <w:r w:rsidRPr="00E21D8A">
        <w:t xml:space="preserve"> Président</w:t>
      </w:r>
      <w:r w:rsidR="00277E81" w:rsidRPr="00E21D8A">
        <w:t>e</w:t>
      </w:r>
      <w:r w:rsidRPr="00E21D8A">
        <w:t xml:space="preserve"> de transmettre la position du Parlement au Conseil et à la Commission ainsi qu’aux parlements nationaux.</w:t>
      </w:r>
    </w:p>
    <w:p w14:paraId="475F6DB9" w14:textId="77777777" w:rsidR="00277E81" w:rsidRPr="00E21D8A" w:rsidRDefault="00277E81">
      <w:pPr>
        <w:rPr>
          <w:i/>
          <w:szCs w:val="24"/>
        </w:rPr>
        <w:sectPr w:rsidR="00277E81" w:rsidRPr="00E21D8A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30120BC" w14:textId="77777777" w:rsidR="00D12B1A" w:rsidRPr="00E21D8A" w:rsidRDefault="00D12B1A" w:rsidP="00D12B1A">
      <w:pPr>
        <w:spacing w:after="240"/>
        <w:rPr>
          <w:b/>
        </w:rPr>
      </w:pPr>
      <w:r w:rsidRPr="00E21D8A">
        <w:rPr>
          <w:b/>
        </w:rPr>
        <w:lastRenderedPageBreak/>
        <w:t>P9_</w:t>
      </w:r>
      <w:r w:rsidRPr="00A5080E">
        <w:rPr>
          <w:b/>
        </w:rPr>
        <w:t>TC1-</w:t>
      </w:r>
      <w:proofErr w:type="gramStart"/>
      <w:r w:rsidRPr="00A5080E">
        <w:rPr>
          <w:b/>
        </w:rPr>
        <w:t>COD(</w:t>
      </w:r>
      <w:proofErr w:type="gramEnd"/>
      <w:r w:rsidRPr="00A5080E">
        <w:rPr>
          <w:b/>
        </w:rPr>
        <w:t>20</w:t>
      </w:r>
      <w:r w:rsidR="00252B47" w:rsidRPr="00A5080E">
        <w:rPr>
          <w:b/>
        </w:rPr>
        <w:t>2</w:t>
      </w:r>
      <w:r w:rsidR="00A5080E" w:rsidRPr="00A5080E">
        <w:rPr>
          <w:b/>
        </w:rPr>
        <w:t>4</w:t>
      </w:r>
      <w:r w:rsidRPr="00A5080E">
        <w:rPr>
          <w:b/>
        </w:rPr>
        <w:t>)0</w:t>
      </w:r>
      <w:r w:rsidR="00A5080E" w:rsidRPr="00A5080E">
        <w:rPr>
          <w:b/>
        </w:rPr>
        <w:t>021</w:t>
      </w:r>
    </w:p>
    <w:p w14:paraId="4D518D8F" w14:textId="27D0A241" w:rsidR="007B31BF" w:rsidRDefault="00D12B1A" w:rsidP="007B31BF">
      <w:pPr>
        <w:pStyle w:val="Normal12"/>
        <w:spacing w:before="120"/>
        <w:rPr>
          <w:rFonts w:eastAsia="Calibri"/>
          <w:b/>
          <w:noProof/>
          <w:szCs w:val="22"/>
          <w:lang w:val="fr-FR" w:eastAsia="en-US"/>
        </w:rPr>
      </w:pPr>
      <w:r w:rsidRPr="00E21D8A">
        <w:rPr>
          <w:b/>
          <w:lang w:val="fr-BE"/>
        </w:rPr>
        <w:t xml:space="preserve">Position du Parlement européen arrêtée en première lecture le </w:t>
      </w:r>
      <w:r w:rsidR="007B31BF">
        <w:rPr>
          <w:b/>
          <w:lang w:val="fr-BE"/>
        </w:rPr>
        <w:t>25 avril</w:t>
      </w:r>
      <w:r w:rsidR="00A5080E">
        <w:rPr>
          <w:b/>
          <w:lang w:val="fr-BE"/>
        </w:rPr>
        <w:t xml:space="preserve"> 2024</w:t>
      </w:r>
      <w:r w:rsidRPr="00E21D8A">
        <w:rPr>
          <w:b/>
          <w:lang w:val="fr-BE"/>
        </w:rPr>
        <w:t xml:space="preserve"> en vue de l’adoption du règlement (UE) 202</w:t>
      </w:r>
      <w:r w:rsidR="00A5080E">
        <w:rPr>
          <w:b/>
          <w:lang w:val="fr-BE"/>
        </w:rPr>
        <w:t>4</w:t>
      </w:r>
      <w:r w:rsidRPr="00E21D8A">
        <w:rPr>
          <w:b/>
          <w:lang w:val="fr-BE"/>
        </w:rPr>
        <w:t xml:space="preserve">/... du Parlement européen et du Conseil </w:t>
      </w:r>
      <w:r w:rsidR="007B31BF" w:rsidRPr="008C66E0">
        <w:rPr>
          <w:rFonts w:eastAsia="Calibri"/>
          <w:b/>
          <w:noProof/>
          <w:szCs w:val="22"/>
          <w:lang w:val="fr-FR" w:eastAsia="en-US"/>
        </w:rPr>
        <w:t>modifiant les règlements (UE) 2017/745 et (UE) 2017/746 en ce qui concerne un déploiement progressif d’Eudamed, l’obligation d’informer en cas d’interruption ou de cessation d’approvisionnement et les dispositions transitoires applicables à certains dispositifs médicaux de diagnostic in vitro</w:t>
      </w:r>
    </w:p>
    <w:p w14:paraId="09ED4EFD" w14:textId="1F62B71E" w:rsidR="00935DC8" w:rsidRPr="008C66E0" w:rsidRDefault="00935DC8" w:rsidP="00935DC8">
      <w:pPr>
        <w:pStyle w:val="Datedadoption"/>
        <w:spacing w:after="240" w:line="240" w:lineRule="auto"/>
        <w:jc w:val="left"/>
        <w:rPr>
          <w:rFonts w:eastAsia="Calibri"/>
          <w:b w:val="0"/>
          <w:noProof/>
          <w:szCs w:val="22"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</w:t>
      </w:r>
      <w:r>
        <w:rPr>
          <w:b w:val="0"/>
          <w:i/>
        </w:rPr>
        <w:t xml:space="preserve">final, le règlement (UE) </w:t>
      </w:r>
      <w:r w:rsidRPr="00EB53D5">
        <w:rPr>
          <w:b w:val="0"/>
          <w:i/>
        </w:rPr>
        <w:t>20</w:t>
      </w:r>
      <w:r>
        <w:rPr>
          <w:b w:val="0"/>
          <w:i/>
        </w:rPr>
        <w:t>24/1860</w:t>
      </w:r>
      <w:r w:rsidRPr="00EB53D5">
        <w:rPr>
          <w:b w:val="0"/>
          <w:i/>
        </w:rPr>
        <w:t>.)</w:t>
      </w:r>
    </w:p>
    <w:sectPr w:rsidR="00935DC8" w:rsidRPr="008C66E0" w:rsidSect="00277E81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BCE75" w14:textId="77777777" w:rsidR="006165D2" w:rsidRDefault="006165D2" w:rsidP="009C4014">
      <w:r>
        <w:separator/>
      </w:r>
    </w:p>
  </w:endnote>
  <w:endnote w:type="continuationSeparator" w:id="0">
    <w:p w14:paraId="3648DE81" w14:textId="77777777" w:rsidR="006165D2" w:rsidRDefault="006165D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F3E9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5187A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0DAAF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A66EE" w14:textId="77777777" w:rsidR="006165D2" w:rsidRDefault="006165D2" w:rsidP="009C4014">
      <w:r>
        <w:separator/>
      </w:r>
    </w:p>
  </w:footnote>
  <w:footnote w:type="continuationSeparator" w:id="0">
    <w:p w14:paraId="42E99A77" w14:textId="77777777" w:rsidR="006165D2" w:rsidRDefault="006165D2" w:rsidP="009C4014">
      <w:r>
        <w:continuationSeparator/>
      </w:r>
    </w:p>
  </w:footnote>
  <w:footnote w:id="1">
    <w:p w14:paraId="795F4A7A" w14:textId="77777777" w:rsidR="00D12B1A" w:rsidRPr="00D12B1A" w:rsidRDefault="00D12B1A" w:rsidP="00D12B1A">
      <w:pPr>
        <w:pStyle w:val="FootnoteText"/>
        <w:rPr>
          <w:sz w:val="24"/>
          <w:szCs w:val="24"/>
        </w:rPr>
      </w:pPr>
      <w:r w:rsidRPr="00D12B1A">
        <w:rPr>
          <w:rStyle w:val="FootnoteReference"/>
          <w:sz w:val="24"/>
          <w:szCs w:val="24"/>
        </w:rPr>
        <w:footnoteRef/>
      </w:r>
      <w:r w:rsidRPr="00D12B1A">
        <w:rPr>
          <w:sz w:val="24"/>
          <w:szCs w:val="24"/>
        </w:rPr>
        <w:t xml:space="preserve"> </w:t>
      </w:r>
      <w:r w:rsidRPr="00D12B1A">
        <w:rPr>
          <w:sz w:val="24"/>
          <w:szCs w:val="24"/>
        </w:rPr>
        <w:tab/>
        <w:t>Non encore paru au Journal officiel.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CE3C1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3E2AC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9447F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5D2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52B47"/>
    <w:rsid w:val="00277E81"/>
    <w:rsid w:val="002924A9"/>
    <w:rsid w:val="002A1D4E"/>
    <w:rsid w:val="002B4BCF"/>
    <w:rsid w:val="002F1925"/>
    <w:rsid w:val="00300C61"/>
    <w:rsid w:val="00312A38"/>
    <w:rsid w:val="003202DD"/>
    <w:rsid w:val="0032056A"/>
    <w:rsid w:val="00371341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165D2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42568"/>
    <w:rsid w:val="00751383"/>
    <w:rsid w:val="00757DD5"/>
    <w:rsid w:val="00760EC5"/>
    <w:rsid w:val="007713FD"/>
    <w:rsid w:val="00774A9B"/>
    <w:rsid w:val="007906DB"/>
    <w:rsid w:val="007B16FE"/>
    <w:rsid w:val="007B31BF"/>
    <w:rsid w:val="007C3388"/>
    <w:rsid w:val="008512F3"/>
    <w:rsid w:val="00857458"/>
    <w:rsid w:val="00873A0F"/>
    <w:rsid w:val="00895FA0"/>
    <w:rsid w:val="008B1C2E"/>
    <w:rsid w:val="008C66E0"/>
    <w:rsid w:val="008D7C16"/>
    <w:rsid w:val="008E7632"/>
    <w:rsid w:val="008F0108"/>
    <w:rsid w:val="008F7F1C"/>
    <w:rsid w:val="00907FE0"/>
    <w:rsid w:val="00916CEE"/>
    <w:rsid w:val="00935DC8"/>
    <w:rsid w:val="00976ABF"/>
    <w:rsid w:val="009865B7"/>
    <w:rsid w:val="009B7E10"/>
    <w:rsid w:val="009C4014"/>
    <w:rsid w:val="009F28EF"/>
    <w:rsid w:val="00A1739E"/>
    <w:rsid w:val="00A5080E"/>
    <w:rsid w:val="00A61ADD"/>
    <w:rsid w:val="00B54C72"/>
    <w:rsid w:val="00B85C1E"/>
    <w:rsid w:val="00C15516"/>
    <w:rsid w:val="00C16C81"/>
    <w:rsid w:val="00C57739"/>
    <w:rsid w:val="00C65BE8"/>
    <w:rsid w:val="00C84F77"/>
    <w:rsid w:val="00CA082A"/>
    <w:rsid w:val="00CB21B9"/>
    <w:rsid w:val="00CB451F"/>
    <w:rsid w:val="00CC4897"/>
    <w:rsid w:val="00D12B1A"/>
    <w:rsid w:val="00D202A4"/>
    <w:rsid w:val="00D91669"/>
    <w:rsid w:val="00DF097A"/>
    <w:rsid w:val="00DF53A8"/>
    <w:rsid w:val="00E039BF"/>
    <w:rsid w:val="00E11822"/>
    <w:rsid w:val="00E21D8A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34573A"/>
  <w15:chartTrackingRefBased/>
  <w15:docId w15:val="{2CEB02FE-4BF1-400A-BC24-56C5622E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1A"/>
    <w:rPr>
      <w:sz w:val="22"/>
      <w:lang w:val="fr-FR"/>
    </w:rPr>
  </w:style>
  <w:style w:type="character" w:styleId="CommentReference">
    <w:name w:val="annotation reference"/>
    <w:basedOn w:val="DefaultParagraphFont"/>
    <w:rsid w:val="007B31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B31B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B31B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7B31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B31BF"/>
    <w:rPr>
      <w:b/>
      <w:bCs/>
      <w:lang w:val="fr-FR"/>
    </w:rPr>
  </w:style>
  <w:style w:type="paragraph" w:styleId="Revision">
    <w:name w:val="Revision"/>
    <w:hidden/>
    <w:uiPriority w:val="99"/>
    <w:semiHidden/>
    <w:rsid w:val="007B31BF"/>
    <w:rPr>
      <w:sz w:val="24"/>
      <w:lang w:val="fr-FR"/>
    </w:rPr>
  </w:style>
  <w:style w:type="paragraph" w:styleId="BalloonText">
    <w:name w:val="Balloon Text"/>
    <w:basedOn w:val="Normal"/>
    <w:link w:val="BalloonTextChar"/>
    <w:rsid w:val="007B31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B31BF"/>
    <w:rPr>
      <w:rFonts w:ascii="Segoe UI" w:hAnsi="Segoe UI" w:cs="Segoe UI"/>
      <w:sz w:val="18"/>
      <w:szCs w:val="18"/>
      <w:lang w:val="fr-FR"/>
    </w:rPr>
  </w:style>
  <w:style w:type="paragraph" w:customStyle="1" w:styleId="Datedadoption">
    <w:name w:val="Date d'adoption"/>
    <w:basedOn w:val="Normal"/>
    <w:next w:val="Normal"/>
    <w:rsid w:val="00935DC8"/>
    <w:pPr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BF161-93A5-47ED-AB57-BA21D1199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361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DELECROIX Dorothee</dc:creator>
  <cp:keywords/>
  <cp:lastModifiedBy>BINKEVICIUTE Aurelija</cp:lastModifiedBy>
  <cp:revision>3</cp:revision>
  <cp:lastPrinted>2014-08-07T13:15:00Z</cp:lastPrinted>
  <dcterms:created xsi:type="dcterms:W3CDTF">2024-10-01T08:16:00Z</dcterms:created>
  <dcterms:modified xsi:type="dcterms:W3CDTF">2024-10-16T12:26:00Z</dcterms:modified>
</cp:coreProperties>
</file>