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6122D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E6122D" w:rsidRDefault="00DF17CB" w:rsidP="00425111">
            <w:pPr>
              <w:pStyle w:val="EPName"/>
              <w:rPr>
                <w:lang w:val="en-GB"/>
              </w:rPr>
            </w:pPr>
            <w:r w:rsidRPr="00E6122D">
              <w:rPr>
                <w:lang w:val="en-GB"/>
              </w:rPr>
              <w:t>Europski parlament</w:t>
            </w:r>
          </w:p>
          <w:p w:rsidR="00757DD5" w:rsidRPr="00E6122D" w:rsidRDefault="00DF17CB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6122D"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:rsidR="00757DD5" w:rsidRPr="00E6122D" w:rsidRDefault="00172070" w:rsidP="00425111">
            <w:pPr>
              <w:pStyle w:val="EPLogo"/>
            </w:pPr>
            <w:r w:rsidRPr="00E6122D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E6122D" w:rsidRDefault="008E7632" w:rsidP="008E7632">
      <w:pPr>
        <w:pStyle w:val="LineTop"/>
        <w:rPr>
          <w:lang w:val="en-GB"/>
        </w:rPr>
      </w:pPr>
    </w:p>
    <w:p w:rsidR="008E7632" w:rsidRPr="00E6122D" w:rsidRDefault="00DF17CB" w:rsidP="008E7632">
      <w:pPr>
        <w:pStyle w:val="ZSessionDoc"/>
        <w:rPr>
          <w:b/>
          <w:i w:val="0"/>
        </w:rPr>
      </w:pPr>
      <w:r w:rsidRPr="00E6122D">
        <w:rPr>
          <w:b/>
          <w:i w:val="0"/>
        </w:rPr>
        <w:t>USVOJENI TEKSTOVI</w:t>
      </w:r>
    </w:p>
    <w:p w:rsidR="008E7632" w:rsidRPr="00E6122D" w:rsidRDefault="00DF17CB" w:rsidP="008E7632">
      <w:pPr>
        <w:pStyle w:val="LineBottom"/>
      </w:pPr>
      <w:r w:rsidRPr="00E6122D">
        <w:rPr>
          <w:rFonts w:cs="Arial"/>
          <w:i/>
          <w:sz w:val="20"/>
          <w:szCs w:val="22"/>
        </w:rPr>
        <w:t xml:space="preserve"> </w:t>
      </w:r>
    </w:p>
    <w:p w:rsidR="009C4014" w:rsidRPr="00E6122D" w:rsidRDefault="00DF17CB" w:rsidP="008E7632">
      <w:pPr>
        <w:pStyle w:val="ATHeading1"/>
        <w:spacing w:before="480"/>
        <w:rPr>
          <w:lang w:val="en-GB"/>
        </w:rPr>
      </w:pPr>
      <w:bookmarkStart w:id="0" w:name="TA_Heading"/>
      <w:r w:rsidRPr="00E6122D">
        <w:rPr>
          <w:lang w:val="en-GB"/>
        </w:rPr>
        <w:t>P9_TA(2024)</w:t>
      </w:r>
      <w:bookmarkStart w:id="1" w:name="TANumber"/>
      <w:bookmarkEnd w:id="0"/>
      <w:r w:rsidRPr="00E6122D">
        <w:rPr>
          <w:lang w:val="en-GB"/>
        </w:rPr>
        <w:t>0</w:t>
      </w:r>
      <w:r w:rsidR="00E6122D" w:rsidRPr="00E6122D">
        <w:rPr>
          <w:lang w:val="en-GB"/>
        </w:rPr>
        <w:t>368</w:t>
      </w:r>
      <w:bookmarkEnd w:id="1"/>
    </w:p>
    <w:p w:rsidR="009C4014" w:rsidRPr="00E6122D" w:rsidRDefault="00DF17CB" w:rsidP="00DF17CB">
      <w:pPr>
        <w:pStyle w:val="ATHeading2"/>
        <w:rPr>
          <w:lang w:val="en-GB"/>
        </w:rPr>
      </w:pPr>
      <w:bookmarkStart w:id="2" w:name="title"/>
      <w:r w:rsidRPr="00E6122D">
        <w:rPr>
          <w:lang w:val="en-GB"/>
        </w:rPr>
        <w:t>Postupno uvođenje Eudameda, obveza informiranja u slučaju prekida opskrbe i prijelazne odredbe za određene in vitro dijagnostičke medicinske proizvode</w:t>
      </w:r>
      <w:bookmarkEnd w:id="2"/>
      <w:r w:rsidR="009C4014" w:rsidRPr="00E6122D">
        <w:rPr>
          <w:lang w:val="en-GB"/>
        </w:rPr>
        <w:t xml:space="preserve"> </w:t>
      </w:r>
      <w:bookmarkStart w:id="3" w:name="Etoiles"/>
      <w:bookmarkEnd w:id="3"/>
    </w:p>
    <w:p w:rsidR="009C4014" w:rsidRPr="00E6122D" w:rsidRDefault="009C4014" w:rsidP="009C4014">
      <w:pPr>
        <w:rPr>
          <w:i/>
          <w:vanish/>
          <w:lang w:val="en-GB"/>
        </w:rPr>
      </w:pPr>
      <w:r w:rsidRPr="00E6122D">
        <w:rPr>
          <w:i/>
        </w:rPr>
        <w:fldChar w:fldCharType="begin"/>
      </w:r>
      <w:r w:rsidRPr="00E6122D">
        <w:rPr>
          <w:i/>
          <w:lang w:val="en-GB"/>
        </w:rPr>
        <w:instrText xml:space="preserve"> TC"</w:instrText>
      </w:r>
      <w:bookmarkStart w:id="4" w:name="DocNumber"/>
      <w:r w:rsidR="00DF17CB" w:rsidRPr="00E6122D">
        <w:rPr>
          <w:i/>
          <w:lang w:val="en-GB"/>
        </w:rPr>
        <w:instrText>(C9-0010/2024)</w:instrText>
      </w:r>
      <w:bookmarkEnd w:id="4"/>
      <w:r w:rsidRPr="00E6122D">
        <w:rPr>
          <w:i/>
          <w:lang w:val="en-GB"/>
        </w:rPr>
        <w:instrText xml:space="preserve">"\l3 \n&gt; \* MERGEFORMAT </w:instrText>
      </w:r>
      <w:r w:rsidRPr="00E6122D">
        <w:rPr>
          <w:i/>
        </w:rPr>
        <w:fldChar w:fldCharType="end"/>
      </w:r>
    </w:p>
    <w:p w:rsidR="00DF17CB" w:rsidRPr="00E6122D" w:rsidRDefault="00DF17CB" w:rsidP="009C4014">
      <w:pPr>
        <w:rPr>
          <w:vanish/>
          <w:lang w:val="en-GB"/>
        </w:rPr>
      </w:pPr>
      <w:bookmarkStart w:id="5" w:name="Commission"/>
      <w:r w:rsidRPr="00E6122D">
        <w:rPr>
          <w:vanish/>
          <w:lang w:val="en-GB"/>
        </w:rPr>
        <w:t>Odbor za okoliš, javno zdravlje i sigurnost hrane</w:t>
      </w:r>
    </w:p>
    <w:p w:rsidR="009C4014" w:rsidRPr="00E6122D" w:rsidRDefault="00DF17CB" w:rsidP="009C4014">
      <w:pPr>
        <w:rPr>
          <w:vanish/>
          <w:lang w:val="en-GB"/>
        </w:rPr>
      </w:pPr>
      <w:bookmarkStart w:id="6" w:name="PE"/>
      <w:bookmarkEnd w:id="5"/>
      <w:r w:rsidRPr="00E6122D">
        <w:rPr>
          <w:vanish/>
          <w:lang w:val="en-GB"/>
        </w:rPr>
        <w:t>PE762.481</w:t>
      </w:r>
      <w:bookmarkEnd w:id="6"/>
    </w:p>
    <w:p w:rsidR="00DF17CB" w:rsidRPr="00E6122D" w:rsidRDefault="00DF17CB" w:rsidP="00DF17CB">
      <w:pPr>
        <w:pStyle w:val="ATHeading3"/>
        <w:rPr>
          <w:lang w:val="en-GB"/>
        </w:rPr>
      </w:pPr>
      <w:bookmarkStart w:id="7" w:name="Sujet"/>
      <w:r w:rsidRPr="00E6122D">
        <w:rPr>
          <w:lang w:val="hr-HR"/>
        </w:rPr>
        <w:t>Zakonodavna rezolucija Europskog parlamenta od 25. travnja 2024. o Prijedlogu uredbe Europskog parlamenta i Vijeća</w:t>
      </w:r>
      <w:bookmarkEnd w:id="7"/>
      <w:r w:rsidR="00E73B02" w:rsidRPr="00E6122D">
        <w:rPr>
          <w:lang w:val="en-GB"/>
        </w:rPr>
        <w:t xml:space="preserve"> </w:t>
      </w:r>
      <w:bookmarkStart w:id="8" w:name="References"/>
      <w:r w:rsidRPr="00E6122D">
        <w:rPr>
          <w:lang w:val="hr-HR"/>
        </w:rPr>
        <w:t xml:space="preserve">o izmjeni uredaba (EU) 2017/745 i (EU) 2017/746 u pogledu postupnog uvođenja Eudameda, obveze informiranja u slučaju prekida opskrbe i prijelaznih odredaba za određene </w:t>
      </w:r>
      <w:r w:rsidRPr="00E6122D">
        <w:rPr>
          <w:i/>
          <w:lang w:val="hr-HR"/>
        </w:rPr>
        <w:t>in vitro</w:t>
      </w:r>
      <w:r w:rsidRPr="00E6122D">
        <w:rPr>
          <w:lang w:val="hr-HR"/>
        </w:rPr>
        <w:t xml:space="preserve"> dijagnostičke medicinske proizvode </w:t>
      </w:r>
      <w:r w:rsidRPr="00E6122D">
        <w:rPr>
          <w:lang w:val="en-GB"/>
        </w:rPr>
        <w:t>(COM(2024)0043 – C9-0010/2024 – 2024/0021(COD))</w:t>
      </w:r>
    </w:p>
    <w:p w:rsidR="009C4014" w:rsidRPr="00E6122D" w:rsidRDefault="00DF17CB" w:rsidP="00E6122D">
      <w:pPr>
        <w:pStyle w:val="NormalBold"/>
        <w:spacing w:before="120"/>
      </w:pPr>
      <w:r w:rsidRPr="00E6122D">
        <w:t>(Redovni zakonodavni postupak: prvo čitanje)</w:t>
      </w:r>
      <w:bookmarkEnd w:id="8"/>
    </w:p>
    <w:p w:rsidR="006E5420" w:rsidRPr="00E6122D" w:rsidRDefault="00DF17CB" w:rsidP="008B1C2E">
      <w:pPr>
        <w:pStyle w:val="Normal12"/>
        <w:spacing w:before="360"/>
        <w:rPr>
          <w:i/>
          <w:szCs w:val="24"/>
        </w:rPr>
      </w:pPr>
      <w:bookmarkStart w:id="9" w:name="TextBodyBegin"/>
      <w:bookmarkEnd w:id="9"/>
      <w:r w:rsidRPr="00E6122D">
        <w:rPr>
          <w:i/>
          <w:szCs w:val="24"/>
        </w:rPr>
        <w:t>Europski parlament,</w:t>
      </w:r>
    </w:p>
    <w:p w:rsidR="00DF17CB" w:rsidRPr="00E6122D" w:rsidRDefault="00DF17CB" w:rsidP="00DF17CB">
      <w:pPr>
        <w:pStyle w:val="NormalHanging12a"/>
      </w:pPr>
      <w:r w:rsidRPr="00E6122D">
        <w:t>–</w:t>
      </w:r>
      <w:r w:rsidRPr="00E6122D">
        <w:tab/>
        <w:t>uzimajući u obzir Prijedlog Komisije upućen Europskom parlamentu i Vijeću (COM(2024)0043),</w:t>
      </w:r>
    </w:p>
    <w:p w:rsidR="00DF17CB" w:rsidRPr="00E6122D" w:rsidRDefault="00DF17CB" w:rsidP="00DF17CB">
      <w:pPr>
        <w:pStyle w:val="NormalHanging12a"/>
      </w:pPr>
      <w:r w:rsidRPr="00E6122D">
        <w:t>–</w:t>
      </w:r>
      <w:r w:rsidRPr="00E6122D">
        <w:tab/>
        <w:t>uzimajući u obzir članak 294. stavak 2., članak 114. i članak 168. stavak 4. točku </w:t>
      </w:r>
      <w:r w:rsidR="0033566F" w:rsidRPr="00E6122D">
        <w:t>(</w:t>
      </w:r>
      <w:r w:rsidRPr="00E6122D">
        <w:t>c</w:t>
      </w:r>
      <w:r w:rsidR="0033566F" w:rsidRPr="00E6122D">
        <w:t>)</w:t>
      </w:r>
      <w:r w:rsidRPr="00E6122D">
        <w:t xml:space="preserve"> Ugovora o funkcioniranju Europske unije, u skladu s kojima je Komisija podnijela Prijedlog Parlamentu (C9</w:t>
      </w:r>
      <w:r w:rsidRPr="00E6122D">
        <w:noBreakHyphen/>
        <w:t>0010/2024),</w:t>
      </w:r>
    </w:p>
    <w:p w:rsidR="00DF17CB" w:rsidRPr="00E6122D" w:rsidRDefault="00DF17CB" w:rsidP="00DF17CB">
      <w:pPr>
        <w:pStyle w:val="NormalHanging12a"/>
      </w:pPr>
      <w:r w:rsidRPr="00E6122D">
        <w:t>–</w:t>
      </w:r>
      <w:r w:rsidRPr="00E6122D">
        <w:tab/>
        <w:t>uzimajući u obzir članak 294. stavak 3. Ugovora o funkcioniranju Europske unije,</w:t>
      </w:r>
    </w:p>
    <w:p w:rsidR="00DF17CB" w:rsidRPr="00E6122D" w:rsidRDefault="00DF17CB" w:rsidP="00DF17CB">
      <w:pPr>
        <w:pStyle w:val="NormalHanging12a"/>
      </w:pPr>
      <w:r w:rsidRPr="00E6122D">
        <w:t>–</w:t>
      </w:r>
      <w:r w:rsidRPr="00E6122D">
        <w:tab/>
        <w:t>uzimajući u obzir mišljenje Europskoga gospodarskog i socijalnog odbora od 20. ožujka 2024.</w:t>
      </w:r>
      <w:r w:rsidRPr="00E6122D">
        <w:rPr>
          <w:rStyle w:val="FootnoteReference"/>
        </w:rPr>
        <w:footnoteReference w:id="1"/>
      </w:r>
      <w:r w:rsidRPr="00E6122D">
        <w:t>,</w:t>
      </w:r>
    </w:p>
    <w:p w:rsidR="00A7275E" w:rsidRPr="00E6122D" w:rsidRDefault="00A7275E" w:rsidP="00DF17CB">
      <w:pPr>
        <w:pStyle w:val="NormalHanging12a"/>
      </w:pPr>
      <w:r w:rsidRPr="00E6122D">
        <w:rPr>
          <w:lang w:val="pl-PL"/>
        </w:rPr>
        <w:t>–</w:t>
      </w:r>
      <w:r w:rsidRPr="00E6122D">
        <w:rPr>
          <w:lang w:val="pl-PL"/>
        </w:rPr>
        <w:tab/>
        <w:t>nakon savjetovanja s Odborom regija,</w:t>
      </w:r>
    </w:p>
    <w:p w:rsidR="00DF17CB" w:rsidRPr="00E6122D" w:rsidRDefault="00DF17CB" w:rsidP="00DF17CB">
      <w:pPr>
        <w:pStyle w:val="NormalHanging12a"/>
      </w:pPr>
      <w:r w:rsidRPr="00E6122D">
        <w:t>–</w:t>
      </w:r>
      <w:r w:rsidRPr="00E6122D">
        <w:tab/>
        <w:t xml:space="preserve">uzimajući u obzir da se predstavnik Vijeća pismom od </w:t>
      </w:r>
      <w:r w:rsidR="00A7275E" w:rsidRPr="00E6122D">
        <w:t>21</w:t>
      </w:r>
      <w:r w:rsidRPr="00E6122D">
        <w:t>. veljače 20</w:t>
      </w:r>
      <w:r w:rsidR="0033566F" w:rsidRPr="00E6122D">
        <w:t>2</w:t>
      </w:r>
      <w:r w:rsidRPr="00E6122D">
        <w:t>4. obvezao prihvatiti stajalište Europskog parlamenta u skladu s člankom 294. stavkom 4. Ugovora o funkcioniranju Europske unije</w:t>
      </w:r>
      <w:r w:rsidR="00A7275E" w:rsidRPr="00E6122D">
        <w:t>,</w:t>
      </w:r>
    </w:p>
    <w:p w:rsidR="00DF17CB" w:rsidRPr="00E6122D" w:rsidRDefault="00DF17CB" w:rsidP="00DF17CB">
      <w:pPr>
        <w:pStyle w:val="NormalHanging12a"/>
      </w:pPr>
      <w:r w:rsidRPr="00E6122D">
        <w:t>–</w:t>
      </w:r>
      <w:r w:rsidRPr="00E6122D">
        <w:tab/>
        <w:t>uzimajući u obzir član</w:t>
      </w:r>
      <w:r w:rsidR="00A7275E" w:rsidRPr="00E6122D">
        <w:t>ke</w:t>
      </w:r>
      <w:r w:rsidRPr="00E6122D">
        <w:t xml:space="preserve"> 59. </w:t>
      </w:r>
      <w:r w:rsidR="00A7275E" w:rsidRPr="00E6122D">
        <w:t xml:space="preserve">i 163. </w:t>
      </w:r>
      <w:r w:rsidRPr="00E6122D">
        <w:t>Poslovnika,</w:t>
      </w:r>
    </w:p>
    <w:p w:rsidR="00DF17CB" w:rsidRPr="00E6122D" w:rsidRDefault="00DF17CB" w:rsidP="00DF17CB">
      <w:pPr>
        <w:pStyle w:val="NormalHanging12a"/>
      </w:pPr>
      <w:r w:rsidRPr="00E6122D">
        <w:lastRenderedPageBreak/>
        <w:t>1.</w:t>
      </w:r>
      <w:r w:rsidRPr="00E6122D">
        <w:tab/>
        <w:t>usvaja sljedeće stajalište u prvom čitanju;</w:t>
      </w:r>
    </w:p>
    <w:p w:rsidR="00DF17CB" w:rsidRPr="00E6122D" w:rsidRDefault="00DF17CB" w:rsidP="00DF17CB">
      <w:pPr>
        <w:pStyle w:val="NormalHanging12a"/>
      </w:pPr>
      <w:r w:rsidRPr="00E6122D">
        <w:t>2.</w:t>
      </w:r>
      <w:r w:rsidRPr="00E6122D">
        <w:tab/>
        <w:t>poziva Komisiju da predmet ponovno uputi Parlamentu ako zamijeni, bitno izmijeni ili namjerava bitno izmijeniti svoj Prijedlog;</w:t>
      </w:r>
    </w:p>
    <w:p w:rsidR="009F28EF" w:rsidRPr="00E6122D" w:rsidRDefault="00DF17CB" w:rsidP="00E6122D">
      <w:pPr>
        <w:pStyle w:val="Normal12"/>
        <w:ind w:left="567" w:hanging="567"/>
        <w:rPr>
          <w:lang w:val="hr-HR"/>
        </w:rPr>
      </w:pPr>
      <w:r w:rsidRPr="00E6122D">
        <w:rPr>
          <w:lang w:val="hr-HR"/>
        </w:rPr>
        <w:t>3.</w:t>
      </w:r>
      <w:r w:rsidRPr="00E6122D">
        <w:rPr>
          <w:lang w:val="hr-HR"/>
        </w:rPr>
        <w:tab/>
        <w:t>nalaže svojoj predsjednici da stajalište Parlamenta proslijedi Vijeću, Komisiji i nacionalnim parlamentima.</w:t>
      </w:r>
    </w:p>
    <w:p w:rsidR="00A7275E" w:rsidRPr="00E6122D" w:rsidRDefault="00A7275E" w:rsidP="00A7275E">
      <w:pPr>
        <w:pStyle w:val="Normal12"/>
        <w:ind w:left="567" w:hanging="567"/>
        <w:rPr>
          <w:szCs w:val="24"/>
          <w:lang w:val="hr-HR"/>
        </w:rPr>
        <w:sectPr w:rsidR="00A7275E" w:rsidRPr="00E6122D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A7275E" w:rsidRPr="00E6122D" w:rsidRDefault="00A7275E" w:rsidP="00A7275E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hr-HR"/>
        </w:rPr>
      </w:pPr>
      <w:r w:rsidRPr="00E6122D">
        <w:rPr>
          <w:rFonts w:eastAsia="Calibri"/>
          <w:b/>
          <w:bCs/>
          <w:color w:val="000000"/>
          <w:szCs w:val="24"/>
          <w:lang w:val="hr-HR"/>
        </w:rPr>
        <w:lastRenderedPageBreak/>
        <w:t>P9_TC1-COD(2024)0021</w:t>
      </w:r>
    </w:p>
    <w:p w:rsidR="00A7275E" w:rsidRDefault="00A7275E" w:rsidP="00E6122D">
      <w:pPr>
        <w:pStyle w:val="Normal12"/>
        <w:rPr>
          <w:rFonts w:eastAsia="Calibri"/>
          <w:b/>
          <w:noProof/>
          <w:szCs w:val="22"/>
          <w:lang w:val="hr-HR" w:eastAsia="en-US"/>
        </w:rPr>
      </w:pPr>
      <w:r w:rsidRPr="00E6122D">
        <w:rPr>
          <w:b/>
          <w:lang w:val="hr-HR"/>
        </w:rPr>
        <w:t xml:space="preserve">Stajalište Europskog parlamenta usvojeno u prvom čitanju 25. travnja 2024. radi donošenja Uredbe (EU) 2024/… Europskog parlamenta i Vijeća </w:t>
      </w:r>
      <w:r w:rsidRPr="00E6122D">
        <w:rPr>
          <w:rFonts w:eastAsia="Calibri"/>
          <w:b/>
          <w:noProof/>
          <w:szCs w:val="22"/>
          <w:lang w:val="hr-HR" w:eastAsia="en-US"/>
        </w:rPr>
        <w:t xml:space="preserve">o izmjeni uredaba (EU) 2017/745 i (EU) 2017/746 u pogledu postupnog uvođenja Eudameda, obveze informiranja u slučaju prekida ili prestanka opskrbe i prijelaznih odredaba za određene </w:t>
      </w:r>
      <w:r w:rsidRPr="00E6122D">
        <w:rPr>
          <w:rFonts w:eastAsia="Calibri"/>
          <w:b/>
          <w:i/>
          <w:noProof/>
          <w:szCs w:val="22"/>
          <w:lang w:val="hr-HR" w:eastAsia="en-US"/>
        </w:rPr>
        <w:t>in vitro</w:t>
      </w:r>
      <w:r w:rsidRPr="00E6122D">
        <w:rPr>
          <w:rFonts w:eastAsia="Calibri"/>
          <w:b/>
          <w:noProof/>
          <w:szCs w:val="22"/>
          <w:lang w:val="hr-HR" w:eastAsia="en-US"/>
        </w:rPr>
        <w:t xml:space="preserve"> dijagnostičke medicinske proizvode</w:t>
      </w:r>
    </w:p>
    <w:p w:rsidR="00E778B9" w:rsidRPr="00E6122D" w:rsidRDefault="00E778B9" w:rsidP="00E778B9">
      <w:pPr>
        <w:pStyle w:val="Normal12"/>
        <w:spacing w:before="120"/>
        <w:rPr>
          <w:rFonts w:eastAsia="Calibri"/>
          <w:b/>
          <w:noProof/>
          <w:szCs w:val="22"/>
          <w:lang w:val="hr-HR" w:eastAsia="en-US"/>
        </w:rPr>
      </w:pPr>
      <w:r w:rsidRPr="0012735E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E778B9">
        <w:rPr>
          <w:rFonts w:eastAsia="Calibri"/>
          <w:i/>
          <w:szCs w:val="24"/>
          <w:lang w:eastAsia="en-US"/>
        </w:rPr>
        <w:t>(EU) 2024/1860</w:t>
      </w:r>
      <w:r>
        <w:rPr>
          <w:rFonts w:eastAsia="Calibri"/>
          <w:i/>
          <w:szCs w:val="24"/>
          <w:lang w:eastAsia="en-US"/>
        </w:rPr>
        <w:t>.)</w:t>
      </w:r>
      <w:bookmarkStart w:id="10" w:name="_GoBack"/>
      <w:bookmarkEnd w:id="10"/>
    </w:p>
    <w:sectPr w:rsidR="00E778B9" w:rsidRPr="00E6122D" w:rsidSect="00A7275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7CB" w:rsidRDefault="00DF17CB" w:rsidP="009C4014">
      <w:r>
        <w:separator/>
      </w:r>
    </w:p>
  </w:endnote>
  <w:endnote w:type="continuationSeparator" w:id="0">
    <w:p w:rsidR="00DF17CB" w:rsidRDefault="00DF17C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7CB" w:rsidRDefault="00DF17CB" w:rsidP="009C4014">
      <w:r>
        <w:separator/>
      </w:r>
    </w:p>
  </w:footnote>
  <w:footnote w:type="continuationSeparator" w:id="0">
    <w:p w:rsidR="00DF17CB" w:rsidRDefault="00DF17CB" w:rsidP="009C4014">
      <w:r>
        <w:continuationSeparator/>
      </w:r>
    </w:p>
  </w:footnote>
  <w:footnote w:id="1">
    <w:p w:rsidR="00DF17CB" w:rsidRPr="001A71FD" w:rsidRDefault="00DF17CB" w:rsidP="00DF17CB">
      <w:pPr>
        <w:pStyle w:val="FootnoteText"/>
        <w:ind w:left="567" w:hanging="567"/>
        <w:rPr>
          <w:sz w:val="24"/>
          <w:lang w:val="hr-HR"/>
        </w:rPr>
      </w:pPr>
      <w:r w:rsidRPr="001A71FD">
        <w:rPr>
          <w:rStyle w:val="FootnoteReference"/>
          <w:sz w:val="24"/>
          <w:lang w:val="hr-HR"/>
        </w:rPr>
        <w:footnoteRef/>
      </w:r>
      <w:r w:rsidRPr="001A71FD">
        <w:rPr>
          <w:sz w:val="24"/>
          <w:lang w:val="hr-HR"/>
        </w:rPr>
        <w:t xml:space="preserve"> </w:t>
      </w:r>
      <w:r w:rsidRPr="001A71FD">
        <w:rPr>
          <w:sz w:val="24"/>
          <w:lang w:val="hr-HR"/>
        </w:rPr>
        <w:tab/>
      </w:r>
      <w:r w:rsidRPr="00DF17CB">
        <w:rPr>
          <w:sz w:val="24"/>
          <w:lang w:val="hr-HR"/>
        </w:rPr>
        <w:t>Još nije objavljeno u Službenom listu</w:t>
      </w:r>
      <w:r w:rsidRPr="001A71FD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7CB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3566F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06D0D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7275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17CB"/>
    <w:rsid w:val="00DF53A8"/>
    <w:rsid w:val="00E039BF"/>
    <w:rsid w:val="00E11822"/>
    <w:rsid w:val="00E45FE2"/>
    <w:rsid w:val="00E6122D"/>
    <w:rsid w:val="00E73B02"/>
    <w:rsid w:val="00E74BF3"/>
    <w:rsid w:val="00E778B9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2434B"/>
  <w15:chartTrackingRefBased/>
  <w15:docId w15:val="{7EC4F511-743E-421C-8DD0-FA274992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rsid w:val="00DF17CB"/>
    <w:rPr>
      <w:sz w:val="22"/>
      <w:lang w:val="fr-FR"/>
    </w:rPr>
  </w:style>
  <w:style w:type="paragraph" w:customStyle="1" w:styleId="NormalHanging12a">
    <w:name w:val="NormalHanging12a"/>
    <w:basedOn w:val="Normal"/>
    <w:rsid w:val="00DF17CB"/>
    <w:pPr>
      <w:widowControl w:val="0"/>
      <w:spacing w:after="240"/>
      <w:ind w:left="567" w:hanging="567"/>
    </w:pPr>
    <w:rPr>
      <w:lang w:val="hr-HR"/>
    </w:rPr>
  </w:style>
  <w:style w:type="paragraph" w:styleId="BalloonText">
    <w:name w:val="Balloon Text"/>
    <w:basedOn w:val="Normal"/>
    <w:link w:val="BalloonTextChar"/>
    <w:rsid w:val="00A72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275E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basedOn w:val="DefaultParagraphFont"/>
    <w:uiPriority w:val="99"/>
    <w:unhideWhenUsed/>
    <w:rsid w:val="00A727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1B104-F375-4FC3-ACCA-7B9656129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298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ZOVKO Jadranka</dc:creator>
  <cp:keywords/>
  <cp:lastModifiedBy>ZOVKO Jadranka</cp:lastModifiedBy>
  <cp:revision>2</cp:revision>
  <cp:lastPrinted>2014-08-07T13:15:00Z</cp:lastPrinted>
  <dcterms:created xsi:type="dcterms:W3CDTF">2024-09-09T12:35:00Z</dcterms:created>
  <dcterms:modified xsi:type="dcterms:W3CDTF">2024-09-09T12:35:00Z</dcterms:modified>
</cp:coreProperties>
</file>