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rsidTr="00425111">
        <w:trPr>
          <w:trHeight w:hRule="exact" w:val="1418"/>
        </w:trPr>
        <w:tc>
          <w:tcPr>
            <w:tcW w:w="6804" w:type="dxa"/>
            <w:shd w:val="clear" w:color="auto" w:fill="auto"/>
            <w:vAlign w:val="center"/>
          </w:tcPr>
          <w:p w:rsidR="00757DD5" w:rsidRPr="00695D15" w:rsidRDefault="00AE51F7" w:rsidP="00425111">
            <w:pPr>
              <w:pStyle w:val="EPName"/>
              <w:rPr>
                <w:lang w:val="en-GB"/>
              </w:rPr>
            </w:pPr>
            <w:r>
              <w:rPr>
                <w:lang w:val="en-GB"/>
              </w:rPr>
              <w:t>Parlament Europejski</w:t>
            </w:r>
          </w:p>
          <w:p w:rsidR="00757DD5" w:rsidRPr="00695D15" w:rsidRDefault="00AE51F7" w:rsidP="00425111">
            <w:pPr>
              <w:pStyle w:val="EPTerm"/>
              <w:rPr>
                <w:rStyle w:val="HideTWBExt"/>
                <w:vanish w:val="0"/>
                <w:lang w:val="en-GB"/>
              </w:rPr>
            </w:pPr>
            <w:r>
              <w:rPr>
                <w:lang w:val="en-GB"/>
              </w:rPr>
              <w:t>2019 - 2024</w:t>
            </w:r>
          </w:p>
        </w:tc>
        <w:tc>
          <w:tcPr>
            <w:tcW w:w="2268" w:type="dxa"/>
            <w:shd w:val="clear" w:color="auto" w:fill="auto"/>
          </w:tcPr>
          <w:p w:rsidR="00757DD5" w:rsidRPr="00695D15" w:rsidRDefault="00172070" w:rsidP="00425111">
            <w:pPr>
              <w:pStyle w:val="EPLogo"/>
            </w:pPr>
            <w:r w:rsidRPr="00695D15">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RDefault="008E7632" w:rsidP="008E7632">
      <w:pPr>
        <w:pStyle w:val="LineTop"/>
        <w:rPr>
          <w:lang w:val="en-GB"/>
        </w:rPr>
      </w:pPr>
    </w:p>
    <w:p w:rsidR="008E7632" w:rsidRPr="00AE51F7" w:rsidRDefault="00AE51F7" w:rsidP="008E7632">
      <w:pPr>
        <w:pStyle w:val="ZSessionDoc"/>
        <w:rPr>
          <w:b/>
          <w:i w:val="0"/>
          <w:lang w:val="pl-PL"/>
        </w:rPr>
      </w:pPr>
      <w:r w:rsidRPr="00AE51F7">
        <w:rPr>
          <w:b/>
          <w:i w:val="0"/>
          <w:lang w:val="pl-PL"/>
        </w:rPr>
        <w:t>TEKSTY PRZYJĘTE</w:t>
      </w:r>
    </w:p>
    <w:p w:rsidR="008E7632" w:rsidRPr="00AE51F7" w:rsidRDefault="00AE51F7" w:rsidP="008E7632">
      <w:pPr>
        <w:pStyle w:val="LineBottom"/>
        <w:rPr>
          <w:lang w:val="pl-PL"/>
        </w:rPr>
      </w:pPr>
      <w:r w:rsidRPr="00AE51F7">
        <w:rPr>
          <w:rFonts w:cs="Arial"/>
          <w:i/>
          <w:sz w:val="20"/>
          <w:szCs w:val="22"/>
          <w:lang w:val="pl-PL"/>
        </w:rPr>
        <w:t xml:space="preserve"> </w:t>
      </w:r>
    </w:p>
    <w:p w:rsidR="009C4014" w:rsidRPr="00AE51F7" w:rsidRDefault="00AE51F7" w:rsidP="008E7632">
      <w:pPr>
        <w:pStyle w:val="ATHeading1"/>
        <w:spacing w:before="480"/>
        <w:rPr>
          <w:lang w:val="pl-PL"/>
        </w:rPr>
      </w:pPr>
      <w:bookmarkStart w:id="0" w:name="TA_Heading"/>
      <w:r w:rsidRPr="00AE51F7">
        <w:rPr>
          <w:lang w:val="pl-PL"/>
        </w:rPr>
        <w:t>P9_TA(2024)</w:t>
      </w:r>
      <w:bookmarkStart w:id="1" w:name="TANumber"/>
      <w:bookmarkEnd w:id="0"/>
      <w:r w:rsidRPr="00AE51F7">
        <w:rPr>
          <w:lang w:val="pl-PL"/>
        </w:rPr>
        <w:t>0</w:t>
      </w:r>
      <w:bookmarkEnd w:id="1"/>
      <w:r w:rsidR="00C60DCF">
        <w:rPr>
          <w:lang w:val="pl-PL"/>
        </w:rPr>
        <w:t>368</w:t>
      </w:r>
    </w:p>
    <w:p w:rsidR="009C4014" w:rsidRPr="00AE51F7" w:rsidRDefault="00AE51F7" w:rsidP="00AE51F7">
      <w:pPr>
        <w:pStyle w:val="ATHeading2"/>
        <w:rPr>
          <w:lang w:val="pl-PL"/>
        </w:rPr>
      </w:pPr>
      <w:bookmarkStart w:id="2" w:name="title"/>
      <w:r w:rsidRPr="00AE51F7">
        <w:rPr>
          <w:lang w:val="pl-PL"/>
        </w:rPr>
        <w:t>Stopniowe wdrażanie bazy danych Eudamed, obowiązek w zakresie informowania w przypadku</w:t>
      </w:r>
      <w:r>
        <w:rPr>
          <w:lang w:val="pl-PL"/>
        </w:rPr>
        <w:t xml:space="preserve"> </w:t>
      </w:r>
      <w:r w:rsidRPr="00AE51F7">
        <w:rPr>
          <w:lang w:val="pl-PL"/>
        </w:rPr>
        <w:t>przerwania dostaw oraz przepisy przejściowe dotyczące określonych wyrobów medycznych do</w:t>
      </w:r>
      <w:r>
        <w:rPr>
          <w:lang w:val="pl-PL"/>
        </w:rPr>
        <w:t xml:space="preserve"> </w:t>
      </w:r>
      <w:r w:rsidRPr="00AE51F7">
        <w:rPr>
          <w:lang w:val="pl-PL"/>
        </w:rPr>
        <w:t>diagnostyki in vitro</w:t>
      </w:r>
      <w:bookmarkEnd w:id="2"/>
      <w:r w:rsidR="009C4014" w:rsidRPr="00AE51F7">
        <w:rPr>
          <w:lang w:val="pl-PL"/>
        </w:rPr>
        <w:t xml:space="preserve"> </w:t>
      </w:r>
      <w:bookmarkStart w:id="3" w:name="Etoiles"/>
      <w:bookmarkEnd w:id="3"/>
    </w:p>
    <w:p w:rsidR="009C4014" w:rsidRPr="00AE51F7" w:rsidRDefault="009C4014" w:rsidP="009C4014">
      <w:pPr>
        <w:rPr>
          <w:i/>
          <w:vanish/>
          <w:lang w:val="pl-PL"/>
        </w:rPr>
      </w:pPr>
      <w:r>
        <w:rPr>
          <w:i/>
        </w:rPr>
        <w:fldChar w:fldCharType="begin"/>
      </w:r>
      <w:r w:rsidRPr="00AE51F7">
        <w:rPr>
          <w:i/>
          <w:lang w:val="pl-PL"/>
        </w:rPr>
        <w:instrText xml:space="preserve"> TC"</w:instrText>
      </w:r>
      <w:bookmarkStart w:id="4" w:name="DocNumber"/>
      <w:r w:rsidR="00AE51F7" w:rsidRPr="00AE51F7">
        <w:rPr>
          <w:i/>
          <w:lang w:val="pl-PL"/>
        </w:rPr>
        <w:instrText>(C9-0010/2024)</w:instrText>
      </w:r>
      <w:bookmarkEnd w:id="4"/>
      <w:r w:rsidRPr="00AE51F7">
        <w:rPr>
          <w:i/>
          <w:lang w:val="pl-PL"/>
        </w:rPr>
        <w:instrText xml:space="preserve">"\l3 \n&gt; \* MERGEFORMAT </w:instrText>
      </w:r>
      <w:r>
        <w:rPr>
          <w:i/>
        </w:rPr>
        <w:fldChar w:fldCharType="end"/>
      </w:r>
    </w:p>
    <w:p w:rsidR="00AE51F7" w:rsidRPr="00AE51F7" w:rsidRDefault="00AE51F7" w:rsidP="009C4014">
      <w:pPr>
        <w:rPr>
          <w:vanish/>
          <w:lang w:val="pl-PL"/>
        </w:rPr>
      </w:pPr>
      <w:bookmarkStart w:id="5" w:name="Commission"/>
      <w:r w:rsidRPr="00AE51F7">
        <w:rPr>
          <w:vanish/>
          <w:lang w:val="pl-PL"/>
        </w:rPr>
        <w:t>Komisja Ochrony Środowiska Naturalnego, Zdrowia Publicznego i Bezpieczeństwa Żywności</w:t>
      </w:r>
    </w:p>
    <w:p w:rsidR="009C4014" w:rsidRPr="00C60DCF" w:rsidRDefault="00AE51F7" w:rsidP="009C4014">
      <w:pPr>
        <w:rPr>
          <w:vanish/>
          <w:lang w:val="pl-PL"/>
        </w:rPr>
      </w:pPr>
      <w:bookmarkStart w:id="6" w:name="PE"/>
      <w:bookmarkEnd w:id="5"/>
      <w:r w:rsidRPr="00C60DCF">
        <w:rPr>
          <w:vanish/>
          <w:lang w:val="pl-PL"/>
        </w:rPr>
        <w:t>PE762.481</w:t>
      </w:r>
      <w:bookmarkEnd w:id="6"/>
    </w:p>
    <w:p w:rsidR="00AE51F7" w:rsidRPr="00963148" w:rsidRDefault="00AE51F7" w:rsidP="00AE51F7">
      <w:pPr>
        <w:pStyle w:val="ATHeading3"/>
        <w:keepNext w:val="0"/>
        <w:keepLines w:val="0"/>
        <w:widowControl w:val="0"/>
        <w:rPr>
          <w:lang w:val="pl-PL"/>
        </w:rPr>
      </w:pPr>
      <w:r w:rsidRPr="00963148">
        <w:rPr>
          <w:lang w:val="pl-PL"/>
        </w:rPr>
        <w:t xml:space="preserve">Rezolucja ustawodawcza Parlamentu Europejskiego z dnia 25 kwietnia 2024 r. w sprawie wniosku dotyczącego rozporządzenia Parlamentu Europejskiego i Rady </w:t>
      </w:r>
      <w:r w:rsidR="00963148" w:rsidRPr="00EF6F9E">
        <w:rPr>
          <w:rFonts w:eastAsia="Calibri"/>
          <w:szCs w:val="22"/>
          <w:lang w:val="pl-PL"/>
        </w:rPr>
        <w:t xml:space="preserve">w sprawie zmiany rozporządzenia (UE) 2017/745 i (UE) 2017/746 w odniesieniu do stopniowego wdrażania bazy danych Eudamed, obowiązku w zakresie informowania w przypadku przerwy w dostawach lub ich zawieszeniu oraz przepisów przejściowych dotyczących określonych wyrobów medycznych do diagnostyki </w:t>
      </w:r>
      <w:r w:rsidR="00963148" w:rsidRPr="00EF6F9E">
        <w:rPr>
          <w:rFonts w:eastAsia="Calibri"/>
          <w:i/>
          <w:szCs w:val="22"/>
          <w:lang w:val="pl-PL"/>
        </w:rPr>
        <w:t>in vitro</w:t>
      </w:r>
      <w:r w:rsidRPr="00963148">
        <w:rPr>
          <w:lang w:val="pl-PL"/>
        </w:rPr>
        <w:t xml:space="preserve"> (COM(2024)0043 – C9-0010/2024 – 2024/0021(COD))</w:t>
      </w:r>
    </w:p>
    <w:p w:rsidR="009C4014" w:rsidRPr="00AE51F7" w:rsidRDefault="00AE51F7" w:rsidP="00AE51F7">
      <w:pPr>
        <w:pStyle w:val="ATHeading3"/>
        <w:rPr>
          <w:lang w:val="pl-PL"/>
        </w:rPr>
      </w:pPr>
      <w:r w:rsidRPr="00AE51F7">
        <w:rPr>
          <w:lang w:val="pl-PL"/>
        </w:rPr>
        <w:t>(Zwykła procedura ustawodawcza: pierwsze czytanie)</w:t>
      </w:r>
      <w:r w:rsidR="00E73B02" w:rsidRPr="00AE51F7">
        <w:rPr>
          <w:lang w:val="pl-PL"/>
        </w:rPr>
        <w:t xml:space="preserve"> </w:t>
      </w:r>
      <w:bookmarkStart w:id="7" w:name="References"/>
      <w:bookmarkEnd w:id="7"/>
    </w:p>
    <w:p w:rsidR="006E5420" w:rsidRPr="00C60DCF" w:rsidRDefault="00AE51F7" w:rsidP="008B1C2E">
      <w:pPr>
        <w:pStyle w:val="Normal12"/>
        <w:spacing w:before="360"/>
        <w:rPr>
          <w:i/>
          <w:szCs w:val="24"/>
          <w:lang w:val="pl-PL"/>
        </w:rPr>
      </w:pPr>
      <w:bookmarkStart w:id="8" w:name="TextBodyBegin"/>
      <w:bookmarkEnd w:id="8"/>
      <w:r w:rsidRPr="00C60DCF">
        <w:rPr>
          <w:i/>
          <w:szCs w:val="24"/>
          <w:lang w:val="pl-PL"/>
        </w:rPr>
        <w:t>Parlament Europejski,</w:t>
      </w:r>
    </w:p>
    <w:p w:rsidR="00AE51F7" w:rsidRPr="00AE51F7" w:rsidRDefault="00AE51F7" w:rsidP="00AE51F7">
      <w:pPr>
        <w:pStyle w:val="Normal12Hanging"/>
        <w:ind w:left="567" w:hanging="567"/>
        <w:rPr>
          <w:lang w:val="pl-PL"/>
        </w:rPr>
      </w:pPr>
      <w:r w:rsidRPr="00AE51F7">
        <w:rPr>
          <w:lang w:val="pl-PL"/>
        </w:rPr>
        <w:t>–</w:t>
      </w:r>
      <w:r w:rsidRPr="00AE51F7">
        <w:rPr>
          <w:lang w:val="pl-PL"/>
        </w:rPr>
        <w:tab/>
        <w:t>uwzględniając wniosek Komisji przedstawiony Parlamentowi Europejskiemu i Radzie (COM(2024)0043),</w:t>
      </w:r>
    </w:p>
    <w:p w:rsidR="00AE51F7" w:rsidRPr="00AE51F7" w:rsidRDefault="00AE51F7" w:rsidP="00AE51F7">
      <w:pPr>
        <w:pStyle w:val="Normal12Hanging"/>
        <w:ind w:left="567" w:hanging="567"/>
        <w:rPr>
          <w:lang w:val="pl-PL"/>
        </w:rPr>
      </w:pPr>
      <w:r w:rsidRPr="00AE51F7">
        <w:rPr>
          <w:lang w:val="pl-PL"/>
        </w:rPr>
        <w:t>–</w:t>
      </w:r>
      <w:r w:rsidRPr="00AE51F7">
        <w:rPr>
          <w:lang w:val="pl-PL"/>
        </w:rPr>
        <w:tab/>
        <w:t>uwzględniając art. 294 ust. 2 i art. 82 ust. 1 lit. d) oraz art. 87 ust. 2 lit. a) Traktatu o funkcjonowaniu Unii Europejskiej, zgodnie z którymi wniosek został przedstawiony Parlamentowi przez Komisję (C9-0010/2024),</w:t>
      </w:r>
    </w:p>
    <w:p w:rsidR="00AE51F7" w:rsidRPr="00AE51F7" w:rsidRDefault="00AE51F7" w:rsidP="00AE51F7">
      <w:pPr>
        <w:pStyle w:val="Normal12Hanging"/>
        <w:ind w:left="567" w:hanging="567"/>
        <w:rPr>
          <w:lang w:val="pl-PL"/>
        </w:rPr>
      </w:pPr>
      <w:r w:rsidRPr="00AE51F7">
        <w:rPr>
          <w:lang w:val="pl-PL"/>
        </w:rPr>
        <w:t>–</w:t>
      </w:r>
      <w:r w:rsidRPr="00AE51F7">
        <w:rPr>
          <w:lang w:val="pl-PL"/>
        </w:rPr>
        <w:tab/>
        <w:t>uwzględniając art. 294 ust. 3 Traktatu o funkcjonowaniu Unii Europejskiej,</w:t>
      </w:r>
    </w:p>
    <w:p w:rsidR="00AE51F7" w:rsidRPr="00AE51F7" w:rsidRDefault="00AE51F7" w:rsidP="00AE51F7">
      <w:pPr>
        <w:pStyle w:val="Normal12Hanging"/>
        <w:ind w:left="567" w:hanging="567"/>
        <w:rPr>
          <w:lang w:val="pl-PL"/>
        </w:rPr>
      </w:pPr>
      <w:r w:rsidRPr="00AE51F7">
        <w:rPr>
          <w:lang w:val="pl-PL"/>
        </w:rPr>
        <w:t>–</w:t>
      </w:r>
      <w:r w:rsidRPr="00AE51F7">
        <w:rPr>
          <w:lang w:val="pl-PL"/>
        </w:rPr>
        <w:tab/>
        <w:t>uwzględniając opinię Europejskiego Komitetu Ekonomiczno-Społecznego z dnia 2</w:t>
      </w:r>
      <w:r>
        <w:rPr>
          <w:lang w:val="pl-PL"/>
        </w:rPr>
        <w:t>0</w:t>
      </w:r>
      <w:r w:rsidRPr="00AE51F7">
        <w:rPr>
          <w:lang w:val="pl-PL"/>
        </w:rPr>
        <w:t xml:space="preserve"> </w:t>
      </w:r>
      <w:r>
        <w:rPr>
          <w:lang w:val="pl-PL"/>
        </w:rPr>
        <w:t>marca 2024</w:t>
      </w:r>
      <w:r w:rsidRPr="00AE51F7">
        <w:rPr>
          <w:lang w:val="pl-PL"/>
        </w:rPr>
        <w:t xml:space="preserve"> r.</w:t>
      </w:r>
      <w:r w:rsidRPr="000F176F">
        <w:rPr>
          <w:vertAlign w:val="superscript"/>
        </w:rPr>
        <w:footnoteReference w:id="1"/>
      </w:r>
      <w:r w:rsidRPr="00AE51F7">
        <w:rPr>
          <w:lang w:val="pl-PL"/>
        </w:rPr>
        <w:t>,</w:t>
      </w:r>
    </w:p>
    <w:p w:rsidR="00AE51F7" w:rsidRPr="00963148" w:rsidRDefault="00AE51F7" w:rsidP="00AE51F7">
      <w:pPr>
        <w:pStyle w:val="Normal12Hanging"/>
        <w:ind w:left="567" w:hanging="567"/>
        <w:rPr>
          <w:lang w:val="pl-PL"/>
        </w:rPr>
      </w:pPr>
      <w:r w:rsidRPr="00963148">
        <w:rPr>
          <w:lang w:val="pl-PL"/>
        </w:rPr>
        <w:t>–</w:t>
      </w:r>
      <w:r w:rsidRPr="00963148">
        <w:rPr>
          <w:lang w:val="pl-PL"/>
        </w:rPr>
        <w:tab/>
      </w:r>
      <w:r w:rsidR="00963148" w:rsidRPr="00963148">
        <w:rPr>
          <w:szCs w:val="24"/>
          <w:lang w:val="pl-PL"/>
        </w:rPr>
        <w:t>po konsultacji z Komitetem Regionów</w:t>
      </w:r>
      <w:r w:rsidRPr="00963148">
        <w:rPr>
          <w:lang w:val="pl-PL"/>
        </w:rPr>
        <w:t>,</w:t>
      </w:r>
    </w:p>
    <w:p w:rsidR="00AE51F7" w:rsidRPr="00963148" w:rsidRDefault="00AE51F7" w:rsidP="00A54EF8">
      <w:pPr>
        <w:pStyle w:val="Normal12Hanging"/>
        <w:ind w:left="567" w:hanging="567"/>
        <w:rPr>
          <w:lang w:val="pl-PL"/>
        </w:rPr>
      </w:pPr>
      <w:r w:rsidRPr="00963148">
        <w:rPr>
          <w:lang w:val="pl-PL"/>
        </w:rPr>
        <w:t>–</w:t>
      </w:r>
      <w:r w:rsidRPr="00963148">
        <w:rPr>
          <w:lang w:val="pl-PL"/>
        </w:rPr>
        <w:tab/>
      </w:r>
      <w:r w:rsidR="00963148" w:rsidRPr="00963148">
        <w:rPr>
          <w:lang w:val="pl-PL"/>
        </w:rPr>
        <w:t xml:space="preserve">uwzględniając </w:t>
      </w:r>
      <w:r w:rsidR="00A54EF8" w:rsidRPr="00963148">
        <w:rPr>
          <w:lang w:val="pl-PL"/>
        </w:rPr>
        <w:t xml:space="preserve">przekazane pismem z dnia </w:t>
      </w:r>
      <w:r w:rsidR="00A54EF8">
        <w:rPr>
          <w:lang w:val="pl-PL"/>
        </w:rPr>
        <w:t>21</w:t>
      </w:r>
      <w:r w:rsidR="00A54EF8" w:rsidRPr="00963148">
        <w:rPr>
          <w:lang w:val="pl-PL"/>
        </w:rPr>
        <w:t xml:space="preserve"> </w:t>
      </w:r>
      <w:r w:rsidR="00A54EF8">
        <w:rPr>
          <w:lang w:val="pl-PL"/>
        </w:rPr>
        <w:t>lutego 2024</w:t>
      </w:r>
      <w:r w:rsidR="00A54EF8" w:rsidRPr="00963148">
        <w:rPr>
          <w:lang w:val="pl-PL"/>
        </w:rPr>
        <w:t xml:space="preserve"> r.</w:t>
      </w:r>
      <w:r w:rsidR="00A54EF8">
        <w:rPr>
          <w:lang w:val="pl-PL"/>
        </w:rPr>
        <w:t xml:space="preserve"> </w:t>
      </w:r>
      <w:r w:rsidR="00963148" w:rsidRPr="00963148">
        <w:rPr>
          <w:lang w:val="pl-PL"/>
        </w:rPr>
        <w:t xml:space="preserve">zobowiązanie przedstawiciela Rady do zatwierdzenia stanowiska Parlamentu Europejskiego, zgodnie </w:t>
      </w:r>
      <w:r w:rsidR="00963148" w:rsidRPr="00963148">
        <w:rPr>
          <w:lang w:val="pl-PL"/>
        </w:rPr>
        <w:lastRenderedPageBreak/>
        <w:t>z art. 294 ust. 4 Traktatu o funkcjonowaniu Unii Europejskiej</w:t>
      </w:r>
      <w:r w:rsidRPr="00963148">
        <w:rPr>
          <w:lang w:val="pl-PL"/>
        </w:rPr>
        <w:t>,</w:t>
      </w:r>
    </w:p>
    <w:p w:rsidR="00AE51F7" w:rsidRPr="00963148" w:rsidRDefault="00AE51F7" w:rsidP="00AE51F7">
      <w:pPr>
        <w:pStyle w:val="Normal12Hanging"/>
        <w:ind w:left="567" w:hanging="567"/>
        <w:rPr>
          <w:lang w:val="pl-PL"/>
        </w:rPr>
      </w:pPr>
      <w:r w:rsidRPr="00963148">
        <w:rPr>
          <w:lang w:val="pl-PL"/>
        </w:rPr>
        <w:t>–</w:t>
      </w:r>
      <w:r w:rsidRPr="00963148">
        <w:rPr>
          <w:lang w:val="pl-PL"/>
        </w:rPr>
        <w:tab/>
      </w:r>
      <w:r w:rsidR="00963148" w:rsidRPr="00963148">
        <w:rPr>
          <w:lang w:val="pl-PL"/>
        </w:rPr>
        <w:t>uwzględniając art. 59 i 163 Regulaminu</w:t>
      </w:r>
      <w:r w:rsidRPr="00963148">
        <w:rPr>
          <w:lang w:val="pl-PL"/>
        </w:rPr>
        <w:t>,</w:t>
      </w:r>
    </w:p>
    <w:p w:rsidR="00AE51F7" w:rsidRPr="00963148" w:rsidRDefault="00AE51F7" w:rsidP="00AE51F7">
      <w:pPr>
        <w:pStyle w:val="Normal12Hanging"/>
        <w:ind w:left="567" w:hanging="567"/>
        <w:rPr>
          <w:lang w:val="pl-PL"/>
        </w:rPr>
      </w:pPr>
      <w:r w:rsidRPr="00963148">
        <w:rPr>
          <w:lang w:val="pl-PL"/>
        </w:rPr>
        <w:t>1.</w:t>
      </w:r>
      <w:r w:rsidRPr="00963148">
        <w:rPr>
          <w:lang w:val="pl-PL"/>
        </w:rPr>
        <w:tab/>
      </w:r>
      <w:r w:rsidR="00963148" w:rsidRPr="00963148">
        <w:rPr>
          <w:lang w:val="pl-PL"/>
        </w:rPr>
        <w:t>przyjmuje poniższe stanowisko w pierwszym czytaniu</w:t>
      </w:r>
      <w:r w:rsidRPr="00963148">
        <w:rPr>
          <w:lang w:val="pl-PL"/>
        </w:rPr>
        <w:t>;</w:t>
      </w:r>
    </w:p>
    <w:p w:rsidR="00AE51F7" w:rsidRPr="00963148" w:rsidRDefault="00AE51F7" w:rsidP="00AE51F7">
      <w:pPr>
        <w:pStyle w:val="Normal12Hanging"/>
        <w:ind w:left="567" w:hanging="567"/>
        <w:rPr>
          <w:lang w:val="pl-PL"/>
        </w:rPr>
      </w:pPr>
      <w:r w:rsidRPr="00963148">
        <w:rPr>
          <w:lang w:val="pl-PL"/>
        </w:rPr>
        <w:t>2.</w:t>
      </w:r>
      <w:r w:rsidRPr="00963148">
        <w:rPr>
          <w:lang w:val="pl-PL"/>
        </w:rPr>
        <w:tab/>
      </w:r>
      <w:r w:rsidR="00963148" w:rsidRPr="00963148">
        <w:rPr>
          <w:lang w:val="pl-PL"/>
        </w:rPr>
        <w:t>zwraca się do Komisji o ponowne przekazanie mu sprawy, jeśli zastąpi ona pierwotny wniosek, wprowadzi w nim istotne zmiany lub planuje ich wprowadzenie</w:t>
      </w:r>
      <w:r w:rsidRPr="00963148">
        <w:rPr>
          <w:lang w:val="pl-PL"/>
        </w:rPr>
        <w:t>;</w:t>
      </w:r>
    </w:p>
    <w:p w:rsidR="009F28EF" w:rsidRDefault="00AE51F7" w:rsidP="00963148">
      <w:pPr>
        <w:pStyle w:val="Normal12"/>
        <w:ind w:left="567" w:hanging="567"/>
        <w:rPr>
          <w:lang w:val="pl-PL"/>
        </w:rPr>
      </w:pPr>
      <w:r w:rsidRPr="00963148">
        <w:rPr>
          <w:lang w:val="pl-PL"/>
        </w:rPr>
        <w:t>3.</w:t>
      </w:r>
      <w:r w:rsidRPr="00963148">
        <w:rPr>
          <w:lang w:val="pl-PL"/>
        </w:rPr>
        <w:tab/>
      </w:r>
      <w:r w:rsidR="00963148" w:rsidRPr="00963148">
        <w:rPr>
          <w:lang w:val="pl-PL"/>
        </w:rPr>
        <w:t>zobowiązuje swoją przewodniczącą do przekazania stanowiska Parlamentu Radzie i Komisji oraz parlamentom narodowym</w:t>
      </w:r>
      <w:r w:rsidRPr="00963148">
        <w:rPr>
          <w:lang w:val="pl-PL"/>
        </w:rPr>
        <w:t>.</w:t>
      </w:r>
    </w:p>
    <w:p w:rsidR="00963148" w:rsidRPr="00963148" w:rsidRDefault="00963148" w:rsidP="00AE51F7">
      <w:pPr>
        <w:pStyle w:val="Normal12"/>
        <w:rPr>
          <w:lang w:val="pl-PL"/>
        </w:rPr>
      </w:pPr>
    </w:p>
    <w:p w:rsidR="00AE51F7" w:rsidRPr="00963148" w:rsidRDefault="00AE51F7" w:rsidP="00AE51F7">
      <w:pPr>
        <w:pStyle w:val="Normal12"/>
        <w:rPr>
          <w:szCs w:val="24"/>
          <w:lang w:val="pl-PL"/>
        </w:rPr>
        <w:sectPr w:rsidR="00AE51F7" w:rsidRPr="00963148"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rsidR="00AE51F7" w:rsidRDefault="00AE51F7" w:rsidP="00AE51F7">
      <w:pPr>
        <w:spacing w:after="240"/>
        <w:rPr>
          <w:b/>
          <w:lang w:val="pl-PL"/>
        </w:rPr>
      </w:pPr>
      <w:bookmarkStart w:id="9" w:name="_Hlk163660125"/>
      <w:r>
        <w:rPr>
          <w:b/>
          <w:lang w:val="pl-PL"/>
        </w:rPr>
        <w:lastRenderedPageBreak/>
        <w:t>P9_TC1-COD(2024)0021</w:t>
      </w:r>
    </w:p>
    <w:p w:rsidR="00AE51F7" w:rsidRDefault="00AE51F7" w:rsidP="00AE51F7">
      <w:pPr>
        <w:rPr>
          <w:rFonts w:eastAsia="Calibri"/>
          <w:b/>
          <w:i/>
          <w:noProof/>
          <w:szCs w:val="22"/>
          <w:lang w:val="pl-PL"/>
        </w:rPr>
      </w:pPr>
      <w:r>
        <w:rPr>
          <w:b/>
          <w:lang w:val="pl-PL"/>
        </w:rPr>
        <w:t xml:space="preserve">Stanowisko Parlamentu Europejskiego </w:t>
      </w:r>
      <w:r w:rsidRPr="00291A00">
        <w:rPr>
          <w:b/>
          <w:lang w:val="pl-PL"/>
        </w:rPr>
        <w:t>przyj</w:t>
      </w:r>
      <w:r>
        <w:rPr>
          <w:b/>
          <w:lang w:val="pl-PL"/>
        </w:rPr>
        <w:t>ęte w pierwszym czytaniu w dniu 25 kwietnia 2024 r.</w:t>
      </w:r>
      <w:r w:rsidRPr="00291A00">
        <w:rPr>
          <w:b/>
          <w:lang w:val="pl-PL"/>
        </w:rPr>
        <w:t xml:space="preserve"> </w:t>
      </w:r>
      <w:r w:rsidRPr="00741191">
        <w:rPr>
          <w:b/>
          <w:lang w:val="pl-PL"/>
        </w:rPr>
        <w:t>w celu przyjęcia rozporządzenia Parlamentu Europ</w:t>
      </w:r>
      <w:r>
        <w:rPr>
          <w:b/>
          <w:lang w:val="pl-PL"/>
        </w:rPr>
        <w:t>ejskiego i Rady (UE) 2024/...</w:t>
      </w:r>
      <w:r w:rsidRPr="00741191">
        <w:rPr>
          <w:b/>
          <w:lang w:val="pl-PL"/>
        </w:rPr>
        <w:t xml:space="preserve"> </w:t>
      </w:r>
      <w:r w:rsidRPr="00EF6F9E">
        <w:rPr>
          <w:rFonts w:eastAsia="Calibri"/>
          <w:b/>
          <w:noProof/>
          <w:szCs w:val="22"/>
          <w:lang w:val="pl-PL"/>
        </w:rPr>
        <w:t xml:space="preserve">w sprawie zmiany rozporządzenia (UE) 2017/745 i (UE) 2017/746 w odniesieniu do stopniowego wdrażania bazy danych Eudamed, obowiązku w zakresie informowania w przypadku przerwy w dostawach lub ich zawieszeniu oraz przepisów przejściowych dotyczących określonych wyrobów </w:t>
      </w:r>
      <w:bookmarkStart w:id="10" w:name="_Hlk163478662"/>
      <w:r w:rsidRPr="00EF6F9E">
        <w:rPr>
          <w:rFonts w:eastAsia="Calibri"/>
          <w:b/>
          <w:noProof/>
          <w:szCs w:val="22"/>
          <w:lang w:val="pl-PL"/>
        </w:rPr>
        <w:t xml:space="preserve">medycznych do diagnostyki </w:t>
      </w:r>
      <w:bookmarkStart w:id="11" w:name="_GoBack"/>
      <w:r w:rsidRPr="00394151">
        <w:rPr>
          <w:rFonts w:eastAsia="Calibri"/>
          <w:b/>
          <w:noProof/>
          <w:szCs w:val="22"/>
          <w:lang w:val="pl-PL"/>
        </w:rPr>
        <w:t>in vitro</w:t>
      </w:r>
      <w:bookmarkEnd w:id="10"/>
      <w:bookmarkEnd w:id="11"/>
    </w:p>
    <w:p w:rsidR="00394151" w:rsidRDefault="00394151" w:rsidP="00AE51F7">
      <w:pPr>
        <w:rPr>
          <w:rFonts w:eastAsia="Calibri"/>
          <w:b/>
          <w:i/>
          <w:noProof/>
          <w:szCs w:val="22"/>
          <w:lang w:val="pl-PL"/>
        </w:rPr>
      </w:pPr>
    </w:p>
    <w:bookmarkEnd w:id="9"/>
    <w:p w:rsidR="00394151" w:rsidRPr="00EF6F9E" w:rsidRDefault="00394151" w:rsidP="00AE51F7">
      <w:pPr>
        <w:rPr>
          <w:rFonts w:eastAsia="Calibri"/>
          <w:b/>
          <w:noProof/>
          <w:szCs w:val="22"/>
          <w:lang w:val="pl-PL"/>
        </w:rPr>
      </w:pPr>
      <w:r w:rsidRPr="0044243D">
        <w:rPr>
          <w:i/>
          <w:lang w:val="pl-PL"/>
        </w:rPr>
        <w:t>(Jako że pomiędzy Parlamentem i Radą osiągnięte zostało porozumienie, stanowisko Parlamentu odpowiada ostatecznej wersji aktu prawnego</w:t>
      </w:r>
      <w:r>
        <w:rPr>
          <w:i/>
          <w:lang w:val="pl-PL"/>
        </w:rPr>
        <w:t>, rozporządzenia (UE) 2024/1860</w:t>
      </w:r>
      <w:r>
        <w:rPr>
          <w:i/>
          <w:lang w:val="pl-PL"/>
        </w:rPr>
        <w:t>.)</w:t>
      </w:r>
    </w:p>
    <w:sectPr w:rsidR="00394151" w:rsidRPr="00EF6F9E" w:rsidSect="00D30217">
      <w:footerReference w:type="default" r:id="rId15"/>
      <w:footnotePr>
        <w:numRestart w:val="eachSect"/>
      </w:footnotePr>
      <w:endnotePr>
        <w:numFmt w:val="decimal"/>
      </w:end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1F7" w:rsidRDefault="00AE51F7" w:rsidP="009C4014">
      <w:r>
        <w:separator/>
      </w:r>
    </w:p>
  </w:endnote>
  <w:endnote w:type="continuationSeparator" w:id="0">
    <w:p w:rsidR="00AE51F7" w:rsidRDefault="00AE51F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975" w:rsidRDefault="00394151" w:rsidP="00984975">
    <w:pPr>
      <w:pStyle w:val="Footer"/>
      <w:tabs>
        <w:tab w:val="center" w:pos="3119"/>
        <w:tab w:val="center" w:pos="5954"/>
        <w:tab w:val="center" w:pos="8364"/>
        <w:tab w:val="left" w:pos="9072"/>
      </w:tabs>
      <w:rPr>
        <w:rFonts w:cs="Calibri"/>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1F7" w:rsidRDefault="00AE51F7" w:rsidP="009C4014">
      <w:r>
        <w:separator/>
      </w:r>
    </w:p>
  </w:footnote>
  <w:footnote w:type="continuationSeparator" w:id="0">
    <w:p w:rsidR="00AE51F7" w:rsidRDefault="00AE51F7" w:rsidP="009C4014">
      <w:r>
        <w:continuationSeparator/>
      </w:r>
    </w:p>
  </w:footnote>
  <w:footnote w:id="1">
    <w:p w:rsidR="00AE51F7" w:rsidRPr="00AE51F7" w:rsidRDefault="00AE51F7" w:rsidP="00AE51F7">
      <w:pPr>
        <w:pStyle w:val="FootnoteText"/>
        <w:ind w:left="567" w:hanging="567"/>
        <w:rPr>
          <w:sz w:val="24"/>
          <w:lang w:val="pl-PL"/>
        </w:rPr>
      </w:pPr>
      <w:r w:rsidRPr="000F176F">
        <w:rPr>
          <w:rStyle w:val="FootnoteReference"/>
          <w:sz w:val="24"/>
          <w:lang w:val="en-GB"/>
        </w:rPr>
        <w:footnoteRef/>
      </w:r>
      <w:r w:rsidRPr="00AE51F7">
        <w:rPr>
          <w:sz w:val="24"/>
          <w:lang w:val="pl-PL"/>
        </w:rPr>
        <w:t xml:space="preserve"> </w:t>
      </w:r>
      <w:r w:rsidRPr="00AE51F7">
        <w:rPr>
          <w:sz w:val="24"/>
          <w:lang w:val="pl-PL"/>
        </w:rPr>
        <w:tab/>
        <w:t xml:space="preserve">Dotychczas </w:t>
      </w:r>
      <w:r w:rsidR="00963148">
        <w:rPr>
          <w:sz w:val="24"/>
          <w:lang w:val="pl-PL"/>
        </w:rPr>
        <w:t>nieopublikowana w Dzienniku Urz</w:t>
      </w:r>
      <w:r w:rsidR="00963148" w:rsidRPr="00AE51F7">
        <w:rPr>
          <w:lang w:val="pl-PL"/>
        </w:rPr>
        <w:t>ę</w:t>
      </w:r>
      <w:r w:rsidRPr="00AE51F7">
        <w:rPr>
          <w:sz w:val="24"/>
          <w:lang w:val="pl-PL"/>
        </w:rPr>
        <w:t>dowym.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ctiveWritingStyle w:appName="MSWord" w:lang="pl-PL" w:vendorID="12"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1F7"/>
    <w:rsid w:val="00013B2A"/>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4151"/>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63148"/>
    <w:rsid w:val="009865B7"/>
    <w:rsid w:val="009B7E10"/>
    <w:rsid w:val="009C4014"/>
    <w:rsid w:val="009F28EF"/>
    <w:rsid w:val="00A1739E"/>
    <w:rsid w:val="00A54EF8"/>
    <w:rsid w:val="00AE51F7"/>
    <w:rsid w:val="00B54C72"/>
    <w:rsid w:val="00B85C1E"/>
    <w:rsid w:val="00C15516"/>
    <w:rsid w:val="00C16C81"/>
    <w:rsid w:val="00C57739"/>
    <w:rsid w:val="00C60DCF"/>
    <w:rsid w:val="00C65BE8"/>
    <w:rsid w:val="00CB451F"/>
    <w:rsid w:val="00CC4897"/>
    <w:rsid w:val="00D202A4"/>
    <w:rsid w:val="00D91669"/>
    <w:rsid w:val="00DE27F1"/>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C53E8"/>
  <w15:chartTrackingRefBased/>
  <w15:docId w15:val="{B4CCC64C-4EB2-441A-901A-F07137502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basedOn w:val="DefaultParagraphFont"/>
    <w:link w:val="FootnoteText"/>
    <w:rsid w:val="00AE51F7"/>
    <w:rPr>
      <w:sz w:val="22"/>
      <w:lang w:val="fr-FR"/>
    </w:rPr>
  </w:style>
  <w:style w:type="character" w:customStyle="1" w:styleId="FooterChar">
    <w:name w:val="Footer Char"/>
    <w:basedOn w:val="DefaultParagraphFont"/>
    <w:link w:val="Footer"/>
    <w:uiPriority w:val="99"/>
    <w:rsid w:val="00AE51F7"/>
    <w:rPr>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B5596-D6A8-4724-8874-6DFC1D534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BOZYK-MAZURENKO Agnieszka</dc:creator>
  <cp:keywords/>
  <cp:lastModifiedBy>BOZYK-MAZURENKO Agnieszka</cp:lastModifiedBy>
  <cp:revision>2</cp:revision>
  <cp:lastPrinted>2014-08-07T13:15:00Z</cp:lastPrinted>
  <dcterms:created xsi:type="dcterms:W3CDTF">2024-10-04T07:46:00Z</dcterms:created>
  <dcterms:modified xsi:type="dcterms:W3CDTF">2024-10-04T07:46:00Z</dcterms:modified>
</cp:coreProperties>
</file>