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575F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575F1" w:rsidRDefault="001F6A15" w:rsidP="0010095E">
            <w:pPr>
              <w:pStyle w:val="EPName"/>
            </w:pPr>
            <w:bookmarkStart w:id="0" w:name="_GoBack"/>
            <w:bookmarkEnd w:id="0"/>
            <w:r w:rsidRPr="001575F1">
              <w:t>Evropský parlament</w:t>
            </w:r>
          </w:p>
          <w:p w:rsidR="00751A4A" w:rsidRPr="001575F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575F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1575F1" w:rsidRDefault="00187494" w:rsidP="0010095E">
            <w:pPr>
              <w:pStyle w:val="EPLogo"/>
            </w:pPr>
            <w:r w:rsidRPr="001575F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575F1" w:rsidRDefault="00D058B8" w:rsidP="004C5D52">
      <w:pPr>
        <w:pStyle w:val="LineTop"/>
      </w:pPr>
    </w:p>
    <w:p w:rsidR="00680577" w:rsidRPr="001575F1" w:rsidRDefault="001F6A15" w:rsidP="00680577">
      <w:pPr>
        <w:pStyle w:val="EPBodyTA1"/>
      </w:pPr>
      <w:r w:rsidRPr="001575F1">
        <w:t>PŘIJATÉ TEXTY</w:t>
      </w:r>
    </w:p>
    <w:p w:rsidR="00D058B8" w:rsidRPr="001575F1" w:rsidRDefault="00D058B8" w:rsidP="00D058B8">
      <w:pPr>
        <w:pStyle w:val="LineBottom"/>
      </w:pPr>
    </w:p>
    <w:p w:rsidR="001F6A15" w:rsidRPr="001575F1" w:rsidRDefault="001F6A15" w:rsidP="001F6A15">
      <w:pPr>
        <w:pStyle w:val="ATHeading1"/>
      </w:pPr>
      <w:bookmarkStart w:id="1" w:name="TANumber"/>
      <w:r w:rsidRPr="001575F1">
        <w:t>P9_TA(2024)0</w:t>
      </w:r>
      <w:bookmarkEnd w:id="1"/>
      <w:r w:rsidR="00574E60">
        <w:t>369</w:t>
      </w:r>
    </w:p>
    <w:p w:rsidR="001F6A15" w:rsidRPr="001575F1" w:rsidRDefault="001F6A15" w:rsidP="001F6A15">
      <w:pPr>
        <w:pStyle w:val="ATHeading2"/>
      </w:pPr>
      <w:bookmarkStart w:id="2" w:name="title"/>
      <w:r w:rsidRPr="001575F1">
        <w:t xml:space="preserve">Ázerbájdžán, zejména represe proti občanské společnosti a případy dr. </w:t>
      </w:r>
      <w:proofErr w:type="spellStart"/>
      <w:r w:rsidRPr="001575F1">
        <w:t>Gubada</w:t>
      </w:r>
      <w:proofErr w:type="spellEnd"/>
      <w:r w:rsidRPr="001575F1">
        <w:t xml:space="preserve"> </w:t>
      </w:r>
      <w:proofErr w:type="spellStart"/>
      <w:r w:rsidRPr="001575F1">
        <w:t>Ibadoghlua</w:t>
      </w:r>
      <w:proofErr w:type="spellEnd"/>
      <w:r w:rsidRPr="001575F1">
        <w:t xml:space="preserve"> </w:t>
      </w:r>
      <w:proofErr w:type="spellStart"/>
      <w:r w:rsidRPr="001575F1">
        <w:t>Bayramova</w:t>
      </w:r>
      <w:proofErr w:type="spellEnd"/>
      <w:r w:rsidRPr="001575F1">
        <w:t xml:space="preserve"> a </w:t>
      </w:r>
      <w:proofErr w:type="spellStart"/>
      <w:r w:rsidRPr="001575F1">
        <w:t>Ilhamize</w:t>
      </w:r>
      <w:proofErr w:type="spellEnd"/>
      <w:r w:rsidRPr="001575F1">
        <w:t xml:space="preserve"> </w:t>
      </w:r>
      <w:proofErr w:type="spellStart"/>
      <w:r w:rsidRPr="001575F1">
        <w:t>Guliyeva</w:t>
      </w:r>
      <w:bookmarkEnd w:id="2"/>
      <w:proofErr w:type="spellEnd"/>
    </w:p>
    <w:p w:rsidR="001F6A15" w:rsidRPr="001575F1" w:rsidRDefault="001F6A15" w:rsidP="001F6A15">
      <w:pPr>
        <w:rPr>
          <w:i/>
          <w:vanish/>
        </w:rPr>
      </w:pPr>
      <w:r w:rsidRPr="001575F1">
        <w:rPr>
          <w:i/>
        </w:rPr>
        <w:fldChar w:fldCharType="begin"/>
      </w:r>
      <w:r w:rsidRPr="001575F1">
        <w:rPr>
          <w:i/>
        </w:rPr>
        <w:instrText xml:space="preserve"> TC"(</w:instrText>
      </w:r>
      <w:bookmarkStart w:id="3" w:name="DocNumber"/>
      <w:r w:rsidRPr="001575F1">
        <w:rPr>
          <w:i/>
        </w:rPr>
        <w:instrText>B9-0227, 0230, 0231, 0232 a 0236/2024</w:instrText>
      </w:r>
      <w:bookmarkEnd w:id="3"/>
      <w:r w:rsidRPr="001575F1">
        <w:rPr>
          <w:i/>
        </w:rPr>
        <w:instrText xml:space="preserve">)"\l3 \n&gt; \* MERGEFORMAT </w:instrText>
      </w:r>
      <w:r w:rsidRPr="001575F1">
        <w:rPr>
          <w:i/>
        </w:rPr>
        <w:fldChar w:fldCharType="end"/>
      </w:r>
    </w:p>
    <w:p w:rsidR="001F6A15" w:rsidRPr="001575F1" w:rsidRDefault="001F6A15" w:rsidP="001F6A15">
      <w:pPr>
        <w:rPr>
          <w:vanish/>
        </w:rPr>
      </w:pPr>
      <w:bookmarkStart w:id="4" w:name="PE"/>
      <w:r w:rsidRPr="001575F1">
        <w:rPr>
          <w:vanish/>
        </w:rPr>
        <w:t>PE760.691</w:t>
      </w:r>
      <w:bookmarkEnd w:id="4"/>
    </w:p>
    <w:p w:rsidR="001F6A15" w:rsidRPr="001575F1" w:rsidRDefault="001F6A15" w:rsidP="001F6A15">
      <w:pPr>
        <w:pStyle w:val="ATHeading3"/>
      </w:pPr>
      <w:bookmarkStart w:id="5" w:name="Sujet"/>
      <w:r w:rsidRPr="001575F1">
        <w:t xml:space="preserve">Usnesení </w:t>
      </w:r>
      <w:r w:rsidR="00F52453">
        <w:t>Evropského parlamentu ze dne 25. dubna</w:t>
      </w:r>
      <w:r w:rsidRPr="001575F1">
        <w:t xml:space="preserve"> 2024 o Ázerbájdžánu, zejména o represi proti občanské společnosti a případech dr. </w:t>
      </w:r>
      <w:proofErr w:type="spellStart"/>
      <w:r w:rsidRPr="001575F1">
        <w:t>Qubada</w:t>
      </w:r>
      <w:proofErr w:type="spellEnd"/>
      <w:r w:rsidRPr="001575F1">
        <w:t xml:space="preserve"> </w:t>
      </w:r>
      <w:proofErr w:type="spellStart"/>
      <w:r w:rsidRPr="001575F1">
        <w:t>İbadoğlua</w:t>
      </w:r>
      <w:proofErr w:type="spellEnd"/>
      <w:r w:rsidRPr="001575F1">
        <w:t xml:space="preserve"> </w:t>
      </w:r>
      <w:proofErr w:type="spellStart"/>
      <w:r w:rsidRPr="001575F1">
        <w:t>Bayramova</w:t>
      </w:r>
      <w:proofErr w:type="spellEnd"/>
      <w:r w:rsidRPr="001575F1">
        <w:t xml:space="preserve"> a </w:t>
      </w:r>
      <w:proofErr w:type="spellStart"/>
      <w:r w:rsidRPr="001575F1">
        <w:t>İlhamize</w:t>
      </w:r>
      <w:proofErr w:type="spellEnd"/>
      <w:r w:rsidRPr="001575F1">
        <w:t xml:space="preserve"> </w:t>
      </w:r>
      <w:proofErr w:type="spellStart"/>
      <w:r w:rsidRPr="001575F1">
        <w:t>Quliyeva</w:t>
      </w:r>
      <w:bookmarkEnd w:id="5"/>
      <w:proofErr w:type="spellEnd"/>
      <w:r w:rsidRPr="001575F1">
        <w:t xml:space="preserve"> </w:t>
      </w:r>
      <w:bookmarkStart w:id="6" w:name="References"/>
      <w:r w:rsidRPr="001575F1">
        <w:t>(2024/2698(RSP))</w:t>
      </w:r>
      <w:bookmarkEnd w:id="6"/>
    </w:p>
    <w:p w:rsidR="001F6A15" w:rsidRPr="001575F1" w:rsidRDefault="001F6A15" w:rsidP="001F6A15"/>
    <w:p w:rsidR="00282467" w:rsidRPr="001575F1" w:rsidRDefault="00282467" w:rsidP="00282467">
      <w:pPr>
        <w:pStyle w:val="Normal12"/>
      </w:pPr>
      <w:bookmarkStart w:id="7" w:name="TextBodyBegin"/>
      <w:bookmarkEnd w:id="7"/>
      <w:r w:rsidRPr="001575F1">
        <w:rPr>
          <w:i/>
        </w:rPr>
        <w:t>Evropský parlament</w:t>
      </w:r>
      <w:r w:rsidRPr="001575F1">
        <w:t>,</w:t>
      </w:r>
    </w:p>
    <w:p w:rsidR="00282467" w:rsidRPr="001575F1" w:rsidRDefault="00282467" w:rsidP="00282467">
      <w:pPr>
        <w:pStyle w:val="NormalHanging12a"/>
      </w:pPr>
      <w:r w:rsidRPr="001575F1">
        <w:t>–</w:t>
      </w:r>
      <w:r w:rsidRPr="001575F1">
        <w:tab/>
        <w:t>s ohledem na svá předchozí usnesení o Ázerbájdžánu,</w:t>
      </w:r>
    </w:p>
    <w:p w:rsidR="00282467" w:rsidRPr="001575F1" w:rsidRDefault="00282467" w:rsidP="00282467">
      <w:pPr>
        <w:pStyle w:val="NormalHanging12a"/>
      </w:pPr>
      <w:r w:rsidRPr="001575F1">
        <w:t>–</w:t>
      </w:r>
      <w:r w:rsidRPr="001575F1">
        <w:tab/>
        <w:t>s ohledem na čl. 144 odst. 5 a čl. 132 odst. 4 jednacího řádu,</w:t>
      </w:r>
    </w:p>
    <w:p w:rsidR="00282467" w:rsidRPr="001575F1" w:rsidRDefault="00282467" w:rsidP="00282467">
      <w:pPr>
        <w:pStyle w:val="NormalHanging12a"/>
        <w:rPr>
          <w:shd w:val="clear" w:color="auto" w:fill="FFFFFF"/>
        </w:rPr>
      </w:pPr>
      <w:r w:rsidRPr="001575F1">
        <w:t>A.</w:t>
      </w:r>
      <w:r w:rsidRPr="001575F1">
        <w:tab/>
        <w:t xml:space="preserve">vzhledem k tomu, že v Ázerbájdžánu dochází na základě zadržování a soudního pronásledování k intenzivnějšímu utlačování občanské společnosti, aktivistů a zbývajících nezávislých médií, jako je společnost </w:t>
      </w:r>
      <w:proofErr w:type="spellStart"/>
      <w:r w:rsidRPr="001575F1">
        <w:t>Abzas</w:t>
      </w:r>
      <w:proofErr w:type="spellEnd"/>
      <w:r w:rsidRPr="001575F1">
        <w:t xml:space="preserve"> Media;</w:t>
      </w:r>
      <w:r w:rsidRPr="001575F1">
        <w:rPr>
          <w:rStyle w:val="NoneA"/>
          <w:color w:val="000000"/>
        </w:rPr>
        <w:t xml:space="preserve"> vzhledem k tomu, že podle organizací občanské společnosti je v současné době v Ázerbájdžánu  téměř 300 politických vězňů;</w:t>
      </w:r>
      <w:r w:rsidR="00574E60">
        <w:rPr>
          <w:rStyle w:val="NoneA"/>
          <w:color w:val="000000"/>
        </w:rPr>
        <w:t xml:space="preserve"> </w:t>
      </w:r>
      <w:r w:rsidR="00574E60" w:rsidRPr="00574E60">
        <w:rPr>
          <w:rStyle w:val="NoneA"/>
          <w:color w:val="000000"/>
        </w:rPr>
        <w:t xml:space="preserve">vzhledem k tomu, že podle indexu Svoboda ve světě v roce 2024, který vydává organizace </w:t>
      </w:r>
      <w:proofErr w:type="spellStart"/>
      <w:r w:rsidR="00574E60" w:rsidRPr="00574E60">
        <w:rPr>
          <w:rStyle w:val="NoneA"/>
          <w:color w:val="000000"/>
        </w:rPr>
        <w:t>Freedom</w:t>
      </w:r>
      <w:proofErr w:type="spellEnd"/>
      <w:r w:rsidR="00574E60" w:rsidRPr="00574E60">
        <w:rPr>
          <w:rStyle w:val="NoneA"/>
          <w:color w:val="000000"/>
        </w:rPr>
        <w:t xml:space="preserve"> House, se Ázerbájdžán řadí mezi nejméně svobodné země na světě, ještě níže než Rusko a Bělorusko; </w:t>
      </w:r>
    </w:p>
    <w:p w:rsidR="00282467" w:rsidRPr="001575F1" w:rsidRDefault="00282467" w:rsidP="00282467">
      <w:pPr>
        <w:pStyle w:val="NormalHanging12a"/>
        <w:rPr>
          <w:szCs w:val="24"/>
        </w:rPr>
      </w:pPr>
      <w:r w:rsidRPr="001575F1">
        <w:rPr>
          <w:rStyle w:val="NoneA"/>
          <w:color w:val="000000"/>
        </w:rPr>
        <w:t>B.</w:t>
      </w:r>
      <w:r w:rsidRPr="001575F1">
        <w:rPr>
          <w:shd w:val="clear" w:color="auto" w:fill="FFFFFF"/>
        </w:rPr>
        <w:tab/>
      </w:r>
      <w:r w:rsidRPr="001575F1">
        <w:t xml:space="preserve">vzhledem k tomu, že v červenci 2023 byl ázerbájdžánskými orgány zatčen politický ekonom a představitel opozice </w:t>
      </w:r>
      <w:proofErr w:type="spellStart"/>
      <w:r w:rsidRPr="001575F1">
        <w:t>Qubad</w:t>
      </w:r>
      <w:proofErr w:type="spellEnd"/>
      <w:r w:rsidRPr="001575F1">
        <w:t xml:space="preserve"> </w:t>
      </w:r>
      <w:proofErr w:type="spellStart"/>
      <w:r w:rsidRPr="001575F1">
        <w:t>İbadoğlu</w:t>
      </w:r>
      <w:proofErr w:type="spellEnd"/>
      <w:r w:rsidRPr="001575F1">
        <w:t>, který zůstal ve vazbě do 22. dubna 2024, kdy byl umístěn do domácího vězení; vzhledem k tomu, že od zatčení u něj došlo v důsledku mučení, nelidských vazebních podmínek a odpírání odpovídající zdravotní péče, což ho ohrožovalo na životě, k závažnému zhoršení zdravotního stavu;</w:t>
      </w:r>
    </w:p>
    <w:p w:rsidR="00282467" w:rsidRPr="001575F1" w:rsidRDefault="00282467" w:rsidP="00282467">
      <w:pPr>
        <w:pStyle w:val="NormalHanging12a"/>
        <w:rPr>
          <w:szCs w:val="24"/>
        </w:rPr>
      </w:pPr>
      <w:r w:rsidRPr="001575F1">
        <w:rPr>
          <w:rStyle w:val="NoneA"/>
          <w:color w:val="000000"/>
        </w:rPr>
        <w:t>C.</w:t>
      </w:r>
      <w:r w:rsidRPr="001575F1">
        <w:tab/>
      </w:r>
      <w:r w:rsidRPr="001575F1">
        <w:rPr>
          <w:rStyle w:val="NoneA"/>
          <w:color w:val="000000"/>
        </w:rPr>
        <w:t xml:space="preserve">vzhledem k tomu, že dne 4. prosince 2023 byl na základě pochybných obvinění, že obchoduje s omamnými látkami, svévolně zadržen obránce lidských práv </w:t>
      </w:r>
      <w:proofErr w:type="spellStart"/>
      <w:r w:rsidRPr="001575F1">
        <w:rPr>
          <w:rStyle w:val="NoneA"/>
          <w:color w:val="000000"/>
        </w:rPr>
        <w:t>İlhamiz</w:t>
      </w:r>
      <w:proofErr w:type="spellEnd"/>
      <w:r w:rsidRPr="001575F1">
        <w:rPr>
          <w:rStyle w:val="NoneA"/>
          <w:color w:val="000000"/>
        </w:rPr>
        <w:t xml:space="preserve"> </w:t>
      </w:r>
      <w:proofErr w:type="spellStart"/>
      <w:r w:rsidRPr="001575F1">
        <w:rPr>
          <w:rStyle w:val="NoneA"/>
          <w:color w:val="000000"/>
        </w:rPr>
        <w:t>Quliyev</w:t>
      </w:r>
      <w:proofErr w:type="spellEnd"/>
      <w:r w:rsidRPr="001575F1">
        <w:rPr>
          <w:rStyle w:val="NoneA"/>
          <w:color w:val="000000"/>
        </w:rPr>
        <w:t>, a to poté, co vypovídal jako oznamovatel o tom, jak policie manipuluje s důkazy proti kritikům vlády; vzhledem k tomu, že mu hrozí až 12 let odnětí svobody;</w:t>
      </w:r>
    </w:p>
    <w:p w:rsidR="00282467" w:rsidRPr="001575F1" w:rsidRDefault="00282467" w:rsidP="00282467">
      <w:pPr>
        <w:pStyle w:val="NormalHanging12a"/>
        <w:rPr>
          <w:rStyle w:val="normaltextrun"/>
          <w:color w:val="000000"/>
        </w:rPr>
      </w:pPr>
      <w:r w:rsidRPr="001575F1">
        <w:rPr>
          <w:rStyle w:val="None"/>
          <w:color w:val="000000"/>
        </w:rPr>
        <w:t>1.</w:t>
      </w:r>
      <w:r w:rsidRPr="001575F1">
        <w:tab/>
        <w:t xml:space="preserve">naléhavě vyzývá Ázerbájdžán k okamžitému bezpodmínečnému propuštění </w:t>
      </w:r>
      <w:proofErr w:type="spellStart"/>
      <w:r w:rsidRPr="001575F1">
        <w:t>İlhamize</w:t>
      </w:r>
      <w:proofErr w:type="spellEnd"/>
      <w:r w:rsidRPr="001575F1">
        <w:t xml:space="preserve"> </w:t>
      </w:r>
      <w:proofErr w:type="spellStart"/>
      <w:r w:rsidRPr="001575F1">
        <w:t>Quliyeva</w:t>
      </w:r>
      <w:proofErr w:type="spellEnd"/>
      <w:r w:rsidRPr="001575F1">
        <w:t xml:space="preserve">; konstatuje, že </w:t>
      </w:r>
      <w:proofErr w:type="spellStart"/>
      <w:r w:rsidRPr="001575F1">
        <w:t>Qubad</w:t>
      </w:r>
      <w:proofErr w:type="spellEnd"/>
      <w:r w:rsidRPr="001575F1">
        <w:t xml:space="preserve"> </w:t>
      </w:r>
      <w:proofErr w:type="spellStart"/>
      <w:r w:rsidRPr="001575F1">
        <w:t>İbadoğlu</w:t>
      </w:r>
      <w:proofErr w:type="spellEnd"/>
      <w:r w:rsidRPr="001575F1">
        <w:t xml:space="preserve"> byl propuštěn a umístěn do domácího vězení, a vyzývá ázerbájdžánské orgány, aby mu zrušily zákaz cestování a odvolaly veškerá obvinění proti němu; </w:t>
      </w:r>
      <w:r w:rsidRPr="001575F1">
        <w:rPr>
          <w:rStyle w:val="normaltextrun"/>
          <w:color w:val="000000"/>
        </w:rPr>
        <w:t xml:space="preserve">vyzývá Ázerbájdžán, aby mu urychleně zajistil nezávislé lékařské </w:t>
      </w:r>
      <w:r w:rsidRPr="001575F1">
        <w:rPr>
          <w:rStyle w:val="normaltextrun"/>
          <w:color w:val="000000"/>
        </w:rPr>
        <w:lastRenderedPageBreak/>
        <w:t>vyšetření, které provede lékař, jehož si sám vybere, a aby mu umožnil podstoupit léčbu v zahraničí;</w:t>
      </w:r>
    </w:p>
    <w:p w:rsidR="00282467" w:rsidRPr="001575F1" w:rsidRDefault="00282467" w:rsidP="00282467">
      <w:pPr>
        <w:pStyle w:val="NormalHanging12a"/>
      </w:pPr>
      <w:r w:rsidRPr="001575F1">
        <w:rPr>
          <w:rStyle w:val="None"/>
          <w:color w:val="000000"/>
        </w:rPr>
        <w:t>2.</w:t>
      </w:r>
      <w:r w:rsidRPr="001575F1">
        <w:rPr>
          <w:rStyle w:val="None"/>
          <w:color w:val="000000"/>
        </w:rPr>
        <w:tab/>
      </w:r>
      <w:r w:rsidRPr="001575F1">
        <w:t xml:space="preserve">naléhavě vyzývá Ázerbájdžán, aby okamžitě bezpodmínečně propustil všechny další politické vězně, včetně </w:t>
      </w:r>
      <w:proofErr w:type="spellStart"/>
      <w:r w:rsidRPr="001575F1">
        <w:t>Tofiqa</w:t>
      </w:r>
      <w:proofErr w:type="spellEnd"/>
      <w:r w:rsidRPr="001575F1">
        <w:t xml:space="preserve"> </w:t>
      </w:r>
      <w:proofErr w:type="spellStart"/>
      <w:r w:rsidRPr="001575F1">
        <w:t>Yaqublua</w:t>
      </w:r>
      <w:proofErr w:type="spellEnd"/>
      <w:r w:rsidRPr="001575F1">
        <w:t xml:space="preserve">, </w:t>
      </w:r>
      <w:proofErr w:type="spellStart"/>
      <w:r w:rsidRPr="001575F1">
        <w:t>Akifa</w:t>
      </w:r>
      <w:proofErr w:type="spellEnd"/>
      <w:r w:rsidRPr="001575F1">
        <w:t xml:space="preserve"> </w:t>
      </w:r>
      <w:proofErr w:type="spellStart"/>
      <w:r w:rsidRPr="001575F1">
        <w:t>Qurbanova</w:t>
      </w:r>
      <w:proofErr w:type="spellEnd"/>
      <w:r w:rsidRPr="001575F1">
        <w:t xml:space="preserve">, </w:t>
      </w:r>
      <w:proofErr w:type="spellStart"/>
      <w:r w:rsidRPr="001575F1">
        <w:t>Baxtiyara</w:t>
      </w:r>
      <w:proofErr w:type="spellEnd"/>
      <w:r w:rsidRPr="001575F1">
        <w:t xml:space="preserve"> </w:t>
      </w:r>
      <w:proofErr w:type="spellStart"/>
      <w:r w:rsidRPr="001575F1">
        <w:t>Hacıyeva</w:t>
      </w:r>
      <w:proofErr w:type="spellEnd"/>
      <w:r w:rsidRPr="001575F1">
        <w:t xml:space="preserve">, obránců lidských práv a novinářů </w:t>
      </w:r>
      <w:proofErr w:type="spellStart"/>
      <w:r w:rsidRPr="001575F1">
        <w:t>Ülviho</w:t>
      </w:r>
      <w:proofErr w:type="spellEnd"/>
      <w:r w:rsidRPr="001575F1">
        <w:t xml:space="preserve"> </w:t>
      </w:r>
      <w:proofErr w:type="spellStart"/>
      <w:r w:rsidRPr="001575F1">
        <w:t>Hasanliho</w:t>
      </w:r>
      <w:proofErr w:type="spellEnd"/>
      <w:r w:rsidRPr="001575F1">
        <w:t xml:space="preserve">, </w:t>
      </w:r>
      <w:proofErr w:type="spellStart"/>
      <w:r w:rsidRPr="001575F1">
        <w:t>Sevinc</w:t>
      </w:r>
      <w:proofErr w:type="spellEnd"/>
      <w:r w:rsidRPr="001575F1">
        <w:t xml:space="preserve"> </w:t>
      </w:r>
      <w:proofErr w:type="spellStart"/>
      <w:r w:rsidRPr="001575F1">
        <w:t>Vaqifqızı</w:t>
      </w:r>
      <w:proofErr w:type="spellEnd"/>
      <w:r w:rsidRPr="001575F1">
        <w:t xml:space="preserve"> </w:t>
      </w:r>
      <w:proofErr w:type="spellStart"/>
      <w:r w:rsidRPr="001575F1">
        <w:t>Abbasovové</w:t>
      </w:r>
      <w:proofErr w:type="spellEnd"/>
      <w:r w:rsidRPr="001575F1">
        <w:t xml:space="preserve">, </w:t>
      </w:r>
      <w:proofErr w:type="spellStart"/>
      <w:r w:rsidRPr="001575F1">
        <w:t>Nargiz</w:t>
      </w:r>
      <w:proofErr w:type="spellEnd"/>
      <w:r w:rsidRPr="001575F1">
        <w:t xml:space="preserve"> </w:t>
      </w:r>
      <w:proofErr w:type="spellStart"/>
      <w:r w:rsidRPr="001575F1">
        <w:t>Absalamovové</w:t>
      </w:r>
      <w:proofErr w:type="spellEnd"/>
      <w:r w:rsidRPr="001575F1">
        <w:t xml:space="preserve">, </w:t>
      </w:r>
      <w:proofErr w:type="spellStart"/>
      <w:r w:rsidRPr="001575F1">
        <w:t>Hafize</w:t>
      </w:r>
      <w:proofErr w:type="spellEnd"/>
      <w:r w:rsidRPr="001575F1">
        <w:t xml:space="preserve"> </w:t>
      </w:r>
      <w:proofErr w:type="spellStart"/>
      <w:r w:rsidRPr="001575F1">
        <w:t>Babalıho</w:t>
      </w:r>
      <w:proofErr w:type="spellEnd"/>
      <w:r w:rsidRPr="001575F1">
        <w:t xml:space="preserve">, </w:t>
      </w:r>
      <w:proofErr w:type="spellStart"/>
      <w:r w:rsidRPr="001575F1">
        <w:t>Elnary</w:t>
      </w:r>
      <w:proofErr w:type="spellEnd"/>
      <w:r w:rsidRPr="001575F1">
        <w:t xml:space="preserve"> </w:t>
      </w:r>
      <w:proofErr w:type="spellStart"/>
      <w:r w:rsidRPr="001575F1">
        <w:t>Qasımovové</w:t>
      </w:r>
      <w:proofErr w:type="spellEnd"/>
      <w:r w:rsidRPr="001575F1">
        <w:t xml:space="preserve">, </w:t>
      </w:r>
      <w:proofErr w:type="spellStart"/>
      <w:r w:rsidRPr="001575F1">
        <w:t>Azize</w:t>
      </w:r>
      <w:proofErr w:type="spellEnd"/>
      <w:r w:rsidRPr="001575F1">
        <w:t xml:space="preserve"> </w:t>
      </w:r>
      <w:proofErr w:type="spellStart"/>
      <w:r w:rsidRPr="001575F1">
        <w:t>Orucova</w:t>
      </w:r>
      <w:proofErr w:type="spellEnd"/>
      <w:r w:rsidRPr="001575F1">
        <w:t xml:space="preserve">, </w:t>
      </w:r>
      <w:proofErr w:type="spellStart"/>
      <w:r w:rsidRPr="001575F1">
        <w:t>Rufata</w:t>
      </w:r>
      <w:proofErr w:type="spellEnd"/>
      <w:r w:rsidRPr="001575F1">
        <w:t xml:space="preserve"> </w:t>
      </w:r>
      <w:proofErr w:type="spellStart"/>
      <w:r w:rsidRPr="001575F1">
        <w:t>Muradliho</w:t>
      </w:r>
      <w:proofErr w:type="spellEnd"/>
      <w:r w:rsidRPr="001575F1">
        <w:t xml:space="preserve">, </w:t>
      </w:r>
      <w:proofErr w:type="spellStart"/>
      <w:r w:rsidRPr="001575F1">
        <w:t>Avaze</w:t>
      </w:r>
      <w:proofErr w:type="spellEnd"/>
      <w:r w:rsidRPr="001575F1">
        <w:t xml:space="preserve"> </w:t>
      </w:r>
      <w:proofErr w:type="spellStart"/>
      <w:r w:rsidRPr="001575F1">
        <w:t>Zeynalliho</w:t>
      </w:r>
      <w:proofErr w:type="spellEnd"/>
      <w:r w:rsidRPr="001575F1">
        <w:t xml:space="preserve">, </w:t>
      </w:r>
      <w:proofErr w:type="spellStart"/>
      <w:r w:rsidRPr="001575F1">
        <w:t>Elnura</w:t>
      </w:r>
      <w:proofErr w:type="spellEnd"/>
      <w:r w:rsidRPr="001575F1">
        <w:t xml:space="preserve"> </w:t>
      </w:r>
      <w:proofErr w:type="spellStart"/>
      <w:r w:rsidRPr="001575F1">
        <w:t>Şükürova</w:t>
      </w:r>
      <w:proofErr w:type="spellEnd"/>
      <w:r w:rsidRPr="001575F1">
        <w:t xml:space="preserve">, </w:t>
      </w:r>
      <w:proofErr w:type="spellStart"/>
      <w:r w:rsidRPr="001575F1">
        <w:t>Alasqara</w:t>
      </w:r>
      <w:proofErr w:type="spellEnd"/>
      <w:r w:rsidRPr="001575F1">
        <w:t xml:space="preserve"> </w:t>
      </w:r>
      <w:proofErr w:type="spellStart"/>
      <w:r w:rsidRPr="001575F1">
        <w:t>Mammadliho</w:t>
      </w:r>
      <w:proofErr w:type="spellEnd"/>
      <w:r w:rsidRPr="001575F1">
        <w:t xml:space="preserve">, Farida </w:t>
      </w:r>
      <w:proofErr w:type="spellStart"/>
      <w:r w:rsidRPr="001575F1">
        <w:t>İsmayilova</w:t>
      </w:r>
      <w:proofErr w:type="spellEnd"/>
      <w:r w:rsidRPr="001575F1">
        <w:t>, a také státní příslušníky EU a dalších států;</w:t>
      </w:r>
    </w:p>
    <w:p w:rsidR="00282467" w:rsidRPr="001575F1" w:rsidRDefault="00282467" w:rsidP="00282467">
      <w:pPr>
        <w:pStyle w:val="NormalHanging12a"/>
        <w:rPr>
          <w:rStyle w:val="None"/>
          <w:color w:val="000000"/>
        </w:rPr>
      </w:pPr>
      <w:r w:rsidRPr="001575F1">
        <w:rPr>
          <w:rStyle w:val="None"/>
          <w:color w:val="000000"/>
        </w:rPr>
        <w:t>3.</w:t>
      </w:r>
      <w:r w:rsidRPr="001575F1">
        <w:tab/>
        <w:t>připomíná ázerbájdžánským orgánům jejich povinnost respektovat lidskou důstojnost a dodržovat základní svobody a vyzývá je ke zrušení represivních právních předpisů, kvůli nimž se ocitají nezávislé nevládní organizace a sdělovací prostředky na hranici práva;</w:t>
      </w:r>
    </w:p>
    <w:p w:rsidR="00282467" w:rsidRPr="001575F1" w:rsidRDefault="00282467" w:rsidP="00282467">
      <w:pPr>
        <w:pStyle w:val="NormalHanging12a"/>
      </w:pPr>
      <w:r w:rsidRPr="001575F1">
        <w:rPr>
          <w:rStyle w:val="None"/>
          <w:color w:val="000000"/>
        </w:rPr>
        <w:t>4.</w:t>
      </w:r>
      <w:r w:rsidRPr="001575F1">
        <w:rPr>
          <w:rStyle w:val="None"/>
          <w:color w:val="000000"/>
        </w:rPr>
        <w:tab/>
      </w:r>
      <w:r w:rsidRPr="001575F1">
        <w:t>domnívá se, že pokračující porušování lidských práv v Ázerbájdžánu není v souladu s přípravami této země na pořádání konference COP29;</w:t>
      </w:r>
      <w:r w:rsidRPr="001575F1">
        <w:rPr>
          <w:rStyle w:val="None"/>
          <w:color w:val="000000"/>
        </w:rPr>
        <w:t xml:space="preserve"> </w:t>
      </w:r>
      <w:r w:rsidRPr="001575F1">
        <w:t>požaduje, aby pořadatelé zajistili, aby byly v dohodě s pořádající zemí v plném rozsahu zakotveny a zaručeny lidská práva, základní svobody a účinná účast občanské společnosti;</w:t>
      </w:r>
    </w:p>
    <w:p w:rsidR="00282467" w:rsidRPr="001575F1" w:rsidRDefault="00282467" w:rsidP="00282467">
      <w:pPr>
        <w:pStyle w:val="NormalHanging12a"/>
        <w:rPr>
          <w:rStyle w:val="None"/>
          <w:color w:val="000000"/>
          <w:szCs w:val="24"/>
        </w:rPr>
      </w:pPr>
      <w:r w:rsidRPr="001575F1">
        <w:rPr>
          <w:rStyle w:val="None"/>
          <w:color w:val="000000"/>
        </w:rPr>
        <w:t>5.</w:t>
      </w:r>
      <w:r w:rsidRPr="001575F1">
        <w:tab/>
        <w:t>vyzývá Komisi, aby posoudila možnost pozastavení strategického partnerství s Ázerbájdžánem v oblasti energetiky; trvá na tom, že budoucí dohoda o partnerství musí být podmíněna propuštěním všech politických vězňů a zlepšením celkové situace v oblasti lidských práv v této zemi;</w:t>
      </w:r>
    </w:p>
    <w:p w:rsidR="00282467" w:rsidRPr="001575F1" w:rsidRDefault="00282467" w:rsidP="00282467">
      <w:pPr>
        <w:pStyle w:val="NormalHanging12a"/>
      </w:pPr>
      <w:r w:rsidRPr="001575F1">
        <w:t>6.</w:t>
      </w:r>
      <w:r w:rsidRPr="001575F1">
        <w:rPr>
          <w:rStyle w:val="None"/>
          <w:color w:val="000000"/>
        </w:rPr>
        <w:tab/>
      </w:r>
      <w:r w:rsidRPr="001575F1">
        <w:t>vyzývá zvláštního zástupce EU pro lidská práva, aby požadoval možnost setkat se s politickými vězni v Ázerbájdžánu;</w:t>
      </w:r>
    </w:p>
    <w:p w:rsidR="00282467" w:rsidRPr="001575F1" w:rsidRDefault="00282467" w:rsidP="00282467">
      <w:pPr>
        <w:pStyle w:val="NormalHanging12a"/>
      </w:pPr>
      <w:r w:rsidRPr="001575F1">
        <w:t>7.</w:t>
      </w:r>
      <w:r w:rsidRPr="001575F1">
        <w:tab/>
        <w:t>znovu vyzývá k uvalení unijních sankcí v rámci globálního režimu sankcí EU v oblasti lidských práv na ázerbájdžánské činitele, kteří se dopouštějí závažného porušování lidských práv;</w:t>
      </w:r>
    </w:p>
    <w:p w:rsidR="00282467" w:rsidRPr="001575F1" w:rsidRDefault="00282467" w:rsidP="00282467">
      <w:pPr>
        <w:pStyle w:val="NormalHanging12a"/>
        <w:rPr>
          <w:szCs w:val="24"/>
        </w:rPr>
      </w:pPr>
      <w:r w:rsidRPr="001575F1">
        <w:rPr>
          <w:rStyle w:val="None"/>
          <w:color w:val="000000"/>
        </w:rPr>
        <w:t>8.</w:t>
      </w:r>
      <w:r w:rsidRPr="001575F1">
        <w:tab/>
      </w:r>
      <w:r w:rsidRPr="001575F1">
        <w:rPr>
          <w:rStyle w:val="None"/>
          <w:color w:val="000000"/>
        </w:rPr>
        <w:t>pověřuje svou předsedkyni, aby předala toto usnesení Radě, Komisi, místopředsedovi Komise, vysokému představiteli Unie pro zahraniční věci a bezpečnostní politiku, členským státům a prezidentovi, vládě a parlamentu Ázerbájdžánu.</w:t>
      </w:r>
    </w:p>
    <w:p w:rsidR="00282467" w:rsidRPr="001575F1" w:rsidRDefault="00282467" w:rsidP="00282467">
      <w:pPr>
        <w:pStyle w:val="NormalHanging12a"/>
      </w:pPr>
    </w:p>
    <w:sectPr w:rsidR="00282467" w:rsidRPr="001575F1" w:rsidSect="001575F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6A15" w:rsidRPr="001575F1" w:rsidRDefault="001F6A15">
      <w:r w:rsidRPr="001575F1">
        <w:separator/>
      </w:r>
    </w:p>
  </w:endnote>
  <w:endnote w:type="continuationSeparator" w:id="0">
    <w:p w:rsidR="001F6A15" w:rsidRPr="001575F1" w:rsidRDefault="001F6A15">
      <w:r w:rsidRPr="001575F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575F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575F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575F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6A15" w:rsidRPr="001575F1" w:rsidRDefault="001F6A15">
      <w:r w:rsidRPr="001575F1">
        <w:separator/>
      </w:r>
    </w:p>
  </w:footnote>
  <w:footnote w:type="continuationSeparator" w:id="0">
    <w:p w:rsidR="001F6A15" w:rsidRPr="001575F1" w:rsidRDefault="001F6A15">
      <w:r w:rsidRPr="001575F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575F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575F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575F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27, 0230, 0231, 0232 a 0236/2024"/>
    <w:docVar w:name="dvlangue" w:val="CS"/>
    <w:docVar w:name="dvnumam" w:val="0"/>
    <w:docVar w:name="dvpe" w:val="760.691"/>
    <w:docVar w:name="dvtitre" w:val="Usnesení Evropského parlamentu ze dne.... 2024 o Ázerbájdžánu, zejména o represi proti občanské společnosti a případech dr. Qubada İbadoğlua Bayramova a İlhamize Quliyeva(2024/2698(RSP))"/>
  </w:docVars>
  <w:rsids>
    <w:rsidRoot w:val="001F6A15"/>
    <w:rsid w:val="00002272"/>
    <w:rsid w:val="00064002"/>
    <w:rsid w:val="000677B9"/>
    <w:rsid w:val="000831BA"/>
    <w:rsid w:val="000A42CC"/>
    <w:rsid w:val="000E7DD9"/>
    <w:rsid w:val="0010095E"/>
    <w:rsid w:val="00125B37"/>
    <w:rsid w:val="001575F1"/>
    <w:rsid w:val="00187494"/>
    <w:rsid w:val="001F32AE"/>
    <w:rsid w:val="001F6A15"/>
    <w:rsid w:val="002767FF"/>
    <w:rsid w:val="00282467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4E6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73CC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42D1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2453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D8E893-4F86-45FD-87DB-8CEE935ED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282467"/>
    <w:pPr>
      <w:spacing w:after="240"/>
      <w:ind w:left="567" w:hanging="567"/>
    </w:pPr>
  </w:style>
  <w:style w:type="paragraph" w:customStyle="1" w:styleId="Normal12">
    <w:name w:val="Normal12"/>
    <w:basedOn w:val="Normal"/>
    <w:link w:val="Normal12Char"/>
    <w:rsid w:val="00282467"/>
    <w:pPr>
      <w:spacing w:after="240"/>
    </w:pPr>
  </w:style>
  <w:style w:type="character" w:customStyle="1" w:styleId="normaltextrun">
    <w:name w:val="normaltextrun"/>
    <w:basedOn w:val="DefaultParagraphFont"/>
    <w:rsid w:val="00282467"/>
  </w:style>
  <w:style w:type="character" w:customStyle="1" w:styleId="Normal12Char">
    <w:name w:val="Normal12 Char"/>
    <w:basedOn w:val="DefaultParagraphFont"/>
    <w:link w:val="Normal12"/>
    <w:rsid w:val="00282467"/>
    <w:rPr>
      <w:sz w:val="24"/>
      <w:lang w:val="cs-CZ"/>
    </w:rPr>
  </w:style>
  <w:style w:type="character" w:customStyle="1" w:styleId="NormalHanging12aChar">
    <w:name w:val="NormalHanging12a Char"/>
    <w:basedOn w:val="DefaultParagraphFont"/>
    <w:link w:val="NormalHanging12a"/>
    <w:locked/>
    <w:rsid w:val="00282467"/>
    <w:rPr>
      <w:sz w:val="24"/>
      <w:lang w:val="cs-CZ"/>
    </w:rPr>
  </w:style>
  <w:style w:type="character" w:customStyle="1" w:styleId="NoneA">
    <w:name w:val="None A"/>
    <w:basedOn w:val="DefaultParagraphFont"/>
    <w:rsid w:val="00282467"/>
  </w:style>
  <w:style w:type="character" w:customStyle="1" w:styleId="None">
    <w:name w:val="None"/>
    <w:rsid w:val="002824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D43702-F663-490C-9B02-AFD18C58F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589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2024-04-25T11:39:00Z</dcterms:created>
  <dcterms:modified xsi:type="dcterms:W3CDTF">2024-04-25T11:39:00Z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B9-0227, 0230, 0231, 0232 a 0236/2024</vt:lpwstr>
  </property>
  <property fmtid="{D5CDD505-2E9C-101B-9397-08002B2CF9AE}" pid="4" name="&lt;Type&gt;">
    <vt:lpwstr>RR</vt:lpwstr>
  </property>
</Properties>
</file>