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E5F" w:rsidTr="0010095E">
        <w:trPr>
          <w:trHeight w:hRule="exact" w:val="1418"/>
        </w:trPr>
        <w:tc>
          <w:tcPr>
            <w:tcW w:w="6804" w:type="dxa"/>
            <w:shd w:val="clear" w:color="auto" w:fill="auto"/>
            <w:vAlign w:val="center"/>
          </w:tcPr>
          <w:p w:rsidR="00751A4A" w:rsidRPr="00041E5F" w:rsidRDefault="00313BEC" w:rsidP="0010095E">
            <w:pPr>
              <w:pStyle w:val="EPName"/>
            </w:pPr>
            <w:r w:rsidRPr="00041E5F">
              <w:t>Euroopan parlamentti</w:t>
            </w:r>
          </w:p>
          <w:p w:rsidR="00751A4A" w:rsidRPr="00041E5F" w:rsidRDefault="00817416" w:rsidP="00756632">
            <w:pPr>
              <w:pStyle w:val="EPTerm"/>
              <w:rPr>
                <w:rStyle w:val="HideTWBExt"/>
                <w:noProof w:val="0"/>
                <w:vanish w:val="0"/>
                <w:color w:val="auto"/>
              </w:rPr>
            </w:pPr>
            <w:r w:rsidRPr="00041E5F">
              <w:t>2019-2024</w:t>
            </w:r>
          </w:p>
        </w:tc>
        <w:tc>
          <w:tcPr>
            <w:tcW w:w="2268" w:type="dxa"/>
            <w:shd w:val="clear" w:color="auto" w:fill="auto"/>
          </w:tcPr>
          <w:p w:rsidR="00751A4A" w:rsidRPr="00041E5F" w:rsidRDefault="00187494" w:rsidP="0010095E">
            <w:pPr>
              <w:pStyle w:val="EPLogo"/>
            </w:pPr>
            <w:r w:rsidRPr="00041E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1E5F" w:rsidRDefault="00D058B8" w:rsidP="004C5D52">
      <w:pPr>
        <w:pStyle w:val="LineTop"/>
      </w:pPr>
    </w:p>
    <w:p w:rsidR="00680577" w:rsidRPr="00041E5F" w:rsidRDefault="00313BEC" w:rsidP="00680577">
      <w:pPr>
        <w:pStyle w:val="EPBodyTA1"/>
      </w:pPr>
      <w:r w:rsidRPr="00041E5F">
        <w:t>HYVÄKSYTYT TEKSTIT</w:t>
      </w:r>
    </w:p>
    <w:p w:rsidR="00D058B8" w:rsidRPr="00041E5F" w:rsidRDefault="00D058B8" w:rsidP="00D058B8">
      <w:pPr>
        <w:pStyle w:val="LineBottom"/>
      </w:pPr>
    </w:p>
    <w:p w:rsidR="00313BEC" w:rsidRPr="00041E5F" w:rsidRDefault="00313BEC" w:rsidP="00313BEC">
      <w:pPr>
        <w:pStyle w:val="ATHeading1"/>
      </w:pPr>
      <w:bookmarkStart w:id="0" w:name="TANumber"/>
      <w:r w:rsidRPr="00041E5F">
        <w:t>P9_TA(2024)</w:t>
      </w:r>
      <w:bookmarkEnd w:id="0"/>
      <w:r w:rsidR="005D59CD" w:rsidRPr="00041E5F">
        <w:t>0</w:t>
      </w:r>
      <w:r w:rsidR="005D59CD">
        <w:t>371</w:t>
      </w:r>
    </w:p>
    <w:p w:rsidR="00313BEC" w:rsidRPr="00041E5F" w:rsidRDefault="00D41131" w:rsidP="00313BEC">
      <w:pPr>
        <w:pStyle w:val="ATHeading2"/>
      </w:pPr>
      <w:bookmarkStart w:id="1" w:name="title"/>
      <w:r w:rsidRPr="00D41131">
        <w:rPr>
          <w:bCs/>
        </w:rPr>
        <w:t>Uusi turvallisuuslaki Hongkongissa ja Andy Lin ja Joseph Johnin tapaukset</w:t>
      </w:r>
      <w:bookmarkEnd w:id="1"/>
    </w:p>
    <w:p w:rsidR="00313BEC" w:rsidRPr="00041E5F" w:rsidRDefault="00313BEC" w:rsidP="00313BEC">
      <w:pPr>
        <w:rPr>
          <w:i/>
          <w:vanish/>
        </w:rPr>
      </w:pPr>
      <w:r w:rsidRPr="00041E5F">
        <w:rPr>
          <w:i/>
        </w:rPr>
        <w:fldChar w:fldCharType="begin"/>
      </w:r>
      <w:r w:rsidRPr="00041E5F">
        <w:rPr>
          <w:i/>
        </w:rPr>
        <w:instrText xml:space="preserve"> TC"(</w:instrText>
      </w:r>
      <w:bookmarkStart w:id="2" w:name="DocNumber"/>
      <w:r w:rsidRPr="00041E5F">
        <w:rPr>
          <w:i/>
        </w:rPr>
        <w:instrText>B9-</w:instrText>
      </w:r>
      <w:r w:rsidR="00D41131" w:rsidRPr="005B0D7E">
        <w:rPr>
          <w:i/>
        </w:rPr>
        <w:instrText>0238</w:instrText>
      </w:r>
      <w:r w:rsidR="00D41131">
        <w:rPr>
          <w:i/>
        </w:rPr>
        <w:instrText>, 0241, 0254, 0257 ja 0258</w:instrText>
      </w:r>
      <w:r w:rsidRPr="00041E5F">
        <w:rPr>
          <w:i/>
        </w:rPr>
        <w:instrText>/2024</w:instrText>
      </w:r>
      <w:bookmarkEnd w:id="2"/>
      <w:r w:rsidRPr="00041E5F">
        <w:rPr>
          <w:i/>
        </w:rPr>
        <w:instrText xml:space="preserve">)"\l3 \n&gt; \* MERGEFORMAT </w:instrText>
      </w:r>
      <w:r w:rsidRPr="00041E5F">
        <w:rPr>
          <w:i/>
        </w:rPr>
        <w:fldChar w:fldCharType="end"/>
      </w:r>
    </w:p>
    <w:p w:rsidR="00313BEC" w:rsidRPr="00041E5F" w:rsidRDefault="00313BEC" w:rsidP="00313BEC">
      <w:pPr>
        <w:rPr>
          <w:vanish/>
        </w:rPr>
      </w:pPr>
      <w:bookmarkStart w:id="3" w:name="PE"/>
      <w:r w:rsidRPr="00041E5F">
        <w:rPr>
          <w:vanish/>
        </w:rPr>
        <w:t>PE762.549</w:t>
      </w:r>
      <w:bookmarkEnd w:id="3"/>
    </w:p>
    <w:p w:rsidR="00313BEC" w:rsidRPr="00041E5F" w:rsidRDefault="00313BEC" w:rsidP="00313BEC">
      <w:pPr>
        <w:pStyle w:val="ATHeading3"/>
      </w:pPr>
      <w:bookmarkStart w:id="4" w:name="Sujet"/>
      <w:r w:rsidRPr="00041E5F">
        <w:t xml:space="preserve">Euroopan parlamentin päätöslauselma </w:t>
      </w:r>
      <w:r w:rsidR="00D41131">
        <w:t>25</w:t>
      </w:r>
      <w:r w:rsidRPr="00041E5F">
        <w:t xml:space="preserve">. </w:t>
      </w:r>
      <w:r w:rsidR="00D41131">
        <w:t>huhti</w:t>
      </w:r>
      <w:r w:rsidRPr="00041E5F">
        <w:t>kuuta 2024 uudesta turvallisuuslaista Hongkongissa ja Andy Lin ja Joseph Johnin tapauksista</w:t>
      </w:r>
      <w:bookmarkEnd w:id="4"/>
      <w:r w:rsidRPr="00041E5F">
        <w:t xml:space="preserve"> </w:t>
      </w:r>
      <w:bookmarkStart w:id="5" w:name="References"/>
      <w:r w:rsidRPr="00041E5F">
        <w:t>(2024/2700(RSP))</w:t>
      </w:r>
      <w:bookmarkEnd w:id="5"/>
    </w:p>
    <w:p w:rsidR="006C6522" w:rsidRPr="00041E5F" w:rsidRDefault="006C6522" w:rsidP="00D41131">
      <w:pPr>
        <w:pStyle w:val="EPComma"/>
        <w:widowControl/>
      </w:pPr>
      <w:bookmarkStart w:id="6" w:name="TextBodyBegin"/>
      <w:bookmarkEnd w:id="6"/>
      <w:r w:rsidRPr="00041E5F">
        <w:rPr>
          <w:i/>
          <w:iCs/>
        </w:rPr>
        <w:t>Euroopan parlamentti</w:t>
      </w:r>
      <w:r w:rsidRPr="00041E5F">
        <w:t>, joka</w:t>
      </w:r>
    </w:p>
    <w:p w:rsidR="006C6522" w:rsidRPr="00041E5F" w:rsidRDefault="006C6522" w:rsidP="00D41131">
      <w:pPr>
        <w:pStyle w:val="NormalHanging12a"/>
        <w:widowControl/>
      </w:pPr>
      <w:r w:rsidRPr="00041E5F">
        <w:t>–</w:t>
      </w:r>
      <w:r w:rsidRPr="00041E5F">
        <w:tab/>
        <w:t>ottaa huomioon työjärjestyksen 144 artiklan 5 kohdan ja 132 artiklan 4 kohdan,</w:t>
      </w:r>
    </w:p>
    <w:p w:rsidR="006C6522" w:rsidRPr="00041E5F" w:rsidRDefault="006C6522" w:rsidP="00D41131">
      <w:pPr>
        <w:pStyle w:val="NormalHanging12a"/>
        <w:widowControl/>
      </w:pPr>
      <w:r w:rsidRPr="00041E5F">
        <w:t>A.</w:t>
      </w:r>
      <w:r w:rsidRPr="00041E5F">
        <w:tab/>
        <w:t>ottaa huomioon, että Hongkongin lainsäädäntöneuvosto hyväksyi 19. maaliskuuta 2024 Hongkongin perustuslain 23 pykälän perusteella kansallisen turvallisuuden takaamista koskevan asetuksen (Safeguarding National Security Ordinance); ottaa huomioon, että kyseisellä asetuksella laajennetaan</w:t>
      </w:r>
      <w:bookmarkStart w:id="7" w:name="_GoBack"/>
      <w:bookmarkEnd w:id="7"/>
      <w:r w:rsidRPr="00041E5F">
        <w:t xml:space="preserve"> Kiinan kansantasavallan säätämää kansallisen turvallisuuden lakia ja annetaan valtuudet vieläkin radikaalimpaan perusvapauksien ja </w:t>
      </w:r>
      <w:r w:rsidRPr="00041E5F">
        <w:noBreakHyphen/>
        <w:t>oikeuksien loukkaamiseen Kiinan ja Yhdistyneen kuningaskunnan ja Kiinan ja Portugalin yhteisten julistusten, ”yksi maa, kaksi järjestelmää” -periaatteen sekä kansainvälisten ihmisoikeusvelvoitteiden vastaisesti;</w:t>
      </w:r>
    </w:p>
    <w:p w:rsidR="006C6522" w:rsidRPr="00041E5F" w:rsidRDefault="006C6522" w:rsidP="00D41131">
      <w:pPr>
        <w:pStyle w:val="NormalHanging12a"/>
        <w:widowControl/>
      </w:pPr>
      <w:r w:rsidRPr="00041E5F">
        <w:t>B.</w:t>
      </w:r>
      <w:r w:rsidRPr="00041E5F">
        <w:tab/>
        <w:t>ottaa huomioon, että demokratia-aktivisti Andy Li, joka on keskeinen todistaja Jimmy Lain oikeudenkäynnissä, väitetysti tunnusti – kidutettuna – syyllistyneensä salaliittoon ja salaiseen yhteistyöhön ulkomaisten yhteisöjen kanssa; ottaa huomioon, että kidutusta käsittelevä YK:n erityisraportoija on ilmaissut huolensa asiasta;</w:t>
      </w:r>
    </w:p>
    <w:p w:rsidR="006C6522" w:rsidRPr="00041E5F" w:rsidRDefault="006C6522" w:rsidP="00D41131">
      <w:pPr>
        <w:pStyle w:val="NormalHanging12a"/>
        <w:widowControl/>
      </w:pPr>
      <w:r w:rsidRPr="00041E5F">
        <w:t>C.</w:t>
      </w:r>
      <w:r w:rsidRPr="00041E5F">
        <w:tab/>
        <w:t>ottaa huomioon, että Hongkongin ja Portugalin kaksoiskansalaisen Joseph Johnin tapaus on ensimmäinen, jossa kansallisen turvallisuuden lakia sovelletaan ekstraterritoriaalisesti EU:n kansalaiseen; ottaa huomioon, että John pidätettiin, koska hän oli väitetysti julkaissut sosiaalisessa mediassa Kiinan vastaista sisältöä ja yllyttänyt Euroopasta käsin ”irtautumiseen”, ja toteaa, että hänet tuomittiin 11. huhtikuuta 2024 viideksi vuodeksi vankeuteen;</w:t>
      </w:r>
    </w:p>
    <w:p w:rsidR="006C6522" w:rsidRPr="00041E5F" w:rsidRDefault="006C6522" w:rsidP="00D41131">
      <w:pPr>
        <w:pStyle w:val="NormalHanging12a"/>
        <w:widowControl/>
      </w:pPr>
      <w:r w:rsidRPr="00041E5F">
        <w:t>D.</w:t>
      </w:r>
      <w:r w:rsidRPr="00041E5F">
        <w:tab/>
        <w:t>ottaa huomioon, että Puolan kansalainen Aleksandra Bielakowska, joka aikoi osallistua Lain oikeudenkäyntiin, pidätettiin hänen saapuessaan Hongkongiin, häntä kuulusteltiin ja hänet karkotettiin;</w:t>
      </w:r>
    </w:p>
    <w:p w:rsidR="006C6522" w:rsidRPr="00041E5F" w:rsidRDefault="006C6522" w:rsidP="00D41131">
      <w:pPr>
        <w:pStyle w:val="NormalHanging12a"/>
        <w:widowControl/>
      </w:pPr>
      <w:r w:rsidRPr="00041E5F">
        <w:t>1.</w:t>
      </w:r>
      <w:r w:rsidRPr="00041E5F">
        <w:tab/>
        <w:t xml:space="preserve">tuomitsee jyrkästi kansallisen turvallisuuden takaamista koskevan asetuksen antamisen, sillä se hävittää perusvapauksien viimeisetkin jäänteet Hongkongista; on tyrmistynyt demokratiaa edistävien poliittisten voimien, kansalaisyhteiskunnan ja uutiskanavien vaientamisesta ja yli 200 ihmisen pidättämisestä kansallisen turvallisuuden lain hyväksymisen jälkeen; kehottaa Kiinan kansantasavaltaa ja Hongkongia kumoamaan </w:t>
      </w:r>
      <w:r w:rsidRPr="00041E5F">
        <w:lastRenderedPageBreak/>
        <w:t>kansallisen turvallisuuden lain ja kansallisen turvallisuuden takaamista koskevan asetuksen;</w:t>
      </w:r>
    </w:p>
    <w:p w:rsidR="006C6522" w:rsidRPr="00041E5F" w:rsidRDefault="006C6522" w:rsidP="00D41131">
      <w:pPr>
        <w:pStyle w:val="NormalHanging12a"/>
        <w:widowControl/>
      </w:pPr>
      <w:r w:rsidRPr="00041E5F">
        <w:t>2.</w:t>
      </w:r>
      <w:r w:rsidRPr="00041E5F">
        <w:tab/>
        <w:t>kehottaa Hongkongin hallitusta vapauttamaan välittömästi ja ehdoitta Lin, Johnin, Lain, Kok Tsz-lunin ja kaikki muut demokratian puolesta toimivat edustajat ja aktivistit, jotka on pidätetty vapauksiensa ja demokraattisten oikeuksiensa käyttämisen vuoksi, ja vaatii luopumaan kaikista heitä vastaan nostetuista syytteistä;</w:t>
      </w:r>
    </w:p>
    <w:p w:rsidR="006C6522" w:rsidRPr="00041E5F" w:rsidRDefault="006C6522" w:rsidP="00D41131">
      <w:pPr>
        <w:pStyle w:val="NormalHanging12a"/>
        <w:widowControl/>
      </w:pPr>
      <w:r w:rsidRPr="00041E5F">
        <w:t>3.</w:t>
      </w:r>
      <w:r w:rsidRPr="00041E5F">
        <w:tab/>
        <w:t>korostaa kansallisen turvallisuuden takaamista koskevan asetuksen heikentävän lehdistönvapautta; kehottaa viranomaisia lopettamaan toimittajien ahdistelun ja syytteeseenpanon;</w:t>
      </w:r>
    </w:p>
    <w:p w:rsidR="006C6522" w:rsidRPr="00041E5F" w:rsidRDefault="006C6522" w:rsidP="00D41131">
      <w:pPr>
        <w:pStyle w:val="NormalHanging12a"/>
        <w:widowControl/>
      </w:pPr>
      <w:r w:rsidRPr="00041E5F">
        <w:t>4.</w:t>
      </w:r>
      <w:r w:rsidRPr="00041E5F">
        <w:tab/>
        <w:t>on huolissaan siitä, että kansallisen turvallisuuden takaamista koskeva asetus vaikuttaa merkittävästi EU:n edustuston ja jäsenvaltioiden pääkonsulaattien toimintaan sekä EU:n kansalaisiin, organisaatioihin ja yrityksiin Hongkongissa;</w:t>
      </w:r>
    </w:p>
    <w:p w:rsidR="006C6522" w:rsidRPr="00041E5F" w:rsidRDefault="006C6522" w:rsidP="00D41131">
      <w:pPr>
        <w:pStyle w:val="NormalHanging12a"/>
        <w:widowControl/>
      </w:pPr>
      <w:r w:rsidRPr="00041E5F">
        <w:t>5.</w:t>
      </w:r>
      <w:r w:rsidRPr="00041E5F">
        <w:tab/>
        <w:t>kehottaa neuvostoa tarkistamaan Hongkongia koskevia vuoden 2020 päätelmiään ja hyväksymään EU:n maailmanlaajuisen ihmisoikeuspakotejärjestelmän mukaisia pakotteita Hongkongin alueen hallintojohtajaa John Leetä ja kaikkia Hongkongin ja Kiinan kansantasavallan virkamiehiä vastaan, jotka ovat vastuussa vapauksien tukahduttamisesta Hongkongissa;</w:t>
      </w:r>
    </w:p>
    <w:p w:rsidR="006C6522" w:rsidRPr="00041E5F" w:rsidRDefault="006C6522" w:rsidP="00D41131">
      <w:pPr>
        <w:pStyle w:val="NormalHanging12a"/>
        <w:widowControl/>
      </w:pPr>
      <w:r w:rsidRPr="00041E5F">
        <w:t>6.</w:t>
      </w:r>
      <w:r w:rsidRPr="00041E5F">
        <w:tab/>
        <w:t>tuomitsee oikeudenkäyntien seurannan estämisen ja korostaa, että riittävä tuki oikeudenkäyntien ja ihmisoikeuksien asiaankuuluvalle seurannalle ja siitä raportoinnille on asetettava etusijalle, ja toteaa, että siihen kuuluu myös yhteyspisteiden perustaminen ihmisoikeuksien puolustajille koordinoidusti samanmielisten kumppanien kanssa;</w:t>
      </w:r>
    </w:p>
    <w:p w:rsidR="006C6522" w:rsidRPr="00041E5F" w:rsidRDefault="006C6522" w:rsidP="00D41131">
      <w:pPr>
        <w:pStyle w:val="NormalHanging12a"/>
        <w:widowControl/>
      </w:pPr>
      <w:r w:rsidRPr="00041E5F">
        <w:t>7.</w:t>
      </w:r>
      <w:r w:rsidRPr="00041E5F">
        <w:tab/>
        <w:t>on huolissaan siitä, että kansallisen turvallisuuden takaamista koskevaa asetusta sovelletaan ekstraterritoriaalisesti ja taannehtivasti maailmanlaajuisesti; tuomitsee sen kohdistamisen hongkongilaisiin maahanmuuttajayhteisöihin EU:ssa ja Kiinan kansantasavallan johtoa arvosteleviin politiikkoihin ja julkisuuden henkilöihin; kehottaa jäsenvaltioita keskeyttämään Kiinan kansantasavallan ja Hongkongin kanssa tehtyjen luovutussopimusten soveltamisen ja ottamaan käyttöön viisumi- ja turvapaikkajärjestelmiä (”lifeboat schemes”) vaarassa olevia hongkongilaisia aktivisteja ja toimittajia varten;</w:t>
      </w:r>
    </w:p>
    <w:p w:rsidR="006C6522" w:rsidRPr="00041E5F" w:rsidRDefault="006C6522" w:rsidP="00D41131">
      <w:pPr>
        <w:pStyle w:val="NormalHanging12a"/>
        <w:widowControl/>
      </w:pPr>
      <w:r w:rsidRPr="00041E5F">
        <w:t>8.</w:t>
      </w:r>
      <w:r w:rsidRPr="00041E5F">
        <w:tab/>
        <w:t>kehottaa puhemiestä välittämään tämän päätöslauselman muille EU:n toimielimille, Kiinan kansantasavallan hallitukselle ja parlamentille, Hongkongin alueen hallintojohtajalle ja lainsäädäntöneuvostolle sekä EU:n Hongkongin-edustustolle.</w:t>
      </w:r>
    </w:p>
    <w:sectPr w:rsidR="006C6522" w:rsidRPr="00041E5F" w:rsidSect="00041E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BEC" w:rsidRPr="00041E5F" w:rsidRDefault="00313BEC">
      <w:r w:rsidRPr="00041E5F">
        <w:separator/>
      </w:r>
    </w:p>
  </w:endnote>
  <w:endnote w:type="continuationSeparator" w:id="0">
    <w:p w:rsidR="00313BEC" w:rsidRPr="00041E5F" w:rsidRDefault="00313BEC">
      <w:r w:rsidRPr="00041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BEC" w:rsidRPr="00041E5F" w:rsidRDefault="00313BEC">
      <w:r w:rsidRPr="00041E5F">
        <w:separator/>
      </w:r>
    </w:p>
  </w:footnote>
  <w:footnote w:type="continuationSeparator" w:id="0">
    <w:p w:rsidR="00313BEC" w:rsidRPr="00041E5F" w:rsidRDefault="00313BEC">
      <w:r w:rsidRPr="00041E5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FI"/>
    <w:docVar w:name="dvnumam" w:val="0"/>
    <w:docVar w:name="dvpe" w:val="762.549"/>
    <w:docVar w:name="dvtitre" w:val="Euroopan parlamentin päätöslauselma xx. xxxkuuta 2024 uudesta turvallisuuslaista Hongkongissa ja Andy Lin ja Joseph Johnin tapauksista(2024/2700(RSP))"/>
  </w:docVars>
  <w:rsids>
    <w:rsidRoot w:val="00313BEC"/>
    <w:rsid w:val="00002272"/>
    <w:rsid w:val="00041E5F"/>
    <w:rsid w:val="00064002"/>
    <w:rsid w:val="000677B9"/>
    <w:rsid w:val="000831BA"/>
    <w:rsid w:val="000A42CC"/>
    <w:rsid w:val="000E7DD9"/>
    <w:rsid w:val="0010095E"/>
    <w:rsid w:val="00125B37"/>
    <w:rsid w:val="00187494"/>
    <w:rsid w:val="001F32AE"/>
    <w:rsid w:val="002767FF"/>
    <w:rsid w:val="002B18FE"/>
    <w:rsid w:val="002B5493"/>
    <w:rsid w:val="00313BEC"/>
    <w:rsid w:val="00343214"/>
    <w:rsid w:val="00361C00"/>
    <w:rsid w:val="00395FA1"/>
    <w:rsid w:val="003E15D4"/>
    <w:rsid w:val="00411CCE"/>
    <w:rsid w:val="0041666E"/>
    <w:rsid w:val="00421060"/>
    <w:rsid w:val="00471C19"/>
    <w:rsid w:val="004867E3"/>
    <w:rsid w:val="00494A28"/>
    <w:rsid w:val="004B7984"/>
    <w:rsid w:val="004C0004"/>
    <w:rsid w:val="004C5D52"/>
    <w:rsid w:val="0050519A"/>
    <w:rsid w:val="005072A1"/>
    <w:rsid w:val="00514517"/>
    <w:rsid w:val="00545827"/>
    <w:rsid w:val="00560270"/>
    <w:rsid w:val="005C2568"/>
    <w:rsid w:val="005D59CD"/>
    <w:rsid w:val="006037C0"/>
    <w:rsid w:val="006631B6"/>
    <w:rsid w:val="00680577"/>
    <w:rsid w:val="006C65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13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A3C695-9951-41B0-AE24-EED533F8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C6522"/>
    <w:pPr>
      <w:spacing w:after="240"/>
      <w:ind w:left="567" w:hanging="567"/>
    </w:pPr>
  </w:style>
  <w:style w:type="paragraph" w:customStyle="1" w:styleId="EPComma">
    <w:name w:val="EPComma"/>
    <w:basedOn w:val="Normal"/>
    <w:rsid w:val="006C6522"/>
    <w:pPr>
      <w:spacing w:before="480" w:after="240"/>
    </w:pPr>
  </w:style>
  <w:style w:type="character" w:customStyle="1" w:styleId="NormalHanging12aChar">
    <w:name w:val="NormalHanging12a Char"/>
    <w:basedOn w:val="DefaultParagraphFont"/>
    <w:link w:val="NormalHanging12a"/>
    <w:locked/>
    <w:rsid w:val="006C6522"/>
    <w:rPr>
      <w:sz w:val="24"/>
      <w:lang w:val="fi-FI"/>
    </w:rPr>
  </w:style>
  <w:style w:type="paragraph" w:styleId="Footer">
    <w:name w:val="footer"/>
    <w:basedOn w:val="Normal"/>
    <w:link w:val="FooterChar"/>
    <w:rsid w:val="00D41131"/>
    <w:pPr>
      <w:tabs>
        <w:tab w:val="center" w:pos="4513"/>
        <w:tab w:val="right" w:pos="9026"/>
      </w:tabs>
    </w:pPr>
  </w:style>
  <w:style w:type="character" w:customStyle="1" w:styleId="FooterChar">
    <w:name w:val="Footer Char"/>
    <w:basedOn w:val="DefaultParagraphFont"/>
    <w:link w:val="Footer"/>
    <w:rsid w:val="00D41131"/>
    <w:rPr>
      <w:sz w:val="24"/>
      <w:lang w:val="fi-FI"/>
    </w:rPr>
  </w:style>
  <w:style w:type="paragraph" w:styleId="BalloonText">
    <w:name w:val="Balloon Text"/>
    <w:basedOn w:val="Normal"/>
    <w:link w:val="BalloonTextChar"/>
    <w:rsid w:val="005D59CD"/>
    <w:rPr>
      <w:rFonts w:ascii="Segoe UI" w:hAnsi="Segoe UI" w:cs="Segoe UI"/>
      <w:sz w:val="18"/>
      <w:szCs w:val="18"/>
    </w:rPr>
  </w:style>
  <w:style w:type="character" w:customStyle="1" w:styleId="BalloonTextChar">
    <w:name w:val="Balloon Text Char"/>
    <w:basedOn w:val="DefaultParagraphFont"/>
    <w:link w:val="BalloonText"/>
    <w:rsid w:val="005D59CD"/>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FDD68-B7FE-4EA2-9E26-CFBE1DAE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4374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2024-04-25T10:46:00Z</dcterms:created>
  <dcterms:modified xsi:type="dcterms:W3CDTF">2024-04-25T10:46:00Z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B9-0238/2024</vt:lpwstr>
  </property>
  <property fmtid="{D5CDD505-2E9C-101B-9397-08002B2CF9AE}" pid="4" name="&lt;Type&gt;">
    <vt:lpwstr>RR</vt:lpwstr>
  </property>
</Properties>
</file>