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2E9" w:rsidTr="0010095E">
        <w:trPr>
          <w:trHeight w:hRule="exact" w:val="1418"/>
        </w:trPr>
        <w:tc>
          <w:tcPr>
            <w:tcW w:w="6804" w:type="dxa"/>
            <w:shd w:val="clear" w:color="auto" w:fill="auto"/>
            <w:vAlign w:val="center"/>
          </w:tcPr>
          <w:p w:rsidR="00751A4A" w:rsidRPr="003042E9" w:rsidRDefault="00EB7408" w:rsidP="0010095E">
            <w:pPr>
              <w:pStyle w:val="EPName"/>
            </w:pPr>
            <w:bookmarkStart w:id="0" w:name="_GoBack"/>
            <w:bookmarkEnd w:id="0"/>
            <w:r w:rsidRPr="003042E9">
              <w:t>Eiropas Parlaments</w:t>
            </w:r>
          </w:p>
          <w:p w:rsidR="00751A4A" w:rsidRPr="003042E9" w:rsidRDefault="00817416" w:rsidP="00756632">
            <w:pPr>
              <w:pStyle w:val="EPTerm"/>
              <w:rPr>
                <w:rStyle w:val="HideTWBExt"/>
                <w:noProof w:val="0"/>
                <w:vanish w:val="0"/>
                <w:color w:val="auto"/>
              </w:rPr>
            </w:pPr>
            <w:r w:rsidRPr="003042E9">
              <w:t>2019-2024</w:t>
            </w:r>
          </w:p>
        </w:tc>
        <w:tc>
          <w:tcPr>
            <w:tcW w:w="2268" w:type="dxa"/>
            <w:shd w:val="clear" w:color="auto" w:fill="auto"/>
          </w:tcPr>
          <w:p w:rsidR="00751A4A" w:rsidRPr="003042E9" w:rsidRDefault="00187494" w:rsidP="0010095E">
            <w:pPr>
              <w:pStyle w:val="EPLogo"/>
            </w:pPr>
            <w:r w:rsidRPr="003042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2E9" w:rsidRDefault="00D058B8" w:rsidP="004C5D52">
      <w:pPr>
        <w:pStyle w:val="LineTop"/>
      </w:pPr>
    </w:p>
    <w:p w:rsidR="00680577" w:rsidRPr="003042E9" w:rsidRDefault="00EB7408" w:rsidP="00680577">
      <w:pPr>
        <w:pStyle w:val="EPBodyTA1"/>
      </w:pPr>
      <w:r w:rsidRPr="003042E9">
        <w:t>PIEŅEMTIE TEKSTI</w:t>
      </w:r>
    </w:p>
    <w:p w:rsidR="00D058B8" w:rsidRPr="003042E9" w:rsidRDefault="00D058B8" w:rsidP="00D058B8">
      <w:pPr>
        <w:pStyle w:val="LineBottom"/>
      </w:pPr>
    </w:p>
    <w:p w:rsidR="00EB7408" w:rsidRPr="003042E9" w:rsidRDefault="00EB7408" w:rsidP="00EB7408">
      <w:pPr>
        <w:pStyle w:val="ATHeading1"/>
      </w:pPr>
      <w:bookmarkStart w:id="1" w:name="TANumber"/>
      <w:r w:rsidRPr="003042E9">
        <w:t>P9_TA(2024)0</w:t>
      </w:r>
      <w:r w:rsidR="003042E9" w:rsidRPr="003042E9">
        <w:t>371</w:t>
      </w:r>
      <w:bookmarkEnd w:id="1"/>
    </w:p>
    <w:p w:rsidR="00EB7408" w:rsidRPr="003042E9" w:rsidRDefault="00EB7408" w:rsidP="00EB7408">
      <w:pPr>
        <w:pStyle w:val="ATHeading2"/>
      </w:pPr>
      <w:bookmarkStart w:id="2" w:name="title"/>
      <w:r w:rsidRPr="003042E9">
        <w:t>.</w:t>
      </w:r>
      <w:r w:rsidR="00CD7F7D" w:rsidRPr="003042E9">
        <w:t xml:space="preserve">Jaunais drošības likums Honkongā </w:t>
      </w:r>
      <w:r w:rsidR="00CD7F7D" w:rsidRPr="003042E9">
        <w:rPr>
          <w:i/>
        </w:rPr>
        <w:t xml:space="preserve">un </w:t>
      </w:r>
      <w:proofErr w:type="spellStart"/>
      <w:r w:rsidR="00CD7F7D" w:rsidRPr="003042E9">
        <w:rPr>
          <w:i/>
        </w:rPr>
        <w:t>Andy</w:t>
      </w:r>
      <w:proofErr w:type="spellEnd"/>
      <w:r w:rsidR="00CD7F7D" w:rsidRPr="003042E9">
        <w:rPr>
          <w:i/>
        </w:rPr>
        <w:t xml:space="preserve"> </w:t>
      </w:r>
      <w:proofErr w:type="spellStart"/>
      <w:r w:rsidR="00CD7F7D" w:rsidRPr="003042E9">
        <w:rPr>
          <w:i/>
        </w:rPr>
        <w:t>Li</w:t>
      </w:r>
      <w:proofErr w:type="spellEnd"/>
      <w:r w:rsidR="00CD7F7D" w:rsidRPr="003042E9">
        <w:t xml:space="preserve"> un </w:t>
      </w:r>
      <w:proofErr w:type="spellStart"/>
      <w:r w:rsidR="00CD7F7D" w:rsidRPr="003042E9">
        <w:rPr>
          <w:i/>
        </w:rPr>
        <w:t>Joseph</w:t>
      </w:r>
      <w:proofErr w:type="spellEnd"/>
      <w:r w:rsidR="00CD7F7D" w:rsidRPr="003042E9">
        <w:rPr>
          <w:i/>
        </w:rPr>
        <w:t xml:space="preserve"> </w:t>
      </w:r>
      <w:proofErr w:type="spellStart"/>
      <w:r w:rsidR="00CD7F7D" w:rsidRPr="003042E9">
        <w:rPr>
          <w:i/>
        </w:rPr>
        <w:t>John</w:t>
      </w:r>
      <w:proofErr w:type="spellEnd"/>
      <w:r w:rsidR="00CD7F7D" w:rsidRPr="003042E9">
        <w:t xml:space="preserve"> lieta</w:t>
      </w:r>
      <w:r w:rsidRPr="003042E9">
        <w:t>..</w:t>
      </w:r>
      <w:bookmarkEnd w:id="2"/>
    </w:p>
    <w:p w:rsidR="00EB7408" w:rsidRPr="003042E9" w:rsidRDefault="00EB7408" w:rsidP="00EB7408">
      <w:pPr>
        <w:rPr>
          <w:i/>
          <w:vanish/>
        </w:rPr>
      </w:pPr>
      <w:r w:rsidRPr="003042E9">
        <w:rPr>
          <w:i/>
        </w:rPr>
        <w:fldChar w:fldCharType="begin"/>
      </w:r>
      <w:r w:rsidRPr="003042E9">
        <w:rPr>
          <w:i/>
        </w:rPr>
        <w:instrText xml:space="preserve"> TC"(</w:instrText>
      </w:r>
      <w:bookmarkStart w:id="3" w:name="DocNumber"/>
      <w:r w:rsidR="00CD7F7D" w:rsidRPr="003042E9">
        <w:rPr>
          <w:i/>
        </w:rPr>
        <w:instrText>B9-0238, 0241, 0254, 0257 un 0258/2024</w:instrText>
      </w:r>
      <w:bookmarkEnd w:id="3"/>
      <w:r w:rsidRPr="003042E9">
        <w:rPr>
          <w:i/>
        </w:rPr>
        <w:instrText xml:space="preserve">)"\l3 \n&gt; \* MERGEFORMAT </w:instrText>
      </w:r>
      <w:r w:rsidRPr="003042E9">
        <w:rPr>
          <w:i/>
        </w:rPr>
        <w:fldChar w:fldCharType="end"/>
      </w:r>
    </w:p>
    <w:p w:rsidR="00EB7408" w:rsidRPr="003042E9" w:rsidRDefault="00EB7408" w:rsidP="00EB7408">
      <w:pPr>
        <w:rPr>
          <w:vanish/>
        </w:rPr>
      </w:pPr>
      <w:bookmarkStart w:id="4" w:name="PE"/>
      <w:r w:rsidRPr="003042E9">
        <w:rPr>
          <w:vanish/>
        </w:rPr>
        <w:t>PE762.549</w:t>
      </w:r>
      <w:bookmarkEnd w:id="4"/>
    </w:p>
    <w:p w:rsidR="00EB7408" w:rsidRPr="003042E9" w:rsidRDefault="00EB7408" w:rsidP="00EB7408">
      <w:pPr>
        <w:pStyle w:val="ATHeading3"/>
      </w:pPr>
      <w:bookmarkStart w:id="5" w:name="Sujet"/>
      <w:r w:rsidRPr="003042E9">
        <w:t xml:space="preserve">Eiropas Parlamenta 2024. gada </w:t>
      </w:r>
      <w:r w:rsidR="00CD7F7D" w:rsidRPr="003042E9">
        <w:t>25. aprīļa</w:t>
      </w:r>
      <w:r w:rsidRPr="003042E9">
        <w:t xml:space="preserve">  rezolūcija par jauno drošības likumu Honkongā un </w:t>
      </w:r>
      <w:proofErr w:type="spellStart"/>
      <w:r w:rsidRPr="003042E9">
        <w:rPr>
          <w:i/>
        </w:rPr>
        <w:t>Andy</w:t>
      </w:r>
      <w:proofErr w:type="spellEnd"/>
      <w:r w:rsidRPr="003042E9">
        <w:rPr>
          <w:i/>
        </w:rPr>
        <w:t xml:space="preserve"> </w:t>
      </w:r>
      <w:proofErr w:type="spellStart"/>
      <w:r w:rsidRPr="003042E9">
        <w:rPr>
          <w:i/>
        </w:rPr>
        <w:t>Li</w:t>
      </w:r>
      <w:proofErr w:type="spellEnd"/>
      <w:r w:rsidRPr="003042E9">
        <w:t xml:space="preserve"> un </w:t>
      </w:r>
      <w:proofErr w:type="spellStart"/>
      <w:r w:rsidRPr="003042E9">
        <w:rPr>
          <w:i/>
        </w:rPr>
        <w:t>Joseph</w:t>
      </w:r>
      <w:proofErr w:type="spellEnd"/>
      <w:r w:rsidRPr="003042E9">
        <w:rPr>
          <w:i/>
        </w:rPr>
        <w:t xml:space="preserve"> </w:t>
      </w:r>
      <w:proofErr w:type="spellStart"/>
      <w:r w:rsidRPr="003042E9">
        <w:rPr>
          <w:i/>
        </w:rPr>
        <w:t>John</w:t>
      </w:r>
      <w:proofErr w:type="spellEnd"/>
      <w:r w:rsidRPr="003042E9">
        <w:t xml:space="preserve"> lietu</w:t>
      </w:r>
      <w:bookmarkEnd w:id="5"/>
      <w:r w:rsidRPr="003042E9">
        <w:t xml:space="preserve"> </w:t>
      </w:r>
      <w:bookmarkStart w:id="6" w:name="References"/>
      <w:r w:rsidRPr="003042E9">
        <w:t>(2024/2700(RSP))</w:t>
      </w:r>
      <w:bookmarkEnd w:id="6"/>
    </w:p>
    <w:p w:rsidR="00BC1035" w:rsidRPr="003042E9" w:rsidRDefault="00BC1035" w:rsidP="00BC1035">
      <w:pPr>
        <w:pStyle w:val="EPComma"/>
      </w:pPr>
      <w:bookmarkStart w:id="7" w:name="TextBodyBegin"/>
      <w:bookmarkEnd w:id="7"/>
      <w:r w:rsidRPr="003042E9">
        <w:rPr>
          <w:i/>
          <w:iCs/>
        </w:rPr>
        <w:t>Eiropas Parlaments</w:t>
      </w:r>
      <w:r w:rsidRPr="003042E9">
        <w:t>,</w:t>
      </w:r>
    </w:p>
    <w:p w:rsidR="00BC1035" w:rsidRPr="003042E9" w:rsidRDefault="00BC1035" w:rsidP="00BC1035">
      <w:pPr>
        <w:pStyle w:val="NormalHanging12a"/>
      </w:pPr>
      <w:r w:rsidRPr="003042E9">
        <w:t>–</w:t>
      </w:r>
      <w:r w:rsidRPr="003042E9">
        <w:tab/>
        <w:t>ņemot vērā Reglamenta 144. panta 5. punktu un 132. panta 4. punktu,</w:t>
      </w:r>
    </w:p>
    <w:p w:rsidR="00BC1035" w:rsidRPr="003042E9" w:rsidRDefault="00BC1035" w:rsidP="00BC1035">
      <w:pPr>
        <w:pStyle w:val="NormalHanging12a"/>
      </w:pPr>
      <w:r w:rsidRPr="003042E9">
        <w:t>A.</w:t>
      </w:r>
      <w:r w:rsidRPr="003042E9">
        <w:tab/>
        <w:t>tā kā 2024. gada 19. martā Honkongas (HK) Likumdošanas padome, pamatojoties uz HK Pamatlikuma 23. pantu, pieņēma Valsts drošības aizsardzības rīkojumu (</w:t>
      </w:r>
      <w:r w:rsidRPr="003042E9">
        <w:rPr>
          <w:i/>
          <w:iCs/>
        </w:rPr>
        <w:t>SNSO</w:t>
      </w:r>
      <w:r w:rsidRPr="003042E9">
        <w:t xml:space="preserve">); tā kā </w:t>
      </w:r>
      <w:r w:rsidRPr="003042E9">
        <w:rPr>
          <w:i/>
          <w:iCs/>
        </w:rPr>
        <w:t>SNSO</w:t>
      </w:r>
      <w:r w:rsidRPr="003042E9">
        <w:t xml:space="preserve"> paplašina Ķīnas Tautas Republikas (ĶTR) noteikto Nacionālās drošības likumu (</w:t>
      </w:r>
      <w:r w:rsidRPr="003042E9">
        <w:rPr>
          <w:i/>
          <w:iCs/>
        </w:rPr>
        <w:t>NSL</w:t>
      </w:r>
      <w:r w:rsidRPr="003042E9">
        <w:t>) un atļauj vēl radikālākus pamatbrīvību un brīvības pārkāpumus, ar ko pārkāpj Ķīnas un Lielbritānijas un Ķīnas un Portugāles deklarācijas, principu “viena valsts, divas sistēmas” un starptautiskās saistības cilvēktiesību jomā;</w:t>
      </w:r>
    </w:p>
    <w:p w:rsidR="00BC1035" w:rsidRPr="003042E9" w:rsidRDefault="00BC1035" w:rsidP="00BC1035">
      <w:pPr>
        <w:pStyle w:val="NormalHanging12a"/>
      </w:pPr>
      <w:r w:rsidRPr="003042E9">
        <w:t>B.</w:t>
      </w:r>
      <w:r w:rsidRPr="003042E9">
        <w:tab/>
        <w:t xml:space="preserve">tā kā demokrātijas aktīvists </w:t>
      </w:r>
      <w:proofErr w:type="spellStart"/>
      <w:r w:rsidRPr="003042E9">
        <w:rPr>
          <w:i/>
          <w:iCs/>
        </w:rPr>
        <w:t>Andy</w:t>
      </w:r>
      <w:proofErr w:type="spellEnd"/>
      <w:r w:rsidRPr="003042E9">
        <w:rPr>
          <w:i/>
          <w:iCs/>
        </w:rPr>
        <w:t> </w:t>
      </w:r>
      <w:proofErr w:type="spellStart"/>
      <w:r w:rsidRPr="003042E9">
        <w:rPr>
          <w:i/>
          <w:iCs/>
        </w:rPr>
        <w:t>Li</w:t>
      </w:r>
      <w:proofErr w:type="spellEnd"/>
      <w:r w:rsidRPr="003042E9">
        <w:t xml:space="preserve">, kas ir galvenais liecinieks </w:t>
      </w:r>
      <w:proofErr w:type="spellStart"/>
      <w:r w:rsidRPr="003042E9">
        <w:rPr>
          <w:i/>
          <w:iCs/>
        </w:rPr>
        <w:t>Jimmy</w:t>
      </w:r>
      <w:proofErr w:type="spellEnd"/>
      <w:r w:rsidRPr="003042E9">
        <w:rPr>
          <w:i/>
          <w:iCs/>
        </w:rPr>
        <w:t xml:space="preserve"> Lai</w:t>
      </w:r>
      <w:r w:rsidRPr="003042E9">
        <w:t xml:space="preserve"> tiesas procesā, spīdzināšanā esot atzinies sazvērestībā un par slepenu vienošanos ar ārvalstu struktūrām; tā kā ANO īpašais referents spīdzināšanas jautājumos ir paudis bažas;</w:t>
      </w:r>
    </w:p>
    <w:p w:rsidR="00BC1035" w:rsidRPr="003042E9" w:rsidRDefault="00BC1035" w:rsidP="00BC1035">
      <w:pPr>
        <w:pStyle w:val="NormalHanging12a"/>
      </w:pPr>
      <w:r w:rsidRPr="003042E9">
        <w:t>C.</w:t>
      </w:r>
      <w:r w:rsidRPr="003042E9">
        <w:tab/>
        <w:t xml:space="preserve">tā kā HK un Portugāles </w:t>
      </w:r>
      <w:proofErr w:type="spellStart"/>
      <w:r w:rsidRPr="003042E9">
        <w:t>dubultpilsoņa</w:t>
      </w:r>
      <w:proofErr w:type="spellEnd"/>
      <w:r w:rsidRPr="003042E9">
        <w:t xml:space="preserve"> </w:t>
      </w:r>
      <w:proofErr w:type="spellStart"/>
      <w:r w:rsidRPr="003042E9">
        <w:rPr>
          <w:i/>
          <w:iCs/>
        </w:rPr>
        <w:t>Joseph</w:t>
      </w:r>
      <w:proofErr w:type="spellEnd"/>
      <w:r w:rsidRPr="003042E9">
        <w:rPr>
          <w:i/>
          <w:iCs/>
        </w:rPr>
        <w:t xml:space="preserve"> </w:t>
      </w:r>
      <w:proofErr w:type="spellStart"/>
      <w:r w:rsidRPr="003042E9">
        <w:rPr>
          <w:i/>
          <w:iCs/>
        </w:rPr>
        <w:t>John</w:t>
      </w:r>
      <w:proofErr w:type="spellEnd"/>
      <w:r w:rsidRPr="003042E9">
        <w:t xml:space="preserve"> lieta ir pirmais </w:t>
      </w:r>
      <w:r w:rsidRPr="003042E9">
        <w:rPr>
          <w:i/>
          <w:iCs/>
        </w:rPr>
        <w:t>NSL</w:t>
      </w:r>
      <w:r w:rsidRPr="003042E9">
        <w:t xml:space="preserve"> eksteritoriālas piemērošanas ES pilsonim gadījums; tā kā </w:t>
      </w:r>
      <w:proofErr w:type="spellStart"/>
      <w:r w:rsidRPr="003042E9">
        <w:rPr>
          <w:i/>
          <w:iCs/>
        </w:rPr>
        <w:t>Joseph</w:t>
      </w:r>
      <w:proofErr w:type="spellEnd"/>
      <w:r w:rsidRPr="003042E9">
        <w:rPr>
          <w:i/>
          <w:iCs/>
        </w:rPr>
        <w:t xml:space="preserve"> </w:t>
      </w:r>
      <w:proofErr w:type="spellStart"/>
      <w:r w:rsidRPr="003042E9">
        <w:rPr>
          <w:i/>
          <w:iCs/>
        </w:rPr>
        <w:t>John</w:t>
      </w:r>
      <w:proofErr w:type="spellEnd"/>
      <w:r w:rsidRPr="003042E9">
        <w:t xml:space="preserve"> tika arestēts par to, ka viņš esot ievietojis pret Ķīnu vērstu saturu sociālajos medijos un, atrodoties Eiropā, kūdījis uz “atdalīšanos”, un tā kā 2024. gada 11. aprīlī viņam tika piespriests piecu gadu cietumsods;</w:t>
      </w:r>
    </w:p>
    <w:p w:rsidR="00BC1035" w:rsidRPr="003042E9" w:rsidRDefault="00BC1035" w:rsidP="00BC1035">
      <w:pPr>
        <w:pStyle w:val="NormalHanging12a"/>
      </w:pPr>
      <w:r w:rsidRPr="003042E9">
        <w:t>D.</w:t>
      </w:r>
      <w:r w:rsidRPr="003042E9">
        <w:tab/>
        <w:t xml:space="preserve">tā kā Polijas </w:t>
      </w:r>
      <w:proofErr w:type="spellStart"/>
      <w:r w:rsidRPr="003042E9">
        <w:t>valstspiederīgā</w:t>
      </w:r>
      <w:proofErr w:type="spellEnd"/>
      <w:r w:rsidRPr="003042E9">
        <w:t xml:space="preserve"> </w:t>
      </w:r>
      <w:r w:rsidRPr="003042E9">
        <w:rPr>
          <w:i/>
          <w:iCs/>
        </w:rPr>
        <w:t xml:space="preserve">Aleksandra </w:t>
      </w:r>
      <w:proofErr w:type="spellStart"/>
      <w:r w:rsidRPr="003042E9">
        <w:rPr>
          <w:i/>
          <w:iCs/>
        </w:rPr>
        <w:t>Bielakowska</w:t>
      </w:r>
      <w:proofErr w:type="spellEnd"/>
      <w:r w:rsidRPr="003042E9">
        <w:t xml:space="preserve">, kura plānoja piedalīties </w:t>
      </w:r>
      <w:proofErr w:type="spellStart"/>
      <w:r w:rsidRPr="003042E9">
        <w:rPr>
          <w:i/>
          <w:iCs/>
        </w:rPr>
        <w:t>Jimmy</w:t>
      </w:r>
      <w:proofErr w:type="spellEnd"/>
      <w:r w:rsidRPr="003042E9">
        <w:rPr>
          <w:i/>
          <w:iCs/>
        </w:rPr>
        <w:t xml:space="preserve"> Lai</w:t>
      </w:r>
      <w:r w:rsidRPr="003042E9">
        <w:t xml:space="preserve"> tiesas sēdē, pēc ierašanās HK tika aizturēta, nopratināta un deportēta,</w:t>
      </w:r>
    </w:p>
    <w:p w:rsidR="00BC1035" w:rsidRPr="003042E9" w:rsidRDefault="00BC1035" w:rsidP="00BC1035">
      <w:pPr>
        <w:pStyle w:val="NormalHanging12a"/>
      </w:pPr>
      <w:r w:rsidRPr="003042E9">
        <w:t>1.</w:t>
      </w:r>
      <w:r w:rsidRPr="003042E9">
        <w:tab/>
        <w:t xml:space="preserve">stingri nosoda </w:t>
      </w:r>
      <w:r w:rsidRPr="003042E9">
        <w:rPr>
          <w:i/>
          <w:iCs/>
        </w:rPr>
        <w:t>SNSO</w:t>
      </w:r>
      <w:r w:rsidRPr="003042E9">
        <w:t xml:space="preserve"> pieņemšanu, ar ko tiek likvidētas pēdējās pamatbrīvības HK; pauž sašutumu par demokrātiju atbalstošo politisko spēku, pilsoniskās sabiedrības un ziņu kanālu aizliegšanu un vairāk nekā 200 cilvēku arestēšanu kopš </w:t>
      </w:r>
      <w:r w:rsidRPr="003042E9">
        <w:rPr>
          <w:i/>
          <w:iCs/>
        </w:rPr>
        <w:t>NSL</w:t>
      </w:r>
      <w:r w:rsidRPr="003042E9">
        <w:t xml:space="preserve"> pieņemšanas; mudina ĶTR un HK atcelt </w:t>
      </w:r>
      <w:r w:rsidRPr="003042E9">
        <w:rPr>
          <w:i/>
          <w:iCs/>
        </w:rPr>
        <w:t>NSL</w:t>
      </w:r>
      <w:r w:rsidRPr="003042E9">
        <w:t xml:space="preserve"> un </w:t>
      </w:r>
      <w:r w:rsidRPr="003042E9">
        <w:rPr>
          <w:i/>
          <w:iCs/>
        </w:rPr>
        <w:t>SNSO</w:t>
      </w:r>
      <w:r w:rsidRPr="003042E9">
        <w:t>;</w:t>
      </w:r>
    </w:p>
    <w:p w:rsidR="00BC1035" w:rsidRPr="003042E9" w:rsidRDefault="00BC1035" w:rsidP="00BC1035">
      <w:pPr>
        <w:pStyle w:val="NormalHanging12a"/>
      </w:pPr>
      <w:r w:rsidRPr="003042E9">
        <w:t>2.</w:t>
      </w:r>
      <w:r w:rsidRPr="003042E9">
        <w:tab/>
        <w:t xml:space="preserve">mudina HK valdību nekavējoties un bez nosacījumiem atbrīvot </w:t>
      </w:r>
      <w:proofErr w:type="spellStart"/>
      <w:r w:rsidRPr="003042E9">
        <w:rPr>
          <w:i/>
          <w:iCs/>
        </w:rPr>
        <w:t>Andy</w:t>
      </w:r>
      <w:proofErr w:type="spellEnd"/>
      <w:r w:rsidRPr="003042E9">
        <w:rPr>
          <w:i/>
          <w:iCs/>
        </w:rPr>
        <w:t> </w:t>
      </w:r>
      <w:proofErr w:type="spellStart"/>
      <w:r w:rsidRPr="003042E9">
        <w:rPr>
          <w:i/>
          <w:iCs/>
        </w:rPr>
        <w:t>Li</w:t>
      </w:r>
      <w:proofErr w:type="spellEnd"/>
      <w:r w:rsidRPr="003042E9">
        <w:t xml:space="preserve">, </w:t>
      </w:r>
      <w:proofErr w:type="spellStart"/>
      <w:r w:rsidRPr="003042E9">
        <w:rPr>
          <w:i/>
          <w:iCs/>
        </w:rPr>
        <w:t>Joseph</w:t>
      </w:r>
      <w:proofErr w:type="spellEnd"/>
      <w:r w:rsidRPr="003042E9">
        <w:rPr>
          <w:i/>
          <w:iCs/>
        </w:rPr>
        <w:t xml:space="preserve"> </w:t>
      </w:r>
      <w:proofErr w:type="spellStart"/>
      <w:r w:rsidRPr="003042E9">
        <w:rPr>
          <w:i/>
          <w:iCs/>
        </w:rPr>
        <w:t>John</w:t>
      </w:r>
      <w:proofErr w:type="spellEnd"/>
      <w:r w:rsidRPr="003042E9">
        <w:t xml:space="preserve">, </w:t>
      </w:r>
      <w:proofErr w:type="spellStart"/>
      <w:r w:rsidRPr="003042E9">
        <w:rPr>
          <w:i/>
          <w:iCs/>
        </w:rPr>
        <w:t>Jimmy</w:t>
      </w:r>
      <w:proofErr w:type="spellEnd"/>
      <w:r w:rsidRPr="003042E9">
        <w:rPr>
          <w:i/>
          <w:iCs/>
        </w:rPr>
        <w:t xml:space="preserve"> Lai</w:t>
      </w:r>
      <w:r w:rsidRPr="003042E9">
        <w:t xml:space="preserve">, </w:t>
      </w:r>
      <w:r w:rsidRPr="003042E9">
        <w:rPr>
          <w:i/>
          <w:iCs/>
        </w:rPr>
        <w:t xml:space="preserve">Kok </w:t>
      </w:r>
      <w:proofErr w:type="spellStart"/>
      <w:r w:rsidRPr="003042E9">
        <w:rPr>
          <w:i/>
          <w:iCs/>
        </w:rPr>
        <w:t>Tsz-lun</w:t>
      </w:r>
      <w:proofErr w:type="spellEnd"/>
      <w:r w:rsidRPr="003042E9">
        <w:t xml:space="preserve"> un visus pārējos demokrātijas aizstāvjus un aktīvistus, kas aizturēti par savu brīvību un demokrātisko tiesību izmantošanu, un atcelt visas pret </w:t>
      </w:r>
      <w:r w:rsidRPr="003042E9">
        <w:lastRenderedPageBreak/>
        <w:t>viņiem izvirzītās apsūdzības;</w:t>
      </w:r>
    </w:p>
    <w:p w:rsidR="00BC1035" w:rsidRPr="003042E9" w:rsidRDefault="00BC1035" w:rsidP="00BC1035">
      <w:pPr>
        <w:pStyle w:val="NormalHanging12a"/>
      </w:pPr>
      <w:r w:rsidRPr="003042E9">
        <w:t>3.</w:t>
      </w:r>
      <w:r w:rsidRPr="003042E9">
        <w:tab/>
        <w:t xml:space="preserve">uzsver, ka </w:t>
      </w:r>
      <w:r w:rsidRPr="003042E9">
        <w:rPr>
          <w:i/>
          <w:iCs/>
        </w:rPr>
        <w:t>SNSO</w:t>
      </w:r>
      <w:r w:rsidRPr="003042E9">
        <w:t xml:space="preserve"> apdraud preses brīvību; aicina iestādes izbeigt žurnālistu aizskaršanu un vajāšanu;</w:t>
      </w:r>
    </w:p>
    <w:p w:rsidR="00BC1035" w:rsidRPr="003042E9" w:rsidRDefault="00BC1035" w:rsidP="00BC1035">
      <w:pPr>
        <w:pStyle w:val="NormalHanging12a"/>
      </w:pPr>
      <w:r w:rsidRPr="003042E9">
        <w:t>4.</w:t>
      </w:r>
      <w:r w:rsidRPr="003042E9">
        <w:tab/>
        <w:t xml:space="preserve">pauž satraukumu par to, ka </w:t>
      </w:r>
      <w:r w:rsidRPr="003042E9">
        <w:rPr>
          <w:i/>
          <w:iCs/>
        </w:rPr>
        <w:t>SNSO</w:t>
      </w:r>
      <w:r w:rsidRPr="003042E9">
        <w:t xml:space="preserve"> būtiski ietekmē ES biroja un dalībvalstu ģenerālkonsulātu, kā arī ES iedzīvotāju, organizāciju un uzņēmumu darbu HK teritorijā;</w:t>
      </w:r>
    </w:p>
    <w:p w:rsidR="00BC1035" w:rsidRPr="003042E9" w:rsidRDefault="00BC1035" w:rsidP="00BC1035">
      <w:pPr>
        <w:pStyle w:val="NormalHanging12a"/>
      </w:pPr>
      <w:r w:rsidRPr="003042E9">
        <w:t>5.</w:t>
      </w:r>
      <w:r w:rsidRPr="003042E9">
        <w:tab/>
        <w:t xml:space="preserve">mudina Padomi pārskatīt 2020. gada secinājumus par HK un saskaņā ar ES globālo cilvēktiesību sankciju režīmu pieņemt sankcijas pret izpilddirektoru </w:t>
      </w:r>
      <w:proofErr w:type="spellStart"/>
      <w:r w:rsidRPr="003042E9">
        <w:rPr>
          <w:i/>
          <w:iCs/>
        </w:rPr>
        <w:t>John</w:t>
      </w:r>
      <w:proofErr w:type="spellEnd"/>
      <w:r w:rsidRPr="003042E9">
        <w:rPr>
          <w:i/>
          <w:iCs/>
        </w:rPr>
        <w:t xml:space="preserve"> </w:t>
      </w:r>
      <w:proofErr w:type="spellStart"/>
      <w:r w:rsidRPr="003042E9">
        <w:rPr>
          <w:i/>
          <w:iCs/>
        </w:rPr>
        <w:t>Lee</w:t>
      </w:r>
      <w:proofErr w:type="spellEnd"/>
      <w:r w:rsidRPr="003042E9">
        <w:t xml:space="preserve"> un visām HK un ĶTR amatpersonām, kas atbildīgas par brīvības apspiešanu HK;</w:t>
      </w:r>
    </w:p>
    <w:p w:rsidR="00BC1035" w:rsidRPr="003042E9" w:rsidRDefault="00BC1035" w:rsidP="00BC1035">
      <w:pPr>
        <w:pStyle w:val="NormalHanging12a"/>
      </w:pPr>
      <w:r w:rsidRPr="003042E9">
        <w:t>6.</w:t>
      </w:r>
      <w:r w:rsidRPr="003042E9">
        <w:tab/>
        <w:t>nosoda tiesas prāvas uzraudzībai liktos šķēršļus un uzsver, ka prioritāte jāpiešķir pienācīgam atbalstam un ziņošanai par attiecīgo tiesas procesu novērošanu un cilvēktiesību uzraudzību, tostarp koordinācijas punktu izveidei cilvēktiesību aizstāvjiem, sadarbojoties ar līdzīgi domājošiem partneriem;</w:t>
      </w:r>
    </w:p>
    <w:p w:rsidR="00BC1035" w:rsidRPr="003042E9" w:rsidRDefault="00BC1035" w:rsidP="00BC1035">
      <w:pPr>
        <w:pStyle w:val="NormalHanging12a"/>
      </w:pPr>
      <w:r w:rsidRPr="003042E9">
        <w:t>7.</w:t>
      </w:r>
      <w:r w:rsidRPr="003042E9">
        <w:tab/>
        <w:t xml:space="preserve">pauž bažas par </w:t>
      </w:r>
      <w:r w:rsidRPr="003042E9">
        <w:rPr>
          <w:i/>
          <w:iCs/>
        </w:rPr>
        <w:t>SNSO</w:t>
      </w:r>
      <w:r w:rsidRPr="003042E9">
        <w:t xml:space="preserve"> eksteritoriālu piemērošanu ar atpakaļejošu spēku visā pasaulē; nosoda vēršanos pret ES atbalstītu HK diasporu un Pekinu kritizējošiem politiķiem un publiskām amatpersonām; mudina dalībvalstis apturēt izdošanas līgumus ar ĶTR un HK un ieviest apdraudētu HK aktīvistu un žurnālistu glābšanas shēmas;</w:t>
      </w:r>
    </w:p>
    <w:p w:rsidR="00BC1035" w:rsidRPr="003042E9" w:rsidRDefault="00BC1035" w:rsidP="00BC1035">
      <w:pPr>
        <w:pStyle w:val="NormalHanging12a"/>
      </w:pPr>
      <w:r w:rsidRPr="003042E9">
        <w:t>8.</w:t>
      </w:r>
      <w:r w:rsidRPr="003042E9">
        <w:tab/>
        <w:t>uzdod priekšsēdētājai nosūtīt šo rezolūciju citām ES iestādēm, ĶTR valdībai un parlamentam, Honkongas Īpašās Pārvaldes Apgabala galvenajai amatpersonai un Likumdošanas padomei, kā arī ES birojam Honkongā.</w:t>
      </w:r>
    </w:p>
    <w:p w:rsidR="00E365E1" w:rsidRPr="003042E9" w:rsidRDefault="00E365E1" w:rsidP="003042E9">
      <w:pPr>
        <w:pStyle w:val="NormalHanging12a"/>
      </w:pPr>
      <w:bookmarkStart w:id="8" w:name="TextBodyEnd"/>
      <w:bookmarkEnd w:id="8"/>
    </w:p>
    <w:sectPr w:rsidR="00E365E1" w:rsidRPr="003042E9" w:rsidSect="00300B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408" w:rsidRPr="00300BDC" w:rsidRDefault="00EB7408">
      <w:r w:rsidRPr="00300BDC">
        <w:separator/>
      </w:r>
    </w:p>
  </w:endnote>
  <w:endnote w:type="continuationSeparator" w:id="0">
    <w:p w:rsidR="00EB7408" w:rsidRPr="00300BDC" w:rsidRDefault="00EB7408">
      <w:r w:rsidRPr="00300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408" w:rsidRPr="00300BDC" w:rsidRDefault="00EB7408">
      <w:r w:rsidRPr="00300BDC">
        <w:separator/>
      </w:r>
    </w:p>
  </w:footnote>
  <w:footnote w:type="continuationSeparator" w:id="0">
    <w:p w:rsidR="00EB7408" w:rsidRPr="00300BDC" w:rsidRDefault="00EB7408">
      <w:r w:rsidRPr="00300B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B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LV"/>
    <w:docVar w:name="dvnumam" w:val="0"/>
    <w:docVar w:name="dvpe" w:val="762.549"/>
    <w:docVar w:name="dvtitre" w:val="Eiropas Parlamenta 2024. gada XX. XXX  rezolūcija par jauno drošības likumu Honkongā un Andy Li un Joseph John lietu(2024/2700(RSP))"/>
  </w:docVars>
  <w:rsids>
    <w:rsidRoot w:val="00EB7408"/>
    <w:rsid w:val="00002272"/>
    <w:rsid w:val="00064002"/>
    <w:rsid w:val="000677B9"/>
    <w:rsid w:val="000831BA"/>
    <w:rsid w:val="000A42CC"/>
    <w:rsid w:val="000E7DD9"/>
    <w:rsid w:val="0010095E"/>
    <w:rsid w:val="00125B37"/>
    <w:rsid w:val="00187494"/>
    <w:rsid w:val="001F32AE"/>
    <w:rsid w:val="002767FF"/>
    <w:rsid w:val="002B18FE"/>
    <w:rsid w:val="002B5493"/>
    <w:rsid w:val="00300BDC"/>
    <w:rsid w:val="003042E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035"/>
    <w:rsid w:val="00BD48FE"/>
    <w:rsid w:val="00BD7BD8"/>
    <w:rsid w:val="00BE6ADC"/>
    <w:rsid w:val="00C05BFE"/>
    <w:rsid w:val="00C23CD4"/>
    <w:rsid w:val="00C61C0C"/>
    <w:rsid w:val="00C941CB"/>
    <w:rsid w:val="00CC2357"/>
    <w:rsid w:val="00CD7F7D"/>
    <w:rsid w:val="00CF071A"/>
    <w:rsid w:val="00D058B8"/>
    <w:rsid w:val="00D56C11"/>
    <w:rsid w:val="00D834A0"/>
    <w:rsid w:val="00D872DF"/>
    <w:rsid w:val="00D91E21"/>
    <w:rsid w:val="00DA7FCD"/>
    <w:rsid w:val="00E365E1"/>
    <w:rsid w:val="00E820A4"/>
    <w:rsid w:val="00EB006A"/>
    <w:rsid w:val="00EB4772"/>
    <w:rsid w:val="00EB740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57A00"/>
  <w15:chartTrackingRefBased/>
  <w15:docId w15:val="{AEE3E9B5-9009-4C4D-8D97-8FBA7BDFB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C1035"/>
    <w:rPr>
      <w:b/>
    </w:rPr>
  </w:style>
  <w:style w:type="paragraph" w:customStyle="1" w:styleId="NormalHanging12a">
    <w:name w:val="NormalHanging12a"/>
    <w:basedOn w:val="Normal"/>
    <w:link w:val="NormalHanging12aChar"/>
    <w:rsid w:val="00BC1035"/>
    <w:pPr>
      <w:spacing w:after="240"/>
      <w:ind w:left="567" w:hanging="567"/>
    </w:pPr>
  </w:style>
  <w:style w:type="paragraph" w:customStyle="1" w:styleId="EPComma">
    <w:name w:val="EPComma"/>
    <w:basedOn w:val="Normal"/>
    <w:rsid w:val="00BC1035"/>
    <w:pPr>
      <w:spacing w:before="480" w:after="240"/>
    </w:pPr>
  </w:style>
  <w:style w:type="character" w:customStyle="1" w:styleId="NormalHanging12aChar">
    <w:name w:val="NormalHanging12a Char"/>
    <w:basedOn w:val="DefaultParagraphFont"/>
    <w:link w:val="NormalHanging12a"/>
    <w:locked/>
    <w:rsid w:val="00BC1035"/>
    <w:rPr>
      <w:sz w:val="24"/>
      <w:lang w:val="lv-LV"/>
    </w:rPr>
  </w:style>
  <w:style w:type="paragraph" w:styleId="BalloonText">
    <w:name w:val="Balloon Text"/>
    <w:basedOn w:val="Normal"/>
    <w:link w:val="BalloonTextChar"/>
    <w:rsid w:val="00CD7F7D"/>
    <w:rPr>
      <w:rFonts w:ascii="Segoe UI" w:hAnsi="Segoe UI" w:cs="Segoe UI"/>
      <w:sz w:val="18"/>
      <w:szCs w:val="18"/>
    </w:rPr>
  </w:style>
  <w:style w:type="character" w:customStyle="1" w:styleId="BalloonTextChar">
    <w:name w:val="Balloon Text Char"/>
    <w:basedOn w:val="DefaultParagraphFont"/>
    <w:link w:val="BalloonText"/>
    <w:rsid w:val="00CD7F7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03E4-EBD7-4C90-937C-D1F8E7B5A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2024-04-25T09:43:00Z</dcterms:created>
  <dcterms:modified xsi:type="dcterms:W3CDTF">2024-04-25T09:43:00Z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B9-0238/2024</vt:lpwstr>
  </property>
  <property fmtid="{D5CDD505-2E9C-101B-9397-08002B2CF9AE}" pid="4" name="&lt;Type&gt;">
    <vt:lpwstr>RR</vt:lpwstr>
  </property>
</Properties>
</file>