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C01072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C01072" w:rsidRDefault="008354CB" w:rsidP="0010095E">
            <w:pPr>
              <w:pStyle w:val="EPName"/>
            </w:pPr>
            <w:r w:rsidRPr="00C01072">
              <w:t>Parlament Europejski</w:t>
            </w:r>
          </w:p>
          <w:p w:rsidR="00751A4A" w:rsidRPr="00C01072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C01072">
              <w:t>2019-2024</w:t>
            </w:r>
          </w:p>
        </w:tc>
        <w:tc>
          <w:tcPr>
            <w:tcW w:w="2268" w:type="dxa"/>
            <w:shd w:val="clear" w:color="auto" w:fill="auto"/>
          </w:tcPr>
          <w:p w:rsidR="00751A4A" w:rsidRPr="00C01072" w:rsidRDefault="00187494" w:rsidP="0010095E">
            <w:pPr>
              <w:pStyle w:val="EPLogo"/>
            </w:pPr>
            <w:r w:rsidRPr="00C01072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C01072" w:rsidRDefault="00D058B8" w:rsidP="004C5D52">
      <w:pPr>
        <w:pStyle w:val="LineTop"/>
      </w:pPr>
    </w:p>
    <w:p w:rsidR="00680577" w:rsidRPr="00C01072" w:rsidRDefault="008354CB" w:rsidP="00680577">
      <w:pPr>
        <w:pStyle w:val="EPBodyTA1"/>
      </w:pPr>
      <w:r w:rsidRPr="00C01072">
        <w:t>TEKSTY PRZYJĘTE</w:t>
      </w:r>
    </w:p>
    <w:p w:rsidR="00D058B8" w:rsidRPr="00C01072" w:rsidRDefault="00D058B8" w:rsidP="00D058B8">
      <w:pPr>
        <w:pStyle w:val="LineBottom"/>
      </w:pPr>
    </w:p>
    <w:p w:rsidR="008354CB" w:rsidRPr="00C01072" w:rsidRDefault="008354CB" w:rsidP="008354CB">
      <w:pPr>
        <w:pStyle w:val="ATHeading1"/>
      </w:pPr>
      <w:bookmarkStart w:id="0" w:name="TANumber"/>
      <w:r w:rsidRPr="00C01072">
        <w:t>P9_TA(2024)0</w:t>
      </w:r>
      <w:bookmarkEnd w:id="0"/>
      <w:r w:rsidR="00127E73">
        <w:t>371</w:t>
      </w:r>
      <w:bookmarkStart w:id="1" w:name="_GoBack"/>
      <w:bookmarkEnd w:id="1"/>
    </w:p>
    <w:p w:rsidR="008354CB" w:rsidRPr="00A52C13" w:rsidRDefault="00A52C13" w:rsidP="008354CB">
      <w:pPr>
        <w:pStyle w:val="ATHeading2"/>
      </w:pPr>
      <w:r w:rsidRPr="00A52C13">
        <w:rPr>
          <w:bCs/>
        </w:rPr>
        <w:t xml:space="preserve">Nowa ustawa o bezpieczeństwie w Hongkongu oraz sprawy </w:t>
      </w:r>
      <w:proofErr w:type="spellStart"/>
      <w:r w:rsidRPr="00A52C13">
        <w:rPr>
          <w:bCs/>
        </w:rPr>
        <w:t>Andy'ego</w:t>
      </w:r>
      <w:proofErr w:type="spellEnd"/>
      <w:r w:rsidRPr="00A52C13">
        <w:rPr>
          <w:bCs/>
        </w:rPr>
        <w:t xml:space="preserve"> Li i Josepha Johna</w:t>
      </w:r>
    </w:p>
    <w:p w:rsidR="008354CB" w:rsidRPr="00C01072" w:rsidRDefault="008354CB" w:rsidP="008354CB">
      <w:pPr>
        <w:rPr>
          <w:i/>
          <w:vanish/>
        </w:rPr>
      </w:pPr>
      <w:r w:rsidRPr="00C01072">
        <w:rPr>
          <w:i/>
        </w:rPr>
        <w:fldChar w:fldCharType="begin"/>
      </w:r>
      <w:r w:rsidRPr="00C01072">
        <w:rPr>
          <w:i/>
        </w:rPr>
        <w:instrText xml:space="preserve"> TC"(</w:instrText>
      </w:r>
      <w:bookmarkStart w:id="2" w:name="DocNumber"/>
      <w:r w:rsidRPr="00C01072">
        <w:rPr>
          <w:i/>
        </w:rPr>
        <w:instrText>B9-0238</w:instrText>
      </w:r>
      <w:r w:rsidR="00A52C13">
        <w:rPr>
          <w:i/>
        </w:rPr>
        <w:instrText>, 0241, 0254, 0257 oraz</w:instrText>
      </w:r>
      <w:proofErr w:type="gramStart"/>
      <w:r w:rsidR="00A52C13">
        <w:rPr>
          <w:i/>
        </w:rPr>
        <w:instrText xml:space="preserve"> 0258</w:instrText>
      </w:r>
      <w:r w:rsidRPr="00C01072">
        <w:rPr>
          <w:i/>
        </w:rPr>
        <w:instrText>/2024</w:instrText>
      </w:r>
      <w:bookmarkEnd w:id="2"/>
      <w:r w:rsidRPr="00C01072">
        <w:rPr>
          <w:i/>
        </w:rPr>
        <w:instrText>)"\l</w:instrText>
      </w:r>
      <w:proofErr w:type="gramEnd"/>
      <w:r w:rsidRPr="00C01072">
        <w:rPr>
          <w:i/>
        </w:rPr>
        <w:instrText xml:space="preserve">3 \n&gt; \* MERGEFORMAT </w:instrText>
      </w:r>
      <w:r w:rsidRPr="00C01072">
        <w:rPr>
          <w:i/>
        </w:rPr>
        <w:fldChar w:fldCharType="end"/>
      </w:r>
    </w:p>
    <w:p w:rsidR="008354CB" w:rsidRPr="00C01072" w:rsidRDefault="008354CB" w:rsidP="008354CB">
      <w:pPr>
        <w:rPr>
          <w:vanish/>
        </w:rPr>
      </w:pPr>
      <w:bookmarkStart w:id="3" w:name="PE"/>
      <w:r w:rsidRPr="00C01072">
        <w:rPr>
          <w:vanish/>
        </w:rPr>
        <w:t>PE762.549</w:t>
      </w:r>
      <w:bookmarkEnd w:id="3"/>
    </w:p>
    <w:p w:rsidR="008354CB" w:rsidRPr="00C01072" w:rsidRDefault="008354CB" w:rsidP="008354CB">
      <w:pPr>
        <w:pStyle w:val="ATHeading3"/>
      </w:pPr>
      <w:bookmarkStart w:id="4" w:name="Sujet"/>
      <w:r w:rsidRPr="00C01072">
        <w:t xml:space="preserve">Rezolucja Parlamentu Europejskiego z dnia </w:t>
      </w:r>
      <w:r w:rsidR="00A52C13">
        <w:t>25 kwietnia</w:t>
      </w:r>
      <w:r w:rsidRPr="00C01072">
        <w:t xml:space="preserve"> 2024 r. o nowej ustawie o bezpieczeństwie w Hongkongu oraz sprawach </w:t>
      </w:r>
      <w:proofErr w:type="spellStart"/>
      <w:r w:rsidRPr="00C01072">
        <w:t>Andy'ego</w:t>
      </w:r>
      <w:proofErr w:type="spellEnd"/>
      <w:r w:rsidRPr="00C01072">
        <w:t xml:space="preserve"> Li i Josepha Johna</w:t>
      </w:r>
      <w:bookmarkEnd w:id="4"/>
      <w:r w:rsidRPr="00C01072">
        <w:t xml:space="preserve"> </w:t>
      </w:r>
      <w:bookmarkStart w:id="5" w:name="References"/>
      <w:r w:rsidRPr="00C01072">
        <w:t>(2024/2700(RSP))</w:t>
      </w:r>
      <w:bookmarkEnd w:id="5"/>
    </w:p>
    <w:p w:rsidR="008354CB" w:rsidRPr="00C01072" w:rsidRDefault="008354CB" w:rsidP="008354CB"/>
    <w:p w:rsidR="00AC6FA4" w:rsidRPr="00C01072" w:rsidRDefault="00AC6FA4" w:rsidP="00AC6FA4">
      <w:pPr>
        <w:pStyle w:val="EPComma"/>
      </w:pPr>
      <w:bookmarkStart w:id="6" w:name="TextBodyBegin"/>
      <w:bookmarkEnd w:id="6"/>
      <w:r w:rsidRPr="00C01072">
        <w:rPr>
          <w:i/>
          <w:iCs/>
        </w:rPr>
        <w:t>Parlament Europejski,</w:t>
      </w:r>
    </w:p>
    <w:p w:rsidR="00AC6FA4" w:rsidRPr="00C01072" w:rsidRDefault="00AC6FA4" w:rsidP="00AC6FA4">
      <w:pPr>
        <w:pStyle w:val="NormalHanging12a"/>
      </w:pPr>
      <w:r w:rsidRPr="00C01072">
        <w:t>–</w:t>
      </w:r>
      <w:r w:rsidRPr="00C01072">
        <w:tab/>
        <w:t>uwzględniając art. 144 ust. 5 i art. 132 ust. 4 Regulaminu,</w:t>
      </w:r>
    </w:p>
    <w:p w:rsidR="00AC6FA4" w:rsidRPr="00C01072" w:rsidRDefault="00AC6FA4" w:rsidP="00AC6FA4">
      <w:pPr>
        <w:pStyle w:val="NormalHanging12a"/>
      </w:pPr>
      <w:r w:rsidRPr="00C01072">
        <w:t>A.</w:t>
      </w:r>
      <w:r w:rsidRPr="00C01072">
        <w:tab/>
      </w:r>
      <w:proofErr w:type="gramStart"/>
      <w:r w:rsidRPr="00C01072">
        <w:t>mając</w:t>
      </w:r>
      <w:proofErr w:type="gramEnd"/>
      <w:r w:rsidRPr="00C01072">
        <w:t xml:space="preserve"> na uwadze, że 19 marca 2024 r. Rada Ustawodawcza Hongkongu na podstawie art. 23 ustawy zasadniczej Hongkongu przyjęła rozporządzenie w sprawie ochrony bezpieczeństwa narodowego; mając na uwadze, że rozporządzenie to rozszerza ustawę o bezpieczeństwie narodowym narzuconą przez Chińską Republikę Ludową i zezwala na jeszcze bardziej radykalne naruszenia podstawowych praw i wolności z pogwałceniem deklaracji chińsko-brytyjskiej i chińsko-portugalskiej, zasady „jeden kraj, dwa systemy” oraz międzynarodowych zobowiązań w zakresie praw człowieka;</w:t>
      </w:r>
    </w:p>
    <w:p w:rsidR="00AC6FA4" w:rsidRPr="00C01072" w:rsidRDefault="00AC6FA4" w:rsidP="00AC6FA4">
      <w:pPr>
        <w:pStyle w:val="NormalHanging12a"/>
      </w:pPr>
      <w:r w:rsidRPr="00C01072">
        <w:t>B.</w:t>
      </w:r>
      <w:r w:rsidRPr="00C01072">
        <w:tab/>
        <w:t xml:space="preserve">mając na uwadze, że zgodnie z doniesieniami Andy Li, działacz prodemokratyczny i kluczowy świadek w procesie Jimmy’ego </w:t>
      </w:r>
      <w:proofErr w:type="spellStart"/>
      <w:r w:rsidRPr="00C01072">
        <w:t>Laia</w:t>
      </w:r>
      <w:proofErr w:type="spellEnd"/>
      <w:r w:rsidRPr="00C01072">
        <w:t>, pod wpływem tortur przyznał się do spisku i zmowy z podmiotami zagranicznymi; mając na uwadze, że specjalny sprawozdawca ONZ ds. tortur wyraził zaniepokojenie;</w:t>
      </w:r>
    </w:p>
    <w:p w:rsidR="00AC6FA4" w:rsidRPr="00C01072" w:rsidRDefault="00AC6FA4" w:rsidP="00AC6FA4">
      <w:pPr>
        <w:pStyle w:val="NormalHanging12a"/>
      </w:pPr>
      <w:r w:rsidRPr="00C01072">
        <w:t>C.</w:t>
      </w:r>
      <w:r w:rsidRPr="00C01072">
        <w:tab/>
      </w:r>
      <w:proofErr w:type="gramStart"/>
      <w:r w:rsidRPr="00C01072">
        <w:t>mając</w:t>
      </w:r>
      <w:proofErr w:type="gramEnd"/>
      <w:r w:rsidRPr="00C01072">
        <w:t xml:space="preserve"> na uwadze, że sprawa Josepha Johna, posiadającego podwójne obywatelstwo Hongkongu i Portugalii, jest pierwszym przypadkiem eksterytorialnego zastosowania ustawy o bezpieczeństwie narodowym wobec obywatela UE; mając na uwadze, że J. Johna aresztowano za to, że działając z Europy miał zamieszczać antychińskie treści w mediach społecznościowych i podżegać do „secesji”, zaś11 kwietnia 2024 r. skazano go na pięć lat pozbawienia wolności;</w:t>
      </w:r>
    </w:p>
    <w:p w:rsidR="00AC6FA4" w:rsidRPr="00C01072" w:rsidRDefault="00AC6FA4" w:rsidP="00AC6FA4">
      <w:pPr>
        <w:pStyle w:val="NormalHanging12a"/>
      </w:pPr>
      <w:r w:rsidRPr="00C01072">
        <w:t>D.</w:t>
      </w:r>
      <w:r w:rsidRPr="00C01072">
        <w:tab/>
      </w:r>
      <w:proofErr w:type="gramStart"/>
      <w:r w:rsidRPr="00C01072">
        <w:t>mając</w:t>
      </w:r>
      <w:proofErr w:type="gramEnd"/>
      <w:r w:rsidRPr="00C01072">
        <w:t xml:space="preserve"> na uwadze, że obywatelkę Polski Aleksandrę </w:t>
      </w:r>
      <w:proofErr w:type="spellStart"/>
      <w:r w:rsidRPr="00C01072">
        <w:t>Bielakowską</w:t>
      </w:r>
      <w:proofErr w:type="spellEnd"/>
      <w:r w:rsidRPr="00C01072">
        <w:t xml:space="preserve">, która miała zamiar uczestniczyć w procesie J. </w:t>
      </w:r>
      <w:proofErr w:type="spellStart"/>
      <w:r w:rsidRPr="00C01072">
        <w:t>Laia</w:t>
      </w:r>
      <w:proofErr w:type="spellEnd"/>
      <w:r w:rsidRPr="00C01072">
        <w:t>, zatrzymano bezpośrednio po przybyciu do Hongkongu, przesłuchano i deportowano;</w:t>
      </w:r>
    </w:p>
    <w:p w:rsidR="00AC6FA4" w:rsidRPr="00C01072" w:rsidRDefault="00AC6FA4" w:rsidP="00AC6FA4">
      <w:pPr>
        <w:pStyle w:val="NormalHanging12a"/>
      </w:pPr>
      <w:r w:rsidRPr="00C01072">
        <w:t>1.</w:t>
      </w:r>
      <w:r w:rsidRPr="00C01072">
        <w:tab/>
      </w:r>
      <w:proofErr w:type="gramStart"/>
      <w:r w:rsidRPr="00C01072">
        <w:t>zdecydowanie</w:t>
      </w:r>
      <w:proofErr w:type="gramEnd"/>
      <w:r w:rsidRPr="00C01072">
        <w:t xml:space="preserve"> potępia przyjęcie rozporządzenia w sprawie ochrony bezpieczeństwa </w:t>
      </w:r>
      <w:r w:rsidRPr="00C01072">
        <w:lastRenderedPageBreak/>
        <w:t>narodowego, które likwiduje w Hongkongu ostatnie pozostałości podstawowych wolności; jest zbulwersowany tym, że od czasu przyjęcia ustawy o bezpieczeństwie narodowym doszło do likwidacji prodemokratycznych sił politycznych, społeczeństwa obywatelskiego i serwisów informacyjnych, a także do aresztowania ponad 200 osób; wzywa Chińską Republikę Ludową i Hongkong do uchylenia ustawy o bezpieczeństwie narodowym i rozporządzenia w sprawie ochrony bezpieczeństwa narodowego;</w:t>
      </w:r>
    </w:p>
    <w:p w:rsidR="00AC6FA4" w:rsidRPr="00C01072" w:rsidRDefault="00AC6FA4" w:rsidP="00AC6FA4">
      <w:pPr>
        <w:pStyle w:val="NormalHanging12a"/>
      </w:pPr>
      <w:r w:rsidRPr="00C01072">
        <w:t>2.</w:t>
      </w:r>
      <w:r w:rsidRPr="00C01072">
        <w:tab/>
      </w:r>
      <w:proofErr w:type="gramStart"/>
      <w:r w:rsidRPr="00C01072">
        <w:t>wzywa</w:t>
      </w:r>
      <w:proofErr w:type="gramEnd"/>
      <w:r w:rsidRPr="00C01072">
        <w:t xml:space="preserve"> rząd Hongkongu do natychmiastowego i bezwarunkowego uwolnienia A. Li, J. Johna, J. </w:t>
      </w:r>
      <w:proofErr w:type="spellStart"/>
      <w:r w:rsidRPr="00C01072">
        <w:t>Laia</w:t>
      </w:r>
      <w:proofErr w:type="spellEnd"/>
      <w:r w:rsidRPr="00C01072">
        <w:t xml:space="preserve">, K. </w:t>
      </w:r>
      <w:proofErr w:type="spellStart"/>
      <w:r w:rsidRPr="00C01072">
        <w:t>Tsz</w:t>
      </w:r>
      <w:proofErr w:type="spellEnd"/>
      <w:r w:rsidRPr="00C01072">
        <w:t>-luna oraz pozostałych prodemokratycznych przedstawicieli i działaczy więzionych za korzystanie z przysługujących im wolności i praw demokratycznych, a także do wycofania wszystkich stawianych im zarzutów;</w:t>
      </w:r>
    </w:p>
    <w:p w:rsidR="00AC6FA4" w:rsidRPr="00C01072" w:rsidRDefault="00AC6FA4" w:rsidP="00AC6FA4">
      <w:pPr>
        <w:pStyle w:val="NormalHanging12a"/>
      </w:pPr>
      <w:r w:rsidRPr="00C01072">
        <w:t>3.</w:t>
      </w:r>
      <w:r w:rsidRPr="00C01072">
        <w:tab/>
      </w:r>
      <w:proofErr w:type="gramStart"/>
      <w:r w:rsidRPr="00C01072">
        <w:t>podkreśla</w:t>
      </w:r>
      <w:proofErr w:type="gramEnd"/>
      <w:r w:rsidRPr="00C01072">
        <w:t>, że rozporządzenie w sprawie ochrony bezpieczeństwa narodowego podważa wolność prasy; wzywa władze do zaprzestania nękania i ścigania karnego dziennikarzy;</w:t>
      </w:r>
    </w:p>
    <w:p w:rsidR="00AC6FA4" w:rsidRPr="00C01072" w:rsidRDefault="00AC6FA4" w:rsidP="00AC6FA4">
      <w:pPr>
        <w:pStyle w:val="NormalHanging12a"/>
      </w:pPr>
      <w:r w:rsidRPr="00C01072">
        <w:t>4.</w:t>
      </w:r>
      <w:r w:rsidRPr="00C01072">
        <w:tab/>
      </w:r>
      <w:proofErr w:type="gramStart"/>
      <w:r w:rsidRPr="00C01072">
        <w:t>jest</w:t>
      </w:r>
      <w:proofErr w:type="gramEnd"/>
      <w:r w:rsidRPr="00C01072">
        <w:t xml:space="preserve"> zaniepokojony faktem, że rozporządzenie w sprawie ochrony bezpieczeństwa narodowego w znacznym stopniu utrudnia działalność delegatury UE i konsulatów generalnych państw członkowskich oraz obywateli, organizacji i przedsiębiorstw UE w Hongkongu;</w:t>
      </w:r>
    </w:p>
    <w:p w:rsidR="00AC6FA4" w:rsidRPr="00C01072" w:rsidRDefault="00AC6FA4" w:rsidP="00AC6FA4">
      <w:pPr>
        <w:pStyle w:val="NormalHanging12a"/>
      </w:pPr>
      <w:r w:rsidRPr="00C01072">
        <w:t>5.</w:t>
      </w:r>
      <w:r w:rsidRPr="00C01072">
        <w:tab/>
      </w:r>
      <w:proofErr w:type="gramStart"/>
      <w:r w:rsidRPr="00C01072">
        <w:t>wzywa</w:t>
      </w:r>
      <w:proofErr w:type="gramEnd"/>
      <w:r w:rsidRPr="00C01072">
        <w:t xml:space="preserve"> Radę do przeglądu jej konkluzji z 2020 r. w sprawie Hongkongu i do przyjęcia sankcji w ramach globalnego systemu sankcji UE za naruszenia praw człowieka wobec szefa administracji Johna Lee oraz wszystkich urzędników Hongkongu i Chińskiej Republiki Ludowej odpowiedzialnych za tłumienie wolności w Hongkongu;</w:t>
      </w:r>
    </w:p>
    <w:p w:rsidR="00AC6FA4" w:rsidRPr="00C01072" w:rsidRDefault="00AC6FA4" w:rsidP="00AC6FA4">
      <w:pPr>
        <w:pStyle w:val="NormalHanging12a"/>
      </w:pPr>
      <w:r w:rsidRPr="00C01072">
        <w:t>6.</w:t>
      </w:r>
      <w:r w:rsidRPr="00C01072">
        <w:tab/>
      </w:r>
      <w:proofErr w:type="gramStart"/>
      <w:r w:rsidRPr="00C01072">
        <w:t>potępia</w:t>
      </w:r>
      <w:proofErr w:type="gramEnd"/>
      <w:r w:rsidRPr="00C01072">
        <w:t xml:space="preserve"> przeszkody w obserwowaniu procesów sądowych i podkreśla priorytetowy charakter adekwatnego wsparcia i raportowania obserwacji odpowiednich procesów sądowych i monitorowania praw człowieka, w tym ustanowienia punktów kontaktowych dla obrońców praw człowieka, w koordynacji z partnerami o podobnych poglądach;</w:t>
      </w:r>
    </w:p>
    <w:p w:rsidR="00AC6FA4" w:rsidRPr="00C01072" w:rsidRDefault="00AC6FA4" w:rsidP="00AC6FA4">
      <w:pPr>
        <w:pStyle w:val="NormalHanging12a"/>
      </w:pPr>
      <w:r w:rsidRPr="00C01072">
        <w:t>7.</w:t>
      </w:r>
      <w:r w:rsidRPr="00C01072">
        <w:tab/>
      </w:r>
      <w:proofErr w:type="gramStart"/>
      <w:r w:rsidRPr="00C01072">
        <w:t>wyraża</w:t>
      </w:r>
      <w:proofErr w:type="gramEnd"/>
      <w:r w:rsidRPr="00C01072">
        <w:t xml:space="preserve"> zaniepokojenie eksterytorialnością i mocą wsteczną rozporządzenia w sprawie ochrony bezpieczeństwa narodowego, które stosowane jest na całym świecie; potępia atakowanie diaspory obywateli Hongkongu w UE oraz polityków i osób publicznych nastawionych krytycznie wobec Pekinu; wzywa państwa członkowskie do zawieszenia umów o ekstradycji z Chińską Republiką Ludową i Hongkongiem oraz do wprowadzenia mechanizmów ratunkowych dla zagrożonych działaczy i dziennikarzy z Hongkongu;</w:t>
      </w:r>
    </w:p>
    <w:p w:rsidR="00AC6FA4" w:rsidRPr="00C01072" w:rsidRDefault="00AC6FA4" w:rsidP="00AC6FA4">
      <w:pPr>
        <w:pStyle w:val="NormalHanging12a"/>
      </w:pPr>
      <w:r w:rsidRPr="00C01072">
        <w:t>8.</w:t>
      </w:r>
      <w:r w:rsidRPr="00C01072">
        <w:tab/>
      </w:r>
      <w:proofErr w:type="gramStart"/>
      <w:r w:rsidRPr="00C01072">
        <w:t>zobowiązuje</w:t>
      </w:r>
      <w:proofErr w:type="gramEnd"/>
      <w:r w:rsidRPr="00C01072">
        <w:t xml:space="preserve"> swoją przewodniczącą do przekazania niniejszej rezolucji instytucjom UE, rządowi i parlamentowi Chińskiej Republiki Ludowej, szefowi administracji i Radzie Ustawodawczej Hongkongu, a także delegaturze UE w Hongkongu.</w:t>
      </w:r>
    </w:p>
    <w:p w:rsidR="00AC6FA4" w:rsidRPr="00C01072" w:rsidRDefault="00AC6FA4" w:rsidP="00AC6FA4"/>
    <w:p w:rsidR="00E365E1" w:rsidRPr="00C01072" w:rsidRDefault="00E365E1" w:rsidP="008354CB">
      <w:bookmarkStart w:id="7" w:name="TextBodyEnd"/>
      <w:bookmarkEnd w:id="7"/>
    </w:p>
    <w:sectPr w:rsidR="00E365E1" w:rsidRPr="00C01072" w:rsidSect="00C01072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354CB" w:rsidRPr="00C01072" w:rsidRDefault="008354CB">
      <w:r w:rsidRPr="00C01072">
        <w:separator/>
      </w:r>
    </w:p>
  </w:endnote>
  <w:endnote w:type="continuationSeparator" w:id="0">
    <w:p w:rsidR="008354CB" w:rsidRPr="00C01072" w:rsidRDefault="008354CB">
      <w:r w:rsidRPr="00C01072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C01072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C01072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C01072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354CB" w:rsidRPr="00C01072" w:rsidRDefault="008354CB">
      <w:r w:rsidRPr="00C01072">
        <w:separator/>
      </w:r>
    </w:p>
  </w:footnote>
  <w:footnote w:type="continuationSeparator" w:id="0">
    <w:p w:rsidR="008354CB" w:rsidRPr="00C01072" w:rsidRDefault="008354CB">
      <w:r w:rsidRPr="00C01072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C01072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C01072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C01072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B9-0238/2024"/>
    <w:docVar w:name="dvlangue" w:val="PL"/>
    <w:docVar w:name="dvnumam" w:val="0"/>
    <w:docVar w:name="dvpe" w:val="762.549"/>
    <w:docVar w:name="dvtitre" w:val="Rezolucja Parlamentu Europejskiego z dnia  2024 r. o nowej ustawie o bezpieczeństwie w Hongkongu oraz sprawach Andy'ego Li i Josepha Johna(2024/2700(RSP))"/>
  </w:docVars>
  <w:rsids>
    <w:rsidRoot w:val="008354CB"/>
    <w:rsid w:val="00002272"/>
    <w:rsid w:val="00064002"/>
    <w:rsid w:val="000677B9"/>
    <w:rsid w:val="000831BA"/>
    <w:rsid w:val="000A42CC"/>
    <w:rsid w:val="000E7DD9"/>
    <w:rsid w:val="0010095E"/>
    <w:rsid w:val="00125B37"/>
    <w:rsid w:val="00127E73"/>
    <w:rsid w:val="00187494"/>
    <w:rsid w:val="001F32AE"/>
    <w:rsid w:val="002767FF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354CB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52C13"/>
    <w:rsid w:val="00A778C7"/>
    <w:rsid w:val="00AB441E"/>
    <w:rsid w:val="00AB6293"/>
    <w:rsid w:val="00AC6FA4"/>
    <w:rsid w:val="00AE0928"/>
    <w:rsid w:val="00AF3B82"/>
    <w:rsid w:val="00B12E95"/>
    <w:rsid w:val="00B22876"/>
    <w:rsid w:val="00B558F0"/>
    <w:rsid w:val="00BD48FE"/>
    <w:rsid w:val="00BD7BD8"/>
    <w:rsid w:val="00BE6ADC"/>
    <w:rsid w:val="00C01072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870A65E"/>
  <w15:chartTrackingRefBased/>
  <w15:docId w15:val="{F50E300C-1ABC-456F-893B-DDDA054989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pl-PL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Hanging12a">
    <w:name w:val="NormalHanging12a"/>
    <w:basedOn w:val="Normal"/>
    <w:link w:val="NormalHanging12aChar"/>
    <w:rsid w:val="00AC6FA4"/>
    <w:pPr>
      <w:spacing w:after="240"/>
      <w:ind w:left="567" w:hanging="567"/>
    </w:pPr>
  </w:style>
  <w:style w:type="paragraph" w:customStyle="1" w:styleId="EPComma">
    <w:name w:val="EPComma"/>
    <w:basedOn w:val="Normal"/>
    <w:rsid w:val="00AC6FA4"/>
    <w:pPr>
      <w:spacing w:before="480" w:after="240"/>
    </w:pPr>
  </w:style>
  <w:style w:type="character" w:customStyle="1" w:styleId="NormalHanging12aChar">
    <w:name w:val="NormalHanging12a Char"/>
    <w:basedOn w:val="DefaultParagraphFont"/>
    <w:link w:val="NormalHanging12a"/>
    <w:locked/>
    <w:rsid w:val="00AC6FA4"/>
    <w:rPr>
      <w:sz w:val="24"/>
      <w:lang w:val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CEC2CE1-7DB4-4E01-84C1-D79766CCF42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688</Words>
  <Characters>3925</Characters>
  <Application>Microsoft Office Word</Application>
  <DocSecurity>0</DocSecurity>
  <Lines>32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4604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BOZYK-MAZURENKO Agnieszka</dc:creator>
  <cp:keywords/>
  <cp:lastModifiedBy>BOZYK-MAZURENKO Agnieszka</cp:lastModifiedBy>
  <cp:revision>2</cp:revision>
  <cp:lastPrinted>2004-11-19T15:42:00Z</cp:lastPrinted>
  <dcterms:created xsi:type="dcterms:W3CDTF">2024-04-25T12:08:00Z</dcterms:created>
  <dcterms:modified xsi:type="dcterms:W3CDTF">2024-04-25T12:08:00Z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PL</vt:lpwstr>
  </property>
  <property fmtid="{D5CDD505-2E9C-101B-9397-08002B2CF9AE}" pid="3" name="&lt;FdR&gt;">
    <vt:lpwstr>B9-0238/2024</vt:lpwstr>
  </property>
  <property fmtid="{D5CDD505-2E9C-101B-9397-08002B2CF9AE}" pid="4" name="&lt;Type&gt;">
    <vt:lpwstr>RR</vt:lpwstr>
  </property>
</Properties>
</file>