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71EF" w:rsidTr="0010095E">
        <w:trPr>
          <w:trHeight w:hRule="exact" w:val="1418"/>
        </w:trPr>
        <w:tc>
          <w:tcPr>
            <w:tcW w:w="6804" w:type="dxa"/>
            <w:shd w:val="clear" w:color="auto" w:fill="auto"/>
            <w:vAlign w:val="center"/>
          </w:tcPr>
          <w:p w:rsidR="00751A4A" w:rsidRPr="00C171EF" w:rsidRDefault="0030530E" w:rsidP="0010095E">
            <w:pPr>
              <w:pStyle w:val="EPName"/>
            </w:pPr>
            <w:r w:rsidRPr="00C171EF">
              <w:t>Evropský parlament</w:t>
            </w:r>
          </w:p>
          <w:p w:rsidR="00751A4A" w:rsidRPr="00C171EF" w:rsidRDefault="00817416" w:rsidP="00756632">
            <w:pPr>
              <w:pStyle w:val="EPTerm"/>
              <w:rPr>
                <w:rStyle w:val="HideTWBExt"/>
                <w:noProof w:val="0"/>
                <w:vanish w:val="0"/>
                <w:color w:val="auto"/>
              </w:rPr>
            </w:pPr>
            <w:r w:rsidRPr="00C171EF">
              <w:t>2019-2024</w:t>
            </w:r>
          </w:p>
        </w:tc>
        <w:tc>
          <w:tcPr>
            <w:tcW w:w="2268" w:type="dxa"/>
            <w:shd w:val="clear" w:color="auto" w:fill="auto"/>
          </w:tcPr>
          <w:p w:rsidR="00751A4A" w:rsidRPr="00C171EF" w:rsidRDefault="00187494" w:rsidP="0010095E">
            <w:pPr>
              <w:pStyle w:val="EPLogo"/>
            </w:pPr>
            <w:r w:rsidRPr="00C171E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171EF" w:rsidRDefault="00D058B8" w:rsidP="004C5D52">
      <w:pPr>
        <w:pStyle w:val="LineTop"/>
      </w:pPr>
    </w:p>
    <w:p w:rsidR="00680577" w:rsidRPr="00C171EF" w:rsidRDefault="0030530E" w:rsidP="00680577">
      <w:pPr>
        <w:pStyle w:val="EPBodyTA1"/>
      </w:pPr>
      <w:r w:rsidRPr="00C171EF">
        <w:t>PŘIJATÉ TEXTY</w:t>
      </w:r>
    </w:p>
    <w:p w:rsidR="00D058B8" w:rsidRPr="00C171EF" w:rsidRDefault="00D058B8" w:rsidP="00D058B8">
      <w:pPr>
        <w:pStyle w:val="LineBottom"/>
      </w:pPr>
    </w:p>
    <w:p w:rsidR="0030530E" w:rsidRPr="00C171EF" w:rsidRDefault="0030530E" w:rsidP="0030530E">
      <w:pPr>
        <w:pStyle w:val="ATHeading1"/>
      </w:pPr>
      <w:bookmarkStart w:id="0" w:name="TANumber"/>
      <w:r w:rsidRPr="00C171EF">
        <w:t>P9_TA(2024)0</w:t>
      </w:r>
      <w:r w:rsidR="001529D3">
        <w:t>372</w:t>
      </w:r>
      <w:bookmarkEnd w:id="0"/>
    </w:p>
    <w:p w:rsidR="0030530E" w:rsidRPr="00C171EF" w:rsidRDefault="0030530E" w:rsidP="0030530E">
      <w:pPr>
        <w:pStyle w:val="ATHeading2"/>
      </w:pPr>
      <w:bookmarkStart w:id="1" w:name="title"/>
      <w:r w:rsidRPr="00C171EF">
        <w:t>Interinstitucionální orgán pro etické normy</w:t>
      </w:r>
      <w:bookmarkEnd w:id="1"/>
    </w:p>
    <w:p w:rsidR="0030530E" w:rsidRPr="00C171EF" w:rsidRDefault="0030530E" w:rsidP="0030530E">
      <w:pPr>
        <w:rPr>
          <w:i/>
          <w:vanish/>
        </w:rPr>
      </w:pPr>
      <w:r w:rsidRPr="00C171EF">
        <w:rPr>
          <w:i/>
        </w:rPr>
        <w:fldChar w:fldCharType="begin"/>
      </w:r>
      <w:r w:rsidRPr="00C171EF">
        <w:rPr>
          <w:i/>
        </w:rPr>
        <w:instrText xml:space="preserve"> TC"(</w:instrText>
      </w:r>
      <w:bookmarkStart w:id="2" w:name="DocNumber"/>
      <w:r w:rsidRPr="00C171EF">
        <w:rPr>
          <w:i/>
        </w:rPr>
        <w:instrText>A9-0181/2024</w:instrText>
      </w:r>
      <w:bookmarkEnd w:id="2"/>
      <w:r w:rsidRPr="00C171EF">
        <w:rPr>
          <w:i/>
        </w:rPr>
        <w:instrText xml:space="preserve"> - Zpravodaj: Daniel Freund)"\l3 \n&gt; \* MERGEFORMAT </w:instrText>
      </w:r>
      <w:r w:rsidRPr="00C171EF">
        <w:rPr>
          <w:i/>
        </w:rPr>
        <w:fldChar w:fldCharType="end"/>
      </w:r>
    </w:p>
    <w:p w:rsidR="0030530E" w:rsidRPr="00C171EF" w:rsidRDefault="0030530E" w:rsidP="0030530E">
      <w:pPr>
        <w:rPr>
          <w:vanish/>
        </w:rPr>
      </w:pPr>
      <w:bookmarkStart w:id="3" w:name="Commission"/>
      <w:r w:rsidRPr="00C171EF">
        <w:rPr>
          <w:vanish/>
        </w:rPr>
        <w:t>Výbor pro ústavní záležitosti</w:t>
      </w:r>
      <w:bookmarkEnd w:id="3"/>
    </w:p>
    <w:p w:rsidR="0030530E" w:rsidRPr="00C171EF" w:rsidRDefault="0030530E" w:rsidP="0030530E">
      <w:pPr>
        <w:rPr>
          <w:vanish/>
        </w:rPr>
      </w:pPr>
      <w:bookmarkStart w:id="4" w:name="PE"/>
      <w:r w:rsidRPr="00C171EF">
        <w:rPr>
          <w:vanish/>
        </w:rPr>
        <w:t>PE759.998</w:t>
      </w:r>
      <w:bookmarkEnd w:id="4"/>
    </w:p>
    <w:p w:rsidR="0030530E" w:rsidRPr="00C171EF" w:rsidRDefault="0030530E" w:rsidP="0030530E">
      <w:pPr>
        <w:pStyle w:val="ATHeading3"/>
      </w:pPr>
      <w:bookmarkStart w:id="5" w:name="Sujet"/>
      <w:r w:rsidRPr="00C171EF">
        <w:t>Rozhodnutí Evropského parlamentu ze dne 25. dubna 2024 o uzavření dohody mezi Evropským parlamentem, Radou</w:t>
      </w:r>
      <w:r w:rsidR="006A394A">
        <w:t xml:space="preserve"> Evropské unie</w:t>
      </w:r>
      <w:r w:rsidRPr="00C171EF">
        <w:t>, Evropskou komisí, Soudním dvorem Evropské unie, Evropskou centrální bankou,</w:t>
      </w:r>
      <w:r w:rsidR="005F39F7">
        <w:t xml:space="preserve"> Evropským</w:t>
      </w:r>
      <w:r w:rsidRPr="00C171EF">
        <w:t xml:space="preserve"> </w:t>
      </w:r>
      <w:r w:rsidR="005F39F7">
        <w:t>ú</w:t>
      </w:r>
      <w:r w:rsidRPr="00C171EF">
        <w:t xml:space="preserve">četním dvorem, </w:t>
      </w:r>
      <w:r w:rsidR="005F39F7">
        <w:t>Evropským h</w:t>
      </w:r>
      <w:r w:rsidRPr="00C171EF">
        <w:t>ospodářským a sociálním výborem a </w:t>
      </w:r>
      <w:r w:rsidR="005F39F7">
        <w:t>Evropským v</w:t>
      </w:r>
      <w:r w:rsidRPr="00C171EF">
        <w:t>ýborem regionů, kterou se zřizuje interinstitucionální orgán pro etické normy pro členy orgánů a poradních institucí uvedených v článku 13 Smlouvy o Evropské unii</w:t>
      </w:r>
      <w:bookmarkEnd w:id="5"/>
      <w:r w:rsidRPr="00C171EF">
        <w:t xml:space="preserve"> </w:t>
      </w:r>
      <w:bookmarkStart w:id="6" w:name="References"/>
      <w:r w:rsidRPr="00C171EF">
        <w:t>(2024/2008(ACI))</w:t>
      </w:r>
      <w:bookmarkEnd w:id="6"/>
    </w:p>
    <w:p w:rsidR="00D37E6E" w:rsidRPr="00C171EF" w:rsidRDefault="00D37E6E" w:rsidP="00D37E6E">
      <w:pPr>
        <w:pStyle w:val="EPComma"/>
      </w:pPr>
      <w:bookmarkStart w:id="7" w:name="TextBodyBegin"/>
      <w:bookmarkEnd w:id="7"/>
      <w:r w:rsidRPr="00C171EF">
        <w:rPr>
          <w:i/>
        </w:rPr>
        <w:t>Evropský parlament</w:t>
      </w:r>
      <w:r w:rsidRPr="00C171EF">
        <w:t>,</w:t>
      </w:r>
    </w:p>
    <w:p w:rsidR="00D37E6E" w:rsidRPr="00C171EF" w:rsidRDefault="00D37E6E" w:rsidP="001170BB">
      <w:pPr>
        <w:pStyle w:val="NormalHanging12a"/>
      </w:pPr>
      <w:r w:rsidRPr="00C171EF">
        <w:t>–</w:t>
      </w:r>
      <w:r w:rsidRPr="00C171EF">
        <w:tab/>
        <w:t>s ohledem na rozhodnutí Konference předsedů ze dne 14. a 19. března 2024, kterými se schvaluje návrh interinstitucionální dohody, kterou se zřizuje interinstitucionální orgán pro etické normy pro členy orgánů a poradních institucí uvedených v článku 13 Smlouvy o Evropské unii,</w:t>
      </w:r>
    </w:p>
    <w:p w:rsidR="00D37E6E" w:rsidRPr="00C171EF" w:rsidRDefault="00D37E6E" w:rsidP="001170BB">
      <w:pPr>
        <w:pStyle w:val="NormalHanging12a"/>
      </w:pPr>
      <w:r w:rsidRPr="00C171EF">
        <w:t>–</w:t>
      </w:r>
      <w:r w:rsidRPr="00C171EF">
        <w:tab/>
        <w:t>s ohledem na návrh dohody mezi Evropským parlamentem, Radou</w:t>
      </w:r>
      <w:r w:rsidR="006A394A">
        <w:t xml:space="preserve"> Evropské unie</w:t>
      </w:r>
      <w:r w:rsidRPr="00C171EF">
        <w:t xml:space="preserve">, Evropskou komisí, Soudním dvorem Evropské unie, Evropskou centrální bankou, </w:t>
      </w:r>
      <w:r w:rsidR="005F39F7">
        <w:t>Evropským ú</w:t>
      </w:r>
      <w:r w:rsidRPr="00C171EF">
        <w:t xml:space="preserve">četním dvorem, </w:t>
      </w:r>
      <w:r w:rsidR="005F39F7">
        <w:t>Evropským h</w:t>
      </w:r>
      <w:r w:rsidRPr="00C171EF">
        <w:t xml:space="preserve">ospodářským a sociálním výborem a </w:t>
      </w:r>
      <w:r w:rsidR="005F39F7">
        <w:t>Evropským v</w:t>
      </w:r>
      <w:r w:rsidRPr="00C171EF">
        <w:t>ýborem regionů, kterou se zřizuje interinstitucionální orgán pro etické normy pro členy orgánů a poradních institucí uvedených v článku 13 Smlouvy o Evropské unii (dále jen „dohoda“),</w:t>
      </w:r>
    </w:p>
    <w:p w:rsidR="00D37E6E" w:rsidRPr="00C171EF" w:rsidRDefault="00D37E6E" w:rsidP="001170BB">
      <w:pPr>
        <w:pStyle w:val="NormalHanging12a"/>
      </w:pPr>
      <w:r w:rsidRPr="00C171EF">
        <w:t>–</w:t>
      </w:r>
      <w:r w:rsidRPr="00C171EF">
        <w:tab/>
        <w:t>s ohledem na článek 13 Smlouvy o Evropské unii,</w:t>
      </w:r>
    </w:p>
    <w:p w:rsidR="00D37E6E" w:rsidRPr="00C171EF" w:rsidRDefault="00D37E6E" w:rsidP="001170BB">
      <w:pPr>
        <w:pStyle w:val="NormalHanging12a"/>
      </w:pPr>
      <w:r w:rsidRPr="00C171EF">
        <w:t>–</w:t>
      </w:r>
      <w:r w:rsidRPr="00C171EF">
        <w:tab/>
        <w:t>s ohledem na článek 232 Smlouvy o fungování Evropské unie,</w:t>
      </w:r>
    </w:p>
    <w:p w:rsidR="00D37E6E" w:rsidRPr="00C171EF" w:rsidRDefault="00D37E6E" w:rsidP="001170BB">
      <w:pPr>
        <w:pStyle w:val="NormalHanging12a"/>
      </w:pPr>
      <w:r w:rsidRPr="00C171EF">
        <w:t>–</w:t>
      </w:r>
      <w:r w:rsidRPr="00C171EF">
        <w:tab/>
        <w:t>s ohledem na sdělení Komise ze dne 8. června 2023 o návrhu na zřízení interinstitucionálního orgánu pro etiku a jeho přílohy</w:t>
      </w:r>
      <w:r w:rsidR="001170BB">
        <w:t xml:space="preserve"> (COM(2023)0311)</w:t>
      </w:r>
      <w:r w:rsidRPr="00C171EF">
        <w:t>,</w:t>
      </w:r>
    </w:p>
    <w:p w:rsidR="00D37E6E" w:rsidRPr="00C171EF" w:rsidRDefault="00D37E6E" w:rsidP="001170BB">
      <w:pPr>
        <w:pStyle w:val="NormalHanging12a"/>
      </w:pPr>
      <w:r w:rsidRPr="00C171EF">
        <w:t>–</w:t>
      </w:r>
      <w:r w:rsidRPr="00C171EF">
        <w:tab/>
        <w:t>s ohledem na své usnesení ze dne 16. září 2021 o posílení transparentnosti a integrity v orgánech EU zřízením nezávislého orgánu EU pro etiku</w:t>
      </w:r>
      <w:r w:rsidRPr="00C171EF">
        <w:rPr>
          <w:rStyle w:val="FootnoteReference"/>
        </w:rPr>
        <w:footnoteReference w:id="1"/>
      </w:r>
      <w:r w:rsidRPr="00C171EF">
        <w:t>,</w:t>
      </w:r>
    </w:p>
    <w:p w:rsidR="00D37E6E" w:rsidRPr="00C171EF" w:rsidRDefault="00D37E6E" w:rsidP="001170BB">
      <w:pPr>
        <w:pStyle w:val="NormalHanging12a"/>
      </w:pPr>
      <w:r w:rsidRPr="00C171EF">
        <w:t>–</w:t>
      </w:r>
      <w:r w:rsidRPr="00C171EF">
        <w:tab/>
        <w:t>s ohledem na své usnesení ze dne 15. prosince 2022 o podezření na korupci ze strany Kataru a širší potřebě transparentnosti a odpovědnosti v evropských orgánech a institucích</w:t>
      </w:r>
      <w:r w:rsidRPr="00C171EF">
        <w:rPr>
          <w:rStyle w:val="FootnoteReference"/>
        </w:rPr>
        <w:footnoteReference w:id="2"/>
      </w:r>
      <w:r w:rsidRPr="00C171EF">
        <w:t>,</w:t>
      </w:r>
    </w:p>
    <w:p w:rsidR="00D37E6E" w:rsidRPr="00C171EF" w:rsidRDefault="00D37E6E" w:rsidP="001170BB">
      <w:pPr>
        <w:pStyle w:val="NormalHanging12a"/>
      </w:pPr>
      <w:r w:rsidRPr="00C171EF">
        <w:t>–</w:t>
      </w:r>
      <w:r w:rsidRPr="00C171EF">
        <w:tab/>
        <w:t xml:space="preserve">s ohledem na své usnesení ze dne 16. února 2023 o zřízení nezávislého orgánu EU pro </w:t>
      </w:r>
      <w:r w:rsidRPr="00C171EF">
        <w:lastRenderedPageBreak/>
        <w:t>etiku</w:t>
      </w:r>
      <w:r w:rsidRPr="00C171EF">
        <w:rPr>
          <w:rStyle w:val="FootnoteReference"/>
        </w:rPr>
        <w:footnoteReference w:id="3"/>
      </w:r>
      <w:r w:rsidRPr="00C171EF">
        <w:t>,</w:t>
      </w:r>
    </w:p>
    <w:p w:rsidR="00D37E6E" w:rsidRPr="00C171EF" w:rsidRDefault="00D37E6E" w:rsidP="001170BB">
      <w:pPr>
        <w:pStyle w:val="NormalHanging12a"/>
      </w:pPr>
      <w:r w:rsidRPr="00C171EF">
        <w:t>–</w:t>
      </w:r>
      <w:r w:rsidRPr="00C171EF">
        <w:tab/>
        <w:t>s ohledem na své usnesení ze dne 16. února 2023 o monitorování opatření požadovaných Parlamentem s cílem posílit integritu evropských orgánů a institucí</w:t>
      </w:r>
      <w:r w:rsidRPr="00C171EF">
        <w:rPr>
          <w:rStyle w:val="FootnoteReference"/>
        </w:rPr>
        <w:footnoteReference w:id="4"/>
      </w:r>
      <w:r w:rsidRPr="00C171EF">
        <w:t>,</w:t>
      </w:r>
    </w:p>
    <w:p w:rsidR="00D37E6E" w:rsidRPr="00C171EF" w:rsidRDefault="00D37E6E" w:rsidP="001170BB">
      <w:pPr>
        <w:pStyle w:val="NormalHanging12a"/>
      </w:pPr>
      <w:r w:rsidRPr="00C171EF">
        <w:t>–</w:t>
      </w:r>
      <w:r w:rsidRPr="00C171EF">
        <w:tab/>
        <w:t>s ohledem na své usnesení ze dne 12. července 2023 o zřízení orgánu EU pro etiku</w:t>
      </w:r>
      <w:r w:rsidRPr="00C171EF">
        <w:rPr>
          <w:rStyle w:val="FootnoteReference"/>
        </w:rPr>
        <w:footnoteReference w:id="5"/>
      </w:r>
      <w:r w:rsidRPr="00C171EF">
        <w:t>,</w:t>
      </w:r>
    </w:p>
    <w:p w:rsidR="00D37E6E" w:rsidRPr="00C171EF" w:rsidRDefault="00D37E6E" w:rsidP="001170BB">
      <w:pPr>
        <w:spacing w:after="240"/>
        <w:ind w:left="567" w:hanging="567"/>
        <w:rPr>
          <w:szCs w:val="24"/>
        </w:rPr>
      </w:pPr>
      <w:r w:rsidRPr="00C171EF">
        <w:t>–</w:t>
      </w:r>
      <w:r w:rsidRPr="00C171EF">
        <w:tab/>
        <w:t>s ohledem na své usnesení ze dne 13. července 2023 o doporučení k reformě pravidel Evropského parlamentu týkajících se transparentnosti, bezúhonnosti, odpovědnosti a boje proti korupci</w:t>
      </w:r>
      <w:r w:rsidRPr="00C171EF">
        <w:rPr>
          <w:vertAlign w:val="superscript"/>
        </w:rPr>
        <w:footnoteReference w:id="6"/>
      </w:r>
      <w:r w:rsidRPr="00C171EF">
        <w:t>,</w:t>
      </w:r>
    </w:p>
    <w:p w:rsidR="00D37E6E" w:rsidRPr="00C171EF" w:rsidRDefault="00D37E6E" w:rsidP="001170BB">
      <w:pPr>
        <w:pStyle w:val="NormalHanging12a"/>
      </w:pPr>
      <w:r w:rsidRPr="00C171EF">
        <w:t>–</w:t>
      </w:r>
      <w:r w:rsidRPr="00C171EF">
        <w:tab/>
        <w:t>s ohledem na čl. 148 odst. 1 jednacího řádu,</w:t>
      </w:r>
    </w:p>
    <w:p w:rsidR="00D37E6E" w:rsidRPr="00C171EF" w:rsidRDefault="00D37E6E" w:rsidP="001170BB">
      <w:pPr>
        <w:pStyle w:val="NormalHanging12a"/>
      </w:pPr>
      <w:r w:rsidRPr="00C171EF">
        <w:t>–</w:t>
      </w:r>
      <w:r w:rsidRPr="00C171EF">
        <w:tab/>
        <w:t>s ohledem na zprávu Výboru pro ústavní záležitosti (A9-0181/2024),</w:t>
      </w:r>
    </w:p>
    <w:p w:rsidR="00D37E6E" w:rsidRPr="00C171EF" w:rsidRDefault="00D37E6E" w:rsidP="001170BB">
      <w:pPr>
        <w:pStyle w:val="NormalHanging12a"/>
        <w:rPr>
          <w:szCs w:val="24"/>
        </w:rPr>
      </w:pPr>
      <w:r w:rsidRPr="00C171EF">
        <w:t>A.</w:t>
      </w:r>
      <w:r w:rsidRPr="00C171EF">
        <w:tab/>
        <w:t>vzhledem k tomu, že pro demokratickou legitimitu orgánů EU a větší důvěru občanů v</w:t>
      </w:r>
      <w:r w:rsidR="00B715BF" w:rsidRPr="00C171EF">
        <w:t> </w:t>
      </w:r>
      <w:r w:rsidRPr="00C171EF">
        <w:t>tyto orgány je mimořádně důležitá jejich nezávislost, transparentnost a odpovědnost;</w:t>
      </w:r>
      <w:r w:rsidRPr="00C171EF">
        <w:rPr>
          <w:b/>
        </w:rPr>
        <w:t xml:space="preserve"> </w:t>
      </w:r>
      <w:r w:rsidRPr="00C171EF">
        <w:t>vzhledem k tomu, že Evropský parlament je dnes jedním z nejtransparentnějších zákonodárných sborů na světě;</w:t>
      </w:r>
    </w:p>
    <w:p w:rsidR="00D37E6E" w:rsidRPr="00C171EF" w:rsidRDefault="00D37E6E" w:rsidP="001170BB">
      <w:pPr>
        <w:pStyle w:val="NormalHanging12a"/>
      </w:pPr>
      <w:r w:rsidRPr="00C171EF">
        <w:t>B.</w:t>
      </w:r>
      <w:r w:rsidRPr="00C171EF">
        <w:tab/>
        <w:t>vzhledem k tomu, že je třeba řešit nedostatky současného rámce pro etiku, který je v</w:t>
      </w:r>
      <w:r w:rsidR="00B715BF" w:rsidRPr="00C171EF">
        <w:t> </w:t>
      </w:r>
      <w:r w:rsidRPr="00C171EF">
        <w:t>orgánech, institucích a jiných subjektech EU nejednotný a vyznačuje se odlišnými pravidly a postupy a různou mírou prosazování;</w:t>
      </w:r>
    </w:p>
    <w:p w:rsidR="00D37E6E" w:rsidRPr="00C171EF" w:rsidRDefault="00D37E6E" w:rsidP="001170BB">
      <w:pPr>
        <w:pStyle w:val="NormalHanging12a"/>
      </w:pPr>
      <w:r w:rsidRPr="00C171EF">
        <w:t>C.</w:t>
      </w:r>
      <w:r w:rsidRPr="00C171EF">
        <w:tab/>
        <w:t>vzhledem k tomu, že Parlament ve svém usnesení ze dne 16. září 2021</w:t>
      </w:r>
      <w:r w:rsidR="00B715BF">
        <w:rPr>
          <w:rStyle w:val="FootnoteReference"/>
        </w:rPr>
        <w:footnoteReference w:id="7"/>
      </w:r>
      <w:r w:rsidRPr="00C171EF">
        <w:t xml:space="preserve"> navrhl zřízení nezávislého orgánu s rozsáhlými pravomocemi, který by působil jako skutečný orgán pro etiku, a že tento návrh zopakoval v usneseních ze dne 16. února 2023</w:t>
      </w:r>
      <w:r w:rsidR="00B715BF">
        <w:rPr>
          <w:rStyle w:val="FootnoteReference"/>
        </w:rPr>
        <w:footnoteReference w:id="8"/>
      </w:r>
      <w:r w:rsidRPr="00C171EF">
        <w:t xml:space="preserve"> a 12. července 2023</w:t>
      </w:r>
      <w:r w:rsidR="00B715BF">
        <w:rPr>
          <w:rStyle w:val="FootnoteReference"/>
        </w:rPr>
        <w:footnoteReference w:id="9"/>
      </w:r>
      <w:r w:rsidRPr="00C171EF">
        <w:t>;</w:t>
      </w:r>
    </w:p>
    <w:p w:rsidR="00D37E6E" w:rsidRPr="00C171EF" w:rsidRDefault="00D37E6E" w:rsidP="001170BB">
      <w:pPr>
        <w:pStyle w:val="NormalHanging12a"/>
        <w:rPr>
          <w:szCs w:val="24"/>
        </w:rPr>
      </w:pPr>
      <w:r w:rsidRPr="00C171EF">
        <w:t>D.</w:t>
      </w:r>
      <w:r w:rsidRPr="00C171EF">
        <w:tab/>
        <w:t>vzhledem k tomu, že Komise dne 8. června 2023 předložila návrh na zřízení interinstitucionálního orgánu pro etiku, který by měl být normalizačním orgánem; vzhledem k tomu, že návrh Komise zdaleka nenaplnil náročné představy Parlamentu uvedené ve výše zmíněných usneseních, neboť tento orgán zejména nemůže posuzovat individuální případy a podezření na porušení etických pravidel ani doporučovat sankce;</w:t>
      </w:r>
    </w:p>
    <w:p w:rsidR="00D37E6E" w:rsidRPr="00C171EF" w:rsidRDefault="00D37E6E" w:rsidP="001170BB">
      <w:pPr>
        <w:pStyle w:val="NormalHanging12a"/>
        <w:rPr>
          <w:color w:val="000000"/>
        </w:rPr>
      </w:pPr>
      <w:r w:rsidRPr="00C171EF">
        <w:t>E.</w:t>
      </w:r>
      <w:r w:rsidRPr="00C171EF">
        <w:tab/>
        <w:t>vzhledem k tomu, že jako mandát Parlamentu k jednáním sloužila jeho usnesení ze dne 16. února 2023</w:t>
      </w:r>
      <w:r w:rsidRPr="00C171EF">
        <w:rPr>
          <w:rStyle w:val="FootnoteReference"/>
        </w:rPr>
        <w:footnoteReference w:id="10"/>
      </w:r>
      <w:r w:rsidRPr="00C171EF">
        <w:t xml:space="preserve"> a ze dne 12. července 2023</w:t>
      </w:r>
      <w:r w:rsidRPr="00C171EF">
        <w:rPr>
          <w:rStyle w:val="FootnoteReference"/>
          <w:color w:val="000000"/>
        </w:rPr>
        <w:footnoteReference w:id="11"/>
      </w:r>
      <w:r w:rsidRPr="00C171EF">
        <w:t>;</w:t>
      </w:r>
    </w:p>
    <w:p w:rsidR="00D37E6E" w:rsidRPr="00C171EF" w:rsidRDefault="00D37E6E" w:rsidP="001170BB">
      <w:pPr>
        <w:pStyle w:val="NormalHanging12a"/>
      </w:pPr>
      <w:r w:rsidRPr="00C171EF">
        <w:t>F.</w:t>
      </w:r>
      <w:r w:rsidRPr="00C171EF">
        <w:tab/>
      </w:r>
      <w:r w:rsidRPr="00C171EF">
        <w:rPr>
          <w:color w:val="000000"/>
        </w:rPr>
        <w:t>vzhledem k tomu, že interinstitucionální orgán pro etiku přispěje k posílení důvěry v</w:t>
      </w:r>
      <w:r w:rsidR="00B715BF" w:rsidRPr="00C171EF">
        <w:t> </w:t>
      </w:r>
      <w:r w:rsidRPr="00C171EF">
        <w:rPr>
          <w:color w:val="000000"/>
        </w:rPr>
        <w:t>orgány EU a jejich demokratickou legitimitu a rovněž k vytvoření institucionální kultury založené na nejvyšších etických standardech;</w:t>
      </w:r>
    </w:p>
    <w:p w:rsidR="00D37E6E" w:rsidRPr="00C171EF" w:rsidRDefault="00D37E6E" w:rsidP="001170BB">
      <w:pPr>
        <w:pStyle w:val="NormalHanging12a"/>
      </w:pPr>
      <w:r w:rsidRPr="00C171EF">
        <w:t>G.</w:t>
      </w:r>
      <w:r w:rsidRPr="00C171EF">
        <w:tab/>
        <w:t xml:space="preserve">vzhledem k tomu, že stávající etická pravidla Parlamentu uvedená v jednacím řádu </w:t>
      </w:r>
      <w:r w:rsidRPr="00C171EF">
        <w:lastRenderedPageBreak/>
        <w:t xml:space="preserve">stanoví řadu standardizovaných písemných prohlášení, včetně prohlášení o soukromých zájmech, majetkového přiznání, prohlášení </w:t>
      </w:r>
      <w:r w:rsidR="00C32F12">
        <w:t>funkcionářů</w:t>
      </w:r>
      <w:r w:rsidRPr="00C171EF">
        <w:t xml:space="preserve"> </w:t>
      </w:r>
      <w:r w:rsidR="00B715BF">
        <w:t>Parlamentu</w:t>
      </w:r>
      <w:r w:rsidRPr="00C171EF">
        <w:t xml:space="preserve">, zpravodajů, stínových zpravodajů a účastníků oficiální delegace či interinstitucionálních jednání o střetu zájmů, </w:t>
      </w:r>
      <w:r w:rsidR="00FC4CDC">
        <w:t xml:space="preserve">který je jim znám, </w:t>
      </w:r>
      <w:r w:rsidRPr="00C171EF">
        <w:t>prohlášení o plánovaných setkáních s představiteli zájmových skupin, a to i tehdy, pokud poslance zastupují jejich asistenti, prohlášení o podnětech, které zpravodajové obdrželi při vypracování svých návrhů, prohlášení o účasti na akcích pořádaných třetími stranami, prohlášení o darech a prohlášení meziskupin a neoficiálních seskupení o vnější finanční podpoře;</w:t>
      </w:r>
    </w:p>
    <w:p w:rsidR="00D37E6E" w:rsidRPr="00C171EF" w:rsidRDefault="00D37E6E" w:rsidP="001170BB">
      <w:pPr>
        <w:pStyle w:val="NormalHanging12a"/>
        <w:rPr>
          <w:szCs w:val="24"/>
        </w:rPr>
      </w:pPr>
      <w:r w:rsidRPr="00C171EF">
        <w:t>1.</w:t>
      </w:r>
      <w:r w:rsidRPr="00C171EF">
        <w:tab/>
        <w:t>oceňuje, že dohoda umožňuje vypracování přísných společných etických norem, výměnu osvědčených postupů a přezkum individuálních případů nezávislými odborníky, pokud o to v souvislosti s konkrétním prohlášením některého svého člena požádá orgán nebo poradní instituce, která je smluvní stranou dohody;</w:t>
      </w:r>
    </w:p>
    <w:p w:rsidR="00D37E6E" w:rsidRPr="00C171EF" w:rsidRDefault="00D37E6E" w:rsidP="001170BB">
      <w:pPr>
        <w:pStyle w:val="NormalHanging12a"/>
        <w:rPr>
          <w:szCs w:val="24"/>
        </w:rPr>
      </w:pPr>
      <w:r w:rsidRPr="00C171EF">
        <w:t>2.</w:t>
      </w:r>
      <w:r w:rsidRPr="00C171EF">
        <w:tab/>
        <w:t xml:space="preserve">zdůrazňuje, že konečné rozhodnutí o uplatňování i nadále přijímají příslušné útvary orgánů a institucí; konstatuje, že každá konzultace konkrétního případu s nezávislými odborníky je zahájena na základě žádosti, kterou v souvislosti se svými členy předložila podle svých interních pravidel smluvní strana dohody; zdůrazňuje, že prohlášení o finančních zájmech kandidátů na komisaře by jako případy na vysoké úrovni, které přesahují zájmy dotčeného orgánu, měla být vždy přezkoumána nezávislými odborníky; </w:t>
      </w:r>
    </w:p>
    <w:p w:rsidR="00D37E6E" w:rsidRPr="00C171EF" w:rsidRDefault="00D37E6E" w:rsidP="001170BB">
      <w:pPr>
        <w:pStyle w:val="NormalHanging12a"/>
        <w:rPr>
          <w:szCs w:val="24"/>
        </w:rPr>
      </w:pPr>
      <w:r w:rsidRPr="00C171EF">
        <w:t>3.</w:t>
      </w:r>
      <w:r w:rsidRPr="00C171EF">
        <w:tab/>
        <w:t>opakuje však, že Parlament i nadále rozhodně prosazuje, aby vznikl nezávislý orgán pro etiku, který bude moci z vlastní iniciativy vést vyšetřování a vydávat doporučení příslušným útvarům zúčastněných orgánů nebo institucí ohledně sankcí, jehož řádnými členy budou nezávislí odborníci a který bude mít pravomoc vůči členům i zaměstnancům orgánů, institucí a subjektů EU před nástupem do funkce, během funkčního období a po jeho skončení, jak uvedl ve svém usnesení ze dne 16. září 2021</w:t>
      </w:r>
      <w:r w:rsidRPr="00C171EF">
        <w:rPr>
          <w:vertAlign w:val="superscript"/>
        </w:rPr>
        <w:footnoteReference w:id="12"/>
      </w:r>
      <w:r w:rsidRPr="00C171EF">
        <w:t xml:space="preserve"> a potvrdil v</w:t>
      </w:r>
      <w:r w:rsidR="006E4737">
        <w:t>e</w:t>
      </w:r>
      <w:r w:rsidRPr="00C171EF">
        <w:t> </w:t>
      </w:r>
      <w:r w:rsidR="006E4737">
        <w:t xml:space="preserve">svých </w:t>
      </w:r>
      <w:r w:rsidRPr="00C171EF">
        <w:t>usneseních ze dne 16. února 2023</w:t>
      </w:r>
      <w:r w:rsidRPr="00C171EF">
        <w:rPr>
          <w:vertAlign w:val="superscript"/>
        </w:rPr>
        <w:footnoteReference w:id="13"/>
      </w:r>
      <w:r w:rsidRPr="00C171EF">
        <w:t xml:space="preserve"> a ze dne 12. července 2023</w:t>
      </w:r>
      <w:r w:rsidRPr="00C171EF">
        <w:rPr>
          <w:vertAlign w:val="superscript"/>
        </w:rPr>
        <w:footnoteReference w:id="14"/>
      </w:r>
      <w:r w:rsidRPr="00C171EF">
        <w:t>;</w:t>
      </w:r>
    </w:p>
    <w:p w:rsidR="00D37E6E" w:rsidRPr="00C171EF" w:rsidRDefault="00D37E6E" w:rsidP="001170BB">
      <w:pPr>
        <w:pStyle w:val="NormalHanging12a"/>
      </w:pPr>
      <w:r w:rsidRPr="00C171EF">
        <w:t>4.</w:t>
      </w:r>
      <w:r w:rsidRPr="00C171EF">
        <w:tab/>
        <w:t xml:space="preserve">vyjadřuje politování nad tím, že </w:t>
      </w:r>
      <w:r w:rsidR="006A7D40">
        <w:t xml:space="preserve">se </w:t>
      </w:r>
      <w:r w:rsidRPr="00C171EF">
        <w:t>Evropská rada rozhodla, že k dohodě nepřistoupí;</w:t>
      </w:r>
    </w:p>
    <w:p w:rsidR="00D37E6E" w:rsidRPr="00C171EF" w:rsidRDefault="00D37E6E" w:rsidP="001170BB">
      <w:pPr>
        <w:pStyle w:val="NormalHanging12a"/>
      </w:pPr>
      <w:r w:rsidRPr="00C171EF">
        <w:t>5.</w:t>
      </w:r>
      <w:r w:rsidRPr="00C171EF">
        <w:tab/>
        <w:t>vyjadřuje politování nad neochotou Rady rozšířit působnost dohody na ministerské úrovni alespoň na zástupce členského státu, který vykonává předsednictví Rady, a to na základě argumentu, že pro přijetí společných minimálních norem pro zástupce členských států neexistuje ve Smlouvách právní základ; zavazuje se, že k řešení této právní mezery využije první přezkum dohody, a vyzývá nadcházející předsednictví Rady, aby její ustanovení mezitím uplatňovala dobrovolně; domnívá se, že členové Rady by se měli stejně jako poslanci Evropského parlamentu řídit pravidly stanovenými Radou na základě její vnitřní organizační pravomoci, která by v případě střetu norem měla přednost před vnitrostátní právní úpravou; v této souvislosti zdůrazňuje, že zástupci členských států v Radě jednají při přijímání právních aktů Unie jako členové Rady; zavazuje se, že se bude snažit získat právní vyjasnění ohledně toho, zda by mohla Rada na své členy uplatňovat společné minimální normy;</w:t>
      </w:r>
    </w:p>
    <w:p w:rsidR="00D37E6E" w:rsidRPr="00C171EF" w:rsidRDefault="00D37E6E" w:rsidP="001170BB">
      <w:pPr>
        <w:pStyle w:val="NormalHanging12a"/>
        <w:rPr>
          <w:szCs w:val="24"/>
        </w:rPr>
      </w:pPr>
      <w:r w:rsidRPr="00C171EF">
        <w:t>6.</w:t>
      </w:r>
      <w:r w:rsidRPr="00C171EF">
        <w:tab/>
        <w:t xml:space="preserve">domnívá se, že dostupné zdroje musí umožnit řádné fungování vlastního </w:t>
      </w:r>
      <w:r w:rsidR="006E4737" w:rsidRPr="00C171EF">
        <w:t>institucionální</w:t>
      </w:r>
      <w:r w:rsidR="006E4737">
        <w:t>ho</w:t>
      </w:r>
      <w:r w:rsidR="006E4737" w:rsidRPr="00C171EF">
        <w:t xml:space="preserve"> </w:t>
      </w:r>
      <w:r w:rsidRPr="00C171EF">
        <w:t xml:space="preserve">orgánu </w:t>
      </w:r>
      <w:r w:rsidR="006E4737">
        <w:t xml:space="preserve">pro etické normy (dále jen „orgán“) </w:t>
      </w:r>
      <w:r w:rsidRPr="00C171EF">
        <w:t xml:space="preserve">složeného z jednoho zástupce každé smluvní strany dohody a pěti nezávislých odborníků, kteří jsou nápomocni institucionálním zástupcům a mají v tomto orgánu status pozorovatelů, a </w:t>
      </w:r>
      <w:r w:rsidRPr="00C171EF">
        <w:lastRenderedPageBreak/>
        <w:t>musí být dostatečné k tomu, aby bylo možné poskytovat veškerou nezbytnou podporu; vyjadřuje politování nad tím, že podle článku 17 dohody musí veškeré náklady na konzultace s nezávislými odborníky hradit žádající strana, což může vést k tomu, že se počet těchto konzultací sníží;</w:t>
      </w:r>
    </w:p>
    <w:p w:rsidR="00D37E6E" w:rsidRPr="00C171EF" w:rsidRDefault="00D37E6E" w:rsidP="001170BB">
      <w:pPr>
        <w:pStyle w:val="NormalHanging12a"/>
      </w:pPr>
      <w:r w:rsidRPr="00C171EF">
        <w:t>7.</w:t>
      </w:r>
      <w:r w:rsidRPr="00C171EF">
        <w:tab/>
        <w:t xml:space="preserve">domnívá se, že </w:t>
      </w:r>
      <w:r w:rsidR="00B715BF">
        <w:t>je nezbytné</w:t>
      </w:r>
      <w:r w:rsidR="003177BA">
        <w:t>,</w:t>
      </w:r>
      <w:r w:rsidR="00B715BF">
        <w:t xml:space="preserve"> aby </w:t>
      </w:r>
      <w:r w:rsidRPr="00C171EF">
        <w:t xml:space="preserve">nezávislí odborníci, kteří </w:t>
      </w:r>
      <w:r w:rsidR="00B715BF">
        <w:t>mají být</w:t>
      </w:r>
      <w:r w:rsidR="00B715BF" w:rsidRPr="00C171EF">
        <w:t xml:space="preserve"> </w:t>
      </w:r>
      <w:r w:rsidRPr="00C171EF">
        <w:t>jmenováni na základě vzájemné dohody smluvních stran, nejen splňova</w:t>
      </w:r>
      <w:r w:rsidR="00B715BF">
        <w:t>li</w:t>
      </w:r>
      <w:r w:rsidRPr="00C171EF">
        <w:t xml:space="preserve"> požadavky uvedené v</w:t>
      </w:r>
      <w:r w:rsidR="00B715BF" w:rsidRPr="00C171EF">
        <w:t> </w:t>
      </w:r>
      <w:r w:rsidRPr="00C171EF">
        <w:t xml:space="preserve">čl. 5 odst. 2 dohody, které se týkají nanejvýše profesionálního jednání a zkušeností s funkcemi na vysoké úrovni v evropských, vnitrostátních nebo mezinárodních veřejných organizacích, ale </w:t>
      </w:r>
      <w:r w:rsidR="00B715BF">
        <w:t>rovněž byli</w:t>
      </w:r>
      <w:r w:rsidRPr="00C171EF">
        <w:t xml:space="preserve"> odborn</w:t>
      </w:r>
      <w:r w:rsidR="00B715BF">
        <w:t>ě</w:t>
      </w:r>
      <w:r w:rsidRPr="00C171EF">
        <w:t xml:space="preserve"> způsobil</w:t>
      </w:r>
      <w:r w:rsidR="00B715BF">
        <w:t>í</w:t>
      </w:r>
      <w:r w:rsidRPr="00C171EF">
        <w:t xml:space="preserve"> zejména v oblastech etiky, integrity a transparentnosti;</w:t>
      </w:r>
    </w:p>
    <w:p w:rsidR="00D37E6E" w:rsidRPr="00C171EF" w:rsidRDefault="00D37E6E" w:rsidP="001170BB">
      <w:pPr>
        <w:pStyle w:val="NormalHanging12a"/>
      </w:pPr>
      <w:r w:rsidRPr="00C171EF">
        <w:t>8.</w:t>
      </w:r>
      <w:r w:rsidRPr="00C171EF">
        <w:tab/>
        <w:t>zdůrazňuje zásadní úlohu nezávislých odborníků při posuzování individuálních případů na žádost smluvní strany dohody; domnívá se, že pro vypracování nebo aktualizaci etické normy by bylo velmi přínosné, kdyby každá smluvní strana zaslala nezávislým odborníkům malý náhodný vzorek případů;</w:t>
      </w:r>
    </w:p>
    <w:p w:rsidR="00D37E6E" w:rsidRPr="00C171EF" w:rsidRDefault="00D37E6E" w:rsidP="001170BB">
      <w:pPr>
        <w:pStyle w:val="NormalHanging12a"/>
        <w:rPr>
          <w:szCs w:val="24"/>
        </w:rPr>
      </w:pPr>
      <w:r w:rsidRPr="00C171EF">
        <w:t>9.</w:t>
      </w:r>
      <w:r w:rsidRPr="00C171EF">
        <w:tab/>
        <w:t>domnívá se, že tento orgán by se měl opírat o stávající pravomoci orgánů a institucí žádat své členy o poskytnutí informací nebo o souhlas vnitrostátních orgánů se sdílením informací; domnívá se, že nezávislí odborníci by měli mít možnost vyměňovat si informace s vnitrostátními orgány, je-li to nezbytné pro plnění jejich úkolů, přičemž s těmito informacemi musí zacházet stejně důvěrně jako orgán, který je poskytl; v této souvislosti zdůrazňuje, že pokud mají nezávislí odborníci vypracovávat řádně odůvodněná a řádně zdokumentovaná posouzení, měli by mít přístup k administrativním dokumentům zúčastněných stran, zejména té strany, která je v daném případě konzultuje;</w:t>
      </w:r>
    </w:p>
    <w:p w:rsidR="00D37E6E" w:rsidRPr="00C171EF" w:rsidRDefault="00D37E6E" w:rsidP="001170BB">
      <w:pPr>
        <w:pStyle w:val="NormalHanging12a"/>
      </w:pPr>
      <w:r w:rsidRPr="00C171EF">
        <w:t>10.</w:t>
      </w:r>
      <w:r w:rsidRPr="00C171EF">
        <w:tab/>
        <w:t xml:space="preserve">konstatuje, že nezávislí odborníci ze svého středu jmenují </w:t>
      </w:r>
      <w:r w:rsidR="005F28AC">
        <w:t>mluvčího</w:t>
      </w:r>
      <w:r w:rsidRPr="00C171EF">
        <w:t>; domnívá se, že nezávislí odborníci by měli mít plnou autonomii, pokud jde o organizaci své práce a svolávání schůzí;</w:t>
      </w:r>
    </w:p>
    <w:p w:rsidR="00D37E6E" w:rsidRPr="00C171EF" w:rsidRDefault="00D37E6E" w:rsidP="001170BB">
      <w:pPr>
        <w:pStyle w:val="NormalHanging12a"/>
      </w:pPr>
      <w:r w:rsidRPr="00C171EF">
        <w:t>11.</w:t>
      </w:r>
      <w:r w:rsidRPr="00C171EF">
        <w:tab/>
        <w:t xml:space="preserve">domnívá se, že orgán nebo </w:t>
      </w:r>
      <w:r w:rsidR="004C4F7A">
        <w:t xml:space="preserve">poradní </w:t>
      </w:r>
      <w:r w:rsidRPr="00C171EF">
        <w:t>instituce by měly zveřejnit odůvodněné doporučení nezávislých odborníků, aniž by bylo dotčeno obecné nařízení o ochraně osobních údajů a osobní práva, spolu s rozhodnutím příslušného subjektu, který by měl poskytnout vysvětlení, nejsou-li doporučení plně dodržována;</w:t>
      </w:r>
    </w:p>
    <w:p w:rsidR="00D37E6E" w:rsidRPr="00C171EF" w:rsidRDefault="00D37E6E" w:rsidP="001170BB">
      <w:pPr>
        <w:pStyle w:val="NormalHanging12a"/>
        <w:rPr>
          <w:szCs w:val="24"/>
        </w:rPr>
      </w:pPr>
      <w:r w:rsidRPr="00C171EF">
        <w:t>12.</w:t>
      </w:r>
      <w:r w:rsidRPr="00C171EF">
        <w:tab/>
        <w:t>žádá, aby orgán šel v transparentnosti příkladem a zveřejňoval všechna doporučení, výroční zprávy, rozhodnutí a záznamy o výdajích ve strojově čitelném veřejném formátu dostupném všem občanům, a to v souladu s platnými pravidly pro ochranu údajů, mimo jiné včetně písemného stanoviska nezávislých odborníků k sebehodnocení orgánů v souladu s článkem 10</w:t>
      </w:r>
      <w:r w:rsidR="00E2608D">
        <w:t xml:space="preserve"> dohody</w:t>
      </w:r>
      <w:r w:rsidRPr="00C171EF">
        <w:t>, a anonymizovanou a souhrnnou výroční zprávu za každý rok, v níž v souhrnné a anonymizované podobě shrne konzultace a otázky předložené stranami a následná opatření v souladu s čl. 7 odst. 4</w:t>
      </w:r>
      <w:r w:rsidR="00E2608D">
        <w:t xml:space="preserve"> dohody</w:t>
      </w:r>
      <w:r w:rsidRPr="00C171EF">
        <w:t>; zdůrazňuje, že je důležité v náležité míře chránit soukromí dotčených osob a ctít presumpci neviny; vyzývá smluvní strany dohody, aby vypracovaly společné pokyny pro konzultace s nezávislými odborníky a zveřejňování jejich doporučení;</w:t>
      </w:r>
    </w:p>
    <w:p w:rsidR="00D37E6E" w:rsidRDefault="00D37E6E" w:rsidP="001170BB">
      <w:pPr>
        <w:pStyle w:val="NormalHanging12a"/>
      </w:pPr>
      <w:r w:rsidRPr="00C171EF">
        <w:t>13.</w:t>
      </w:r>
      <w:r w:rsidRPr="00C171EF">
        <w:tab/>
        <w:t>domnívá se, že má-li být orgán plně účinný, musí kombinovat funkce stávajících orgánů odpovědných za etiku, a proto by každá zúčastněná strana měla v případech, které vyžadují zvláštní posouzení, nebo za účelem vypracování či aktualizace etické normy konzultovat nezávislé odborníky;</w:t>
      </w:r>
    </w:p>
    <w:p w:rsidR="00156905" w:rsidRPr="00B73BC1" w:rsidRDefault="00156905" w:rsidP="001170BB">
      <w:pPr>
        <w:pStyle w:val="NormalHanging12a"/>
      </w:pPr>
      <w:r w:rsidRPr="00B73BC1">
        <w:lastRenderedPageBreak/>
        <w:t>1</w:t>
      </w:r>
      <w:r w:rsidR="001529D3">
        <w:t>4</w:t>
      </w:r>
      <w:r w:rsidRPr="00B73BC1">
        <w:t>.</w:t>
      </w:r>
      <w:r w:rsidRPr="00B73BC1">
        <w:tab/>
        <w:t>zdůrazňuje, že je třeba definovat, jakým způsobem bude stanoven mandát místopředsedy zastupujícího Parlament v tomto orgánu, a zavést vhodné mechanismy odpovědnosti;</w:t>
      </w:r>
    </w:p>
    <w:p w:rsidR="00156905" w:rsidRPr="00B73BC1" w:rsidRDefault="00156905" w:rsidP="001170BB">
      <w:pPr>
        <w:pStyle w:val="NormalHanging12a"/>
      </w:pPr>
      <w:r w:rsidRPr="00B73BC1">
        <w:t>1</w:t>
      </w:r>
      <w:r w:rsidR="001529D3">
        <w:t>5</w:t>
      </w:r>
      <w:r w:rsidRPr="00B73BC1">
        <w:t>.</w:t>
      </w:r>
      <w:r w:rsidRPr="00B73BC1">
        <w:tab/>
        <w:t>považuje za nezbytné vyjasnit, kdo by byl náhradníkem Parlamentu v tomto orgánu;</w:t>
      </w:r>
    </w:p>
    <w:p w:rsidR="00156905" w:rsidRPr="00156905" w:rsidRDefault="00156905" w:rsidP="001170BB">
      <w:pPr>
        <w:pStyle w:val="NormalHanging12a"/>
        <w:rPr>
          <w:szCs w:val="24"/>
        </w:rPr>
      </w:pPr>
      <w:r w:rsidRPr="00B73BC1">
        <w:t>1</w:t>
      </w:r>
      <w:r w:rsidR="001529D3">
        <w:t>6</w:t>
      </w:r>
      <w:r w:rsidRPr="00B73BC1">
        <w:t>.</w:t>
      </w:r>
      <w:r w:rsidRPr="00B73BC1">
        <w:tab/>
        <w:t>domnívá se, že Výbor pro ústavní záležitosti by se měl podílet na stanovení mandátu místopředsedy zastupujícího Parlament v tomto orgánu a na zajišťování odpovědnosti místopředsedy a náhradníka; domnívá se, že je nanejvýš důležité, aby se poslanci Evropského parlamentu mohli podílet na tvorbě norem, které pro ně budou závazné;</w:t>
      </w:r>
    </w:p>
    <w:p w:rsidR="00D37E6E" w:rsidRPr="00C171EF" w:rsidRDefault="00D37E6E" w:rsidP="001170BB">
      <w:pPr>
        <w:pStyle w:val="NormalHanging12a"/>
      </w:pPr>
      <w:r w:rsidRPr="00C171EF">
        <w:t>1</w:t>
      </w:r>
      <w:r w:rsidR="001529D3">
        <w:t>7</w:t>
      </w:r>
      <w:r w:rsidRPr="00C171EF">
        <w:t>.</w:t>
      </w:r>
      <w:r w:rsidRPr="00C171EF">
        <w:tab/>
        <w:t>je i nadále odhodlán se konstruktivně podílet na přezkumu dohody, který má být proveden tři roky po jejím vstupu v platnost s cílem zlepšit a posílit fungování orgánu, jak stanoví článek 21 dohody;</w:t>
      </w:r>
    </w:p>
    <w:p w:rsidR="00D37E6E" w:rsidRPr="00C171EF" w:rsidRDefault="00D37E6E" w:rsidP="001170BB">
      <w:pPr>
        <w:pStyle w:val="NormalHanging12a"/>
        <w:rPr>
          <w:szCs w:val="24"/>
        </w:rPr>
      </w:pPr>
      <w:r w:rsidRPr="00C171EF">
        <w:t>1</w:t>
      </w:r>
      <w:r w:rsidR="001529D3">
        <w:t>8</w:t>
      </w:r>
      <w:r w:rsidRPr="00C171EF">
        <w:t>.</w:t>
      </w:r>
      <w:r w:rsidRPr="00C171EF">
        <w:tab/>
        <w:t>připomíná svůj postoj, že orgán by měl mít možnost z vlastního podnětu vyšetřovat údajná porušení etických pravidel úředníky a jinými pracovníky orgánů EU a provádět šetření na místě a na základě záznamů s využitím informací, které shromáždil nebo které obdržel od třetích stran;</w:t>
      </w:r>
    </w:p>
    <w:p w:rsidR="00D37E6E" w:rsidRPr="00C171EF" w:rsidRDefault="00D37E6E" w:rsidP="001170BB">
      <w:pPr>
        <w:pStyle w:val="NormalHanging12a"/>
      </w:pPr>
      <w:r w:rsidRPr="00C171EF">
        <w:t>1</w:t>
      </w:r>
      <w:r w:rsidR="001529D3">
        <w:t>9</w:t>
      </w:r>
      <w:r w:rsidRPr="00C171EF">
        <w:t>.</w:t>
      </w:r>
      <w:r w:rsidRPr="00C171EF">
        <w:tab/>
        <w:t>schvaluje uzavření dohody, která je připojena k tomuto rozhodnutí;</w:t>
      </w:r>
    </w:p>
    <w:p w:rsidR="00D37E6E" w:rsidRPr="00C171EF" w:rsidRDefault="001529D3" w:rsidP="001170BB">
      <w:pPr>
        <w:pStyle w:val="NormalHanging12a"/>
      </w:pPr>
      <w:r>
        <w:t>20</w:t>
      </w:r>
      <w:r w:rsidR="00D37E6E" w:rsidRPr="00C171EF">
        <w:t>.</w:t>
      </w:r>
      <w:r w:rsidR="00D37E6E" w:rsidRPr="00C171EF">
        <w:tab/>
        <w:t>pověřuje svou předsedkyni, aby</w:t>
      </w:r>
      <w:r w:rsidR="006A7D40">
        <w:t xml:space="preserve"> dohodu</w:t>
      </w:r>
      <w:r w:rsidR="00D37E6E" w:rsidRPr="00C171EF">
        <w:t xml:space="preserve"> spolu s předsedou Rady, předsedkyní Komise, předsedou Soudního dvora Evropské unie, prezidentkou Evropské centrální banky, předsedou Účetního dvora, předsedou Hospodářského a sociálního výboru a předsedou Výboru regionů podepsala a zajistila její zveřejnění v </w:t>
      </w:r>
      <w:r w:rsidR="00D37E6E" w:rsidRPr="00C171EF">
        <w:rPr>
          <w:i/>
          <w:iCs/>
        </w:rPr>
        <w:t>Úředním věstníku Evropské unie</w:t>
      </w:r>
      <w:r w:rsidR="00D37E6E" w:rsidRPr="00C171EF">
        <w:t>;</w:t>
      </w:r>
    </w:p>
    <w:p w:rsidR="00D37E6E" w:rsidRPr="00C171EF" w:rsidRDefault="001529D3" w:rsidP="001170BB">
      <w:pPr>
        <w:pStyle w:val="NormalHanging12a"/>
      </w:pPr>
      <w:r>
        <w:t>2</w:t>
      </w:r>
      <w:r w:rsidR="00D37E6E" w:rsidRPr="00C171EF">
        <w:t>1.</w:t>
      </w:r>
      <w:r w:rsidR="00D37E6E" w:rsidRPr="00C171EF">
        <w:tab/>
        <w:t>pověřuje svou předsedkyni, aby pro informaci předala toto rozhodnutí včetně jeho přílohy všem smluvním stranám dohody.</w:t>
      </w:r>
    </w:p>
    <w:p w:rsidR="00D37E6E" w:rsidRPr="00C171EF" w:rsidRDefault="00D37E6E" w:rsidP="001170BB">
      <w:pPr>
        <w:pStyle w:val="NormalHanging12a"/>
      </w:pPr>
    </w:p>
    <w:p w:rsidR="00D37E6E" w:rsidRPr="00C171EF" w:rsidRDefault="00D37E6E" w:rsidP="001170BB">
      <w:pPr>
        <w:ind w:left="567" w:hanging="567"/>
        <w:sectPr w:rsidR="00D37E6E" w:rsidRPr="00C171EF" w:rsidSect="00C171EF">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5367A" w:rsidRDefault="00D5367A" w:rsidP="00D5367A">
      <w:pPr>
        <w:pStyle w:val="PageHeading"/>
        <w:ind w:left="567" w:hanging="567"/>
        <w:jc w:val="right"/>
        <w:rPr>
          <w:rFonts w:ascii="Times New Roman" w:hAnsi="Times New Roman" w:cs="Times New Roman"/>
          <w:caps/>
        </w:rPr>
      </w:pPr>
      <w:bookmarkStart w:id="8" w:name="_Toc164765300"/>
      <w:bookmarkStart w:id="9" w:name="_Toc164842006"/>
      <w:r>
        <w:rPr>
          <w:rFonts w:ascii="Times New Roman" w:hAnsi="Times New Roman" w:cs="Times New Roman"/>
          <w:caps/>
        </w:rPr>
        <w:lastRenderedPageBreak/>
        <w:t>PŘÍLOHA</w:t>
      </w:r>
    </w:p>
    <w:p w:rsidR="00D37E6E" w:rsidRDefault="00D37E6E" w:rsidP="001170BB">
      <w:pPr>
        <w:pStyle w:val="PageHeading"/>
        <w:ind w:left="567" w:hanging="567"/>
        <w:rPr>
          <w:rFonts w:ascii="Times New Roman" w:hAnsi="Times New Roman" w:cs="Times New Roman"/>
          <w:caps/>
        </w:rPr>
      </w:pPr>
      <w:r w:rsidRPr="00B45290">
        <w:rPr>
          <w:rFonts w:ascii="Times New Roman" w:hAnsi="Times New Roman" w:cs="Times New Roman"/>
          <w:caps/>
        </w:rPr>
        <w:t>Dohoda mezi Evropským parlamentem, Radou Evropské unie, Evropskou komisí, Soudním dvorem Evropské unie, Evropskou centrální bankou, Evropským účetním dvorem, Evropským hospodářským a sociálním výborem a Evropským výborem regionů, kterou se zřizuje interinstitucionální orgán pro etické normy pro členy orgánů a poradních institucí uvedených v článku 13 Smlouvy o Evropské unii</w:t>
      </w:r>
      <w:bookmarkEnd w:id="8"/>
      <w:bookmarkEnd w:id="9"/>
    </w:p>
    <w:p w:rsidR="00D5367A" w:rsidRPr="00D5367A" w:rsidRDefault="00D5367A" w:rsidP="00D5367A">
      <w:pPr>
        <w:widowControl/>
        <w:spacing w:before="480" w:after="120"/>
        <w:rPr>
          <w:i/>
        </w:rPr>
      </w:pPr>
      <w:r w:rsidRPr="00D5367A">
        <w:rPr>
          <w:i/>
        </w:rPr>
        <w:t>(Znění této přílohy zde není uvedeno, neboť odpovídá interinstitucionální dohodě zveřejněné v Úř. věst. L</w:t>
      </w:r>
      <w:r>
        <w:rPr>
          <w:i/>
        </w:rPr>
        <w:t>,</w:t>
      </w:r>
      <w:r w:rsidRPr="00D5367A">
        <w:rPr>
          <w:i/>
        </w:rPr>
        <w:t xml:space="preserve"> </w:t>
      </w:r>
      <w:r w:rsidRPr="0014481D">
        <w:rPr>
          <w:i/>
        </w:rPr>
        <w:t xml:space="preserve">2024/1365, 17.5.2024, ELI: </w:t>
      </w:r>
      <w:hyperlink r:id="rId11" w:history="1">
        <w:r w:rsidRPr="0014481D">
          <w:rPr>
            <w:rStyle w:val="Hyperlink"/>
            <w:i/>
          </w:rPr>
          <w:t>http://data.europa.eu/eli/agree_</w:t>
        </w:r>
        <w:bookmarkStart w:id="10" w:name="_GoBack"/>
        <w:bookmarkEnd w:id="10"/>
        <w:r w:rsidRPr="0014481D">
          <w:rPr>
            <w:rStyle w:val="Hyperlink"/>
            <w:i/>
          </w:rPr>
          <w:t>interinstit/2024/1365/oj</w:t>
        </w:r>
      </w:hyperlink>
      <w:r w:rsidRPr="00D5367A">
        <w:rPr>
          <w:i/>
        </w:rPr>
        <w:t>.)</w:t>
      </w:r>
    </w:p>
    <w:sectPr w:rsidR="00D5367A" w:rsidRPr="00D5367A" w:rsidSect="00C171EF">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30E" w:rsidRPr="00C171EF" w:rsidRDefault="0030530E">
      <w:r w:rsidRPr="00C171EF">
        <w:separator/>
      </w:r>
    </w:p>
  </w:endnote>
  <w:endnote w:type="continuationSeparator" w:id="0">
    <w:p w:rsidR="0030530E" w:rsidRPr="00C171EF" w:rsidRDefault="0030530E">
      <w:r w:rsidRPr="00C171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E6E" w:rsidRPr="00C171EF" w:rsidRDefault="00D37E6E" w:rsidP="00413AE5">
    <w:pPr>
      <w:pStyle w:val="EPFooter"/>
    </w:pPr>
    <w:r w:rsidRPr="00C171EF">
      <w:t>PE</w:t>
    </w:r>
    <w:r w:rsidRPr="00C171EF">
      <w:rPr>
        <w:rStyle w:val="HideTWBExt"/>
      </w:rPr>
      <w:t>&lt;NoPE&gt;</w:t>
    </w:r>
    <w:r w:rsidRPr="00C171EF">
      <w:t>759.998</w:t>
    </w:r>
    <w:r w:rsidRPr="00C171EF">
      <w:rPr>
        <w:rStyle w:val="HideTWBExt"/>
      </w:rPr>
      <w:t>&lt;/NoPE&gt;&lt;Version&gt;</w:t>
    </w:r>
    <w:r w:rsidRPr="00C171EF">
      <w:t>v02-00</w:t>
    </w:r>
    <w:r w:rsidRPr="00C171EF">
      <w:rPr>
        <w:rStyle w:val="HideTWBExt"/>
      </w:rPr>
      <w:t>&lt;/Version&gt;</w:t>
    </w:r>
    <w:r w:rsidRPr="00C171EF">
      <w:tab/>
    </w:r>
    <w:r w:rsidRPr="00C171EF">
      <w:fldChar w:fldCharType="begin"/>
    </w:r>
    <w:r w:rsidRPr="00C171EF">
      <w:instrText xml:space="preserve"> PAGE  \* MERGEFORMAT </w:instrText>
    </w:r>
    <w:r w:rsidRPr="00C171EF">
      <w:fldChar w:fldCharType="separate"/>
    </w:r>
    <w:r w:rsidR="00C171EF" w:rsidRPr="00C171EF">
      <w:rPr>
        <w:noProof/>
      </w:rPr>
      <w:t>2</w:t>
    </w:r>
    <w:r w:rsidRPr="00C171EF">
      <w:fldChar w:fldCharType="end"/>
    </w:r>
    <w:r w:rsidRPr="00C171EF">
      <w:t>/</w:t>
    </w:r>
    <w:r w:rsidR="00D5367A">
      <w:fldChar w:fldCharType="begin"/>
    </w:r>
    <w:r w:rsidR="00D5367A">
      <w:instrText xml:space="preserve"> NUMPAGES  \* MERGEFORMAT </w:instrText>
    </w:r>
    <w:r w:rsidR="00D5367A">
      <w:fldChar w:fldCharType="separate"/>
    </w:r>
    <w:r w:rsidR="00C171EF" w:rsidRPr="00C171EF">
      <w:rPr>
        <w:noProof/>
      </w:rPr>
      <w:t>4</w:t>
    </w:r>
    <w:r w:rsidR="00D5367A">
      <w:rPr>
        <w:noProof/>
      </w:rPr>
      <w:fldChar w:fldCharType="end"/>
    </w:r>
    <w:r w:rsidRPr="00C171EF">
      <w:tab/>
    </w:r>
    <w:r w:rsidRPr="00C171EF">
      <w:rPr>
        <w:rStyle w:val="HideTWBExt"/>
      </w:rPr>
      <w:t>&lt;PathFdR&gt;</w:t>
    </w:r>
    <w:r w:rsidRPr="00C171EF">
      <w:t>RR\1301643CS.docx</w:t>
    </w:r>
    <w:r w:rsidRPr="00C171EF">
      <w:rPr>
        <w:rStyle w:val="HideTWBExt"/>
      </w:rPr>
      <w:t>&lt;/PathFdR&gt;</w:t>
    </w:r>
  </w:p>
  <w:p w:rsidR="00D37E6E" w:rsidRPr="00C171EF" w:rsidRDefault="00D37E6E" w:rsidP="00413AE5">
    <w:pPr>
      <w:pStyle w:val="EPFooter2"/>
    </w:pPr>
    <w:r w:rsidRPr="00C171EF">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E6E" w:rsidRPr="00C171EF" w:rsidRDefault="00D37E6E" w:rsidP="00413AE5">
    <w:pPr>
      <w:pStyle w:val="EPFooter"/>
    </w:pPr>
    <w:r w:rsidRPr="00C171EF">
      <w:rPr>
        <w:rStyle w:val="HideTWBExt"/>
      </w:rPr>
      <w:t>&lt;PathFdR&gt;</w:t>
    </w:r>
    <w:r w:rsidRPr="00C171EF">
      <w:t>RR\1301643CS.docx</w:t>
    </w:r>
    <w:r w:rsidRPr="00C171EF">
      <w:rPr>
        <w:rStyle w:val="HideTWBExt"/>
      </w:rPr>
      <w:t>&lt;/PathFdR&gt;</w:t>
    </w:r>
    <w:r w:rsidRPr="00C171EF">
      <w:tab/>
    </w:r>
    <w:r w:rsidRPr="00C171EF">
      <w:tab/>
      <w:t>PE</w:t>
    </w:r>
    <w:r w:rsidRPr="00C171EF">
      <w:rPr>
        <w:rStyle w:val="HideTWBExt"/>
      </w:rPr>
      <w:t>&lt;NoPE&gt;</w:t>
    </w:r>
    <w:r w:rsidRPr="00C171EF">
      <w:t>759.998</w:t>
    </w:r>
    <w:r w:rsidRPr="00C171EF">
      <w:rPr>
        <w:rStyle w:val="HideTWBExt"/>
      </w:rPr>
      <w:t>&lt;/NoPE&gt;&lt;Version&gt;</w:t>
    </w:r>
    <w:r w:rsidRPr="00C171EF">
      <w:t>v02-00</w:t>
    </w:r>
    <w:r w:rsidRPr="00C171EF">
      <w:rPr>
        <w:rStyle w:val="HideTWBExt"/>
      </w:rPr>
      <w:t>&lt;/Version&gt;</w:t>
    </w:r>
  </w:p>
  <w:p w:rsidR="00D37E6E" w:rsidRPr="00C171EF" w:rsidRDefault="00D37E6E" w:rsidP="00413AE5">
    <w:pPr>
      <w:pStyle w:val="EPFooter2"/>
    </w:pPr>
    <w:r w:rsidRPr="00C171EF">
      <w:t>CS</w:t>
    </w:r>
    <w:r w:rsidRPr="00C171EF">
      <w:tab/>
    </w:r>
    <w:r w:rsidRPr="00C171EF">
      <w:rPr>
        <w:b w:val="0"/>
        <w:i/>
        <w:color w:val="C0C0C0"/>
        <w:sz w:val="22"/>
      </w:rPr>
      <w:t>Jednotná v rozmanitosti</w:t>
    </w:r>
    <w:r w:rsidRPr="00C171EF">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71E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71E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71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30E" w:rsidRPr="00C171EF" w:rsidRDefault="0030530E">
      <w:r w:rsidRPr="00C171EF">
        <w:separator/>
      </w:r>
    </w:p>
  </w:footnote>
  <w:footnote w:type="continuationSeparator" w:id="0">
    <w:p w:rsidR="0030530E" w:rsidRPr="00C171EF" w:rsidRDefault="0030530E">
      <w:r w:rsidRPr="00C171EF">
        <w:continuationSeparator/>
      </w:r>
    </w:p>
  </w:footnote>
  <w:footnote w:id="1">
    <w:p w:rsidR="00D37E6E" w:rsidRPr="00C171EF" w:rsidRDefault="00D37E6E" w:rsidP="00C171EF">
      <w:pPr>
        <w:pStyle w:val="FootnoteText"/>
        <w:ind w:left="567" w:hanging="567"/>
        <w:rPr>
          <w:sz w:val="24"/>
          <w:lang w:val="cs-CZ"/>
        </w:rPr>
      </w:pPr>
      <w:r w:rsidRPr="00C171EF">
        <w:rPr>
          <w:rStyle w:val="FootnoteReference"/>
          <w:sz w:val="24"/>
          <w:lang w:val="cs-CZ"/>
        </w:rPr>
        <w:footnoteRef/>
      </w:r>
      <w:r w:rsidR="00C171EF" w:rsidRPr="00C171EF">
        <w:rPr>
          <w:sz w:val="24"/>
          <w:lang w:val="cs-CZ"/>
        </w:rPr>
        <w:t xml:space="preserve"> </w:t>
      </w:r>
      <w:r w:rsidR="00C171EF" w:rsidRPr="00C171EF">
        <w:rPr>
          <w:sz w:val="24"/>
          <w:lang w:val="cs-CZ"/>
        </w:rPr>
        <w:tab/>
      </w:r>
      <w:r w:rsidRPr="00C171EF">
        <w:rPr>
          <w:sz w:val="24"/>
          <w:lang w:val="cs-CZ"/>
        </w:rPr>
        <w:t>Úř. věst. C 117, 11.3.2022, s. 159.</w:t>
      </w:r>
    </w:p>
  </w:footnote>
  <w:footnote w:id="2">
    <w:p w:rsidR="00D37E6E" w:rsidRPr="00C171EF" w:rsidRDefault="00D37E6E" w:rsidP="00C171EF">
      <w:pPr>
        <w:pStyle w:val="FootnoteText"/>
        <w:ind w:left="567" w:hanging="567"/>
        <w:rPr>
          <w:sz w:val="24"/>
          <w:lang w:val="cs-CZ"/>
        </w:rPr>
      </w:pPr>
      <w:r w:rsidRPr="00C171EF">
        <w:rPr>
          <w:rStyle w:val="FootnoteReference"/>
          <w:sz w:val="24"/>
          <w:lang w:val="cs-CZ"/>
        </w:rPr>
        <w:footnoteRef/>
      </w:r>
      <w:r w:rsidR="00C171EF" w:rsidRPr="00C171EF">
        <w:rPr>
          <w:sz w:val="24"/>
          <w:lang w:val="cs-CZ"/>
        </w:rPr>
        <w:t xml:space="preserve"> </w:t>
      </w:r>
      <w:r w:rsidR="00C171EF" w:rsidRPr="00C171EF">
        <w:rPr>
          <w:sz w:val="24"/>
          <w:lang w:val="cs-CZ"/>
        </w:rPr>
        <w:tab/>
      </w:r>
      <w:r w:rsidRPr="00C171EF">
        <w:rPr>
          <w:sz w:val="24"/>
          <w:lang w:val="cs-CZ"/>
        </w:rPr>
        <w:t>Úř. věst. C 177, 17.5.2023, s. 109.</w:t>
      </w:r>
    </w:p>
  </w:footnote>
  <w:footnote w:id="3">
    <w:p w:rsidR="00D37E6E" w:rsidRPr="00C171EF" w:rsidRDefault="00D37E6E" w:rsidP="00C171EF">
      <w:pPr>
        <w:pStyle w:val="FootnoteText"/>
        <w:ind w:left="567" w:hanging="567"/>
        <w:rPr>
          <w:sz w:val="24"/>
          <w:lang w:val="cs-CZ"/>
        </w:rPr>
      </w:pPr>
      <w:r w:rsidRPr="00C171EF">
        <w:rPr>
          <w:rStyle w:val="FootnoteReference"/>
          <w:sz w:val="24"/>
          <w:lang w:val="cs-CZ"/>
        </w:rPr>
        <w:footnoteRef/>
      </w:r>
      <w:r w:rsidR="00C171EF" w:rsidRPr="00C171EF">
        <w:rPr>
          <w:snapToGrid w:val="0"/>
          <w:sz w:val="24"/>
          <w:shd w:val="clear" w:color="auto" w:fill="FFFFFF"/>
          <w:lang w:val="cs-CZ"/>
        </w:rPr>
        <w:t xml:space="preserve"> </w:t>
      </w:r>
      <w:r w:rsidR="00C171EF" w:rsidRPr="00C171EF">
        <w:rPr>
          <w:snapToGrid w:val="0"/>
          <w:sz w:val="24"/>
          <w:shd w:val="clear" w:color="auto" w:fill="FFFFFF"/>
          <w:lang w:val="cs-CZ"/>
        </w:rPr>
        <w:tab/>
      </w:r>
      <w:r w:rsidRPr="00C171EF">
        <w:rPr>
          <w:snapToGrid w:val="0"/>
          <w:sz w:val="24"/>
          <w:shd w:val="clear" w:color="auto" w:fill="FFFFFF"/>
          <w:lang w:val="cs-CZ"/>
        </w:rPr>
        <w:t>Úř. věst. C 283, 11.8.2023, s. 31.</w:t>
      </w:r>
    </w:p>
  </w:footnote>
  <w:footnote w:id="4">
    <w:p w:rsidR="00D37E6E" w:rsidRPr="00C171EF" w:rsidRDefault="00D37E6E" w:rsidP="00C171EF">
      <w:pPr>
        <w:pStyle w:val="FootnoteText"/>
        <w:ind w:left="567" w:hanging="567"/>
        <w:rPr>
          <w:sz w:val="24"/>
          <w:lang w:val="cs-CZ"/>
        </w:rPr>
      </w:pPr>
      <w:r w:rsidRPr="00C171EF">
        <w:rPr>
          <w:rStyle w:val="FootnoteReference"/>
          <w:sz w:val="24"/>
          <w:lang w:val="cs-CZ"/>
        </w:rPr>
        <w:footnoteRef/>
      </w:r>
      <w:r w:rsidR="00C171EF" w:rsidRPr="00C171EF">
        <w:rPr>
          <w:sz w:val="24"/>
          <w:lang w:val="cs-CZ"/>
        </w:rPr>
        <w:t xml:space="preserve"> </w:t>
      </w:r>
      <w:r w:rsidR="00C171EF" w:rsidRPr="00C171EF">
        <w:rPr>
          <w:sz w:val="24"/>
          <w:lang w:val="cs-CZ"/>
        </w:rPr>
        <w:tab/>
      </w:r>
      <w:r w:rsidRPr="00C171EF">
        <w:rPr>
          <w:sz w:val="24"/>
          <w:lang w:val="cs-CZ"/>
        </w:rPr>
        <w:t>Úř. věst. C 283, 11.8.2023, s. 27.</w:t>
      </w:r>
    </w:p>
  </w:footnote>
  <w:footnote w:id="5">
    <w:p w:rsidR="00D37E6E" w:rsidRPr="00C171EF" w:rsidRDefault="00D37E6E" w:rsidP="00C171EF">
      <w:pPr>
        <w:pStyle w:val="FootnoteText"/>
        <w:ind w:left="567" w:hanging="567"/>
        <w:rPr>
          <w:sz w:val="24"/>
          <w:lang w:val="cs-CZ"/>
        </w:rPr>
      </w:pPr>
      <w:r w:rsidRPr="00C171EF">
        <w:rPr>
          <w:rStyle w:val="FootnoteReference"/>
          <w:sz w:val="24"/>
          <w:lang w:val="cs-CZ"/>
        </w:rPr>
        <w:footnoteRef/>
      </w:r>
      <w:r w:rsidR="00C171EF" w:rsidRPr="00C171EF">
        <w:rPr>
          <w:snapToGrid w:val="0"/>
          <w:sz w:val="24"/>
          <w:lang w:val="cs-CZ"/>
        </w:rPr>
        <w:t xml:space="preserve"> </w:t>
      </w:r>
      <w:r w:rsidR="00C171EF" w:rsidRPr="00C171EF">
        <w:rPr>
          <w:snapToGrid w:val="0"/>
          <w:sz w:val="24"/>
          <w:lang w:val="cs-CZ"/>
        </w:rPr>
        <w:tab/>
      </w:r>
      <w:r w:rsidRPr="00C171EF">
        <w:rPr>
          <w:snapToGrid w:val="0"/>
          <w:sz w:val="24"/>
          <w:lang w:val="cs-CZ"/>
        </w:rPr>
        <w:t>Přijaté texty, P9_TA(2023)0281.</w:t>
      </w:r>
    </w:p>
  </w:footnote>
  <w:footnote w:id="6">
    <w:p w:rsidR="00D37E6E" w:rsidRPr="00C171EF" w:rsidRDefault="00D37E6E" w:rsidP="00C171EF">
      <w:pPr>
        <w:pStyle w:val="FootnoteText"/>
        <w:ind w:left="567" w:hanging="567"/>
        <w:rPr>
          <w:sz w:val="24"/>
          <w:lang w:val="cs-CZ"/>
        </w:rPr>
      </w:pPr>
      <w:r w:rsidRPr="00C171EF">
        <w:rPr>
          <w:rStyle w:val="FootnoteReference"/>
          <w:sz w:val="24"/>
          <w:lang w:val="cs-CZ"/>
        </w:rPr>
        <w:footnoteRef/>
      </w:r>
      <w:r w:rsidR="00C171EF" w:rsidRPr="00C171EF">
        <w:rPr>
          <w:sz w:val="24"/>
          <w:lang w:val="cs-CZ"/>
        </w:rPr>
        <w:t xml:space="preserve"> </w:t>
      </w:r>
      <w:r w:rsidR="00C171EF" w:rsidRPr="00C171EF">
        <w:rPr>
          <w:sz w:val="24"/>
          <w:lang w:val="cs-CZ"/>
        </w:rPr>
        <w:tab/>
      </w:r>
      <w:r w:rsidRPr="00C171EF">
        <w:rPr>
          <w:sz w:val="24"/>
          <w:lang w:val="cs-CZ"/>
        </w:rPr>
        <w:t>Přijaté texty, P9_TA(2023)0292.</w:t>
      </w:r>
    </w:p>
  </w:footnote>
  <w:footnote w:id="7">
    <w:p w:rsidR="00B715BF" w:rsidRPr="00B73BC1" w:rsidRDefault="00B715BF" w:rsidP="00B715BF">
      <w:pPr>
        <w:pStyle w:val="FootnoteText"/>
        <w:ind w:left="567" w:hanging="567"/>
        <w:rPr>
          <w:lang w:val="cs-CZ"/>
        </w:rPr>
      </w:pPr>
      <w:r>
        <w:rPr>
          <w:rStyle w:val="FootnoteReference"/>
        </w:rPr>
        <w:footnoteRef/>
      </w:r>
      <w:r w:rsidRPr="00B73BC1">
        <w:rPr>
          <w:lang w:val="cs-CZ"/>
        </w:rPr>
        <w:t xml:space="preserve"> </w:t>
      </w:r>
      <w:r w:rsidRPr="00B73BC1">
        <w:rPr>
          <w:lang w:val="cs-CZ"/>
        </w:rPr>
        <w:tab/>
      </w:r>
      <w:r w:rsidRPr="00C171EF">
        <w:rPr>
          <w:sz w:val="24"/>
          <w:lang w:val="cs-CZ"/>
        </w:rPr>
        <w:t>Úř. věst.</w:t>
      </w:r>
      <w:r w:rsidRPr="00B73BC1">
        <w:rPr>
          <w:sz w:val="24"/>
          <w:lang w:val="cs-CZ"/>
        </w:rPr>
        <w:t xml:space="preserve"> C 117, 11.3.2022, </w:t>
      </w:r>
      <w:r>
        <w:rPr>
          <w:sz w:val="24"/>
          <w:lang w:val="cs-CZ"/>
        </w:rPr>
        <w:t>s</w:t>
      </w:r>
      <w:r w:rsidRPr="00B73BC1">
        <w:rPr>
          <w:sz w:val="24"/>
          <w:lang w:val="cs-CZ"/>
        </w:rPr>
        <w:t>. 159.</w:t>
      </w:r>
    </w:p>
  </w:footnote>
  <w:footnote w:id="8">
    <w:p w:rsidR="00B715BF" w:rsidRPr="00B73BC1" w:rsidRDefault="00B715BF" w:rsidP="00B715BF">
      <w:pPr>
        <w:pStyle w:val="FootnoteText"/>
        <w:ind w:left="567" w:hanging="567"/>
        <w:rPr>
          <w:lang w:val="cs-CZ"/>
        </w:rPr>
      </w:pPr>
      <w:r>
        <w:rPr>
          <w:rStyle w:val="FootnoteReference"/>
        </w:rPr>
        <w:footnoteRef/>
      </w:r>
      <w:r w:rsidRPr="00B73BC1">
        <w:rPr>
          <w:lang w:val="cs-CZ"/>
        </w:rPr>
        <w:t xml:space="preserve"> </w:t>
      </w:r>
      <w:r w:rsidRPr="00B73BC1">
        <w:rPr>
          <w:lang w:val="cs-CZ"/>
        </w:rPr>
        <w:tab/>
      </w:r>
      <w:r w:rsidRPr="00C171EF">
        <w:rPr>
          <w:sz w:val="24"/>
          <w:lang w:val="cs-CZ"/>
        </w:rPr>
        <w:t>Úř. věst.</w:t>
      </w:r>
      <w:r w:rsidRPr="00B73BC1">
        <w:rPr>
          <w:iCs/>
          <w:snapToGrid w:val="0"/>
          <w:sz w:val="24"/>
          <w:shd w:val="clear" w:color="auto" w:fill="FFFFFF"/>
          <w:lang w:val="cs-CZ"/>
        </w:rPr>
        <w:t xml:space="preserve"> C 283, 11.8.2023, </w:t>
      </w:r>
      <w:r>
        <w:rPr>
          <w:iCs/>
          <w:snapToGrid w:val="0"/>
          <w:sz w:val="24"/>
          <w:shd w:val="clear" w:color="auto" w:fill="FFFFFF"/>
          <w:lang w:val="cs-CZ"/>
        </w:rPr>
        <w:t>s</w:t>
      </w:r>
      <w:r w:rsidRPr="00B73BC1">
        <w:rPr>
          <w:iCs/>
          <w:snapToGrid w:val="0"/>
          <w:sz w:val="24"/>
          <w:shd w:val="clear" w:color="auto" w:fill="FFFFFF"/>
          <w:lang w:val="cs-CZ"/>
        </w:rPr>
        <w:t>. 31.</w:t>
      </w:r>
    </w:p>
  </w:footnote>
  <w:footnote w:id="9">
    <w:p w:rsidR="00B715BF" w:rsidRPr="00D5367A" w:rsidRDefault="00B715BF" w:rsidP="00B715BF">
      <w:pPr>
        <w:pStyle w:val="FootnoteText"/>
        <w:ind w:left="567" w:hanging="567"/>
        <w:rPr>
          <w:lang w:val="cs-CZ"/>
        </w:rPr>
      </w:pPr>
      <w:r>
        <w:rPr>
          <w:rStyle w:val="FootnoteReference"/>
        </w:rPr>
        <w:footnoteRef/>
      </w:r>
      <w:r w:rsidRPr="00D5367A">
        <w:rPr>
          <w:lang w:val="cs-CZ"/>
        </w:rPr>
        <w:t xml:space="preserve"> </w:t>
      </w:r>
      <w:r w:rsidRPr="00D5367A">
        <w:rPr>
          <w:lang w:val="cs-CZ"/>
        </w:rPr>
        <w:tab/>
      </w:r>
      <w:r w:rsidRPr="00C171EF">
        <w:rPr>
          <w:snapToGrid w:val="0"/>
          <w:sz w:val="24"/>
          <w:lang w:val="cs-CZ"/>
        </w:rPr>
        <w:t>Přijaté texty</w:t>
      </w:r>
      <w:r w:rsidRPr="00D5367A">
        <w:rPr>
          <w:snapToGrid w:val="0"/>
          <w:sz w:val="24"/>
          <w:lang w:val="cs-CZ"/>
        </w:rPr>
        <w:t>, P9</w:t>
      </w:r>
      <w:r w:rsidRPr="00D5367A">
        <w:rPr>
          <w:sz w:val="24"/>
          <w:lang w:val="cs-CZ"/>
        </w:rPr>
        <w:t>_</w:t>
      </w:r>
      <w:r w:rsidRPr="00D5367A">
        <w:rPr>
          <w:snapToGrid w:val="0"/>
          <w:sz w:val="24"/>
          <w:lang w:val="cs-CZ"/>
        </w:rPr>
        <w:t>TA(2023)0281.</w:t>
      </w:r>
    </w:p>
  </w:footnote>
  <w:footnote w:id="10">
    <w:p w:rsidR="00D37E6E" w:rsidRPr="00C171EF" w:rsidRDefault="00D37E6E" w:rsidP="00C171EF">
      <w:pPr>
        <w:pStyle w:val="FootnoteText"/>
        <w:ind w:left="567" w:hanging="567"/>
        <w:rPr>
          <w:sz w:val="24"/>
          <w:lang w:val="cs-CZ"/>
        </w:rPr>
      </w:pPr>
      <w:r w:rsidRPr="00C171EF">
        <w:rPr>
          <w:rStyle w:val="FootnoteReference"/>
          <w:sz w:val="24"/>
          <w:lang w:val="cs-CZ"/>
        </w:rPr>
        <w:footnoteRef/>
      </w:r>
      <w:r w:rsidR="00C171EF" w:rsidRPr="00C171EF">
        <w:rPr>
          <w:snapToGrid w:val="0"/>
          <w:sz w:val="24"/>
          <w:shd w:val="clear" w:color="auto" w:fill="FFFFFF"/>
          <w:lang w:val="cs-CZ"/>
        </w:rPr>
        <w:t xml:space="preserve"> </w:t>
      </w:r>
      <w:r w:rsidR="00C171EF" w:rsidRPr="00C171EF">
        <w:rPr>
          <w:snapToGrid w:val="0"/>
          <w:sz w:val="24"/>
          <w:shd w:val="clear" w:color="auto" w:fill="FFFFFF"/>
          <w:lang w:val="cs-CZ"/>
        </w:rPr>
        <w:tab/>
      </w:r>
      <w:r w:rsidRPr="00C171EF">
        <w:rPr>
          <w:snapToGrid w:val="0"/>
          <w:sz w:val="24"/>
          <w:shd w:val="clear" w:color="auto" w:fill="FFFFFF"/>
          <w:lang w:val="cs-CZ"/>
        </w:rPr>
        <w:t xml:space="preserve">Úř. věst. C 283, 11.8.2023, s. </w:t>
      </w:r>
      <w:r w:rsidR="001170BB">
        <w:rPr>
          <w:snapToGrid w:val="0"/>
          <w:sz w:val="24"/>
          <w:shd w:val="clear" w:color="auto" w:fill="FFFFFF"/>
          <w:lang w:val="cs-CZ"/>
        </w:rPr>
        <w:t xml:space="preserve">27 a s. </w:t>
      </w:r>
      <w:r w:rsidRPr="00C171EF">
        <w:rPr>
          <w:snapToGrid w:val="0"/>
          <w:sz w:val="24"/>
          <w:shd w:val="clear" w:color="auto" w:fill="FFFFFF"/>
          <w:lang w:val="cs-CZ"/>
        </w:rPr>
        <w:t>31.</w:t>
      </w:r>
    </w:p>
  </w:footnote>
  <w:footnote w:id="11">
    <w:p w:rsidR="00D37E6E" w:rsidRPr="00C171EF" w:rsidRDefault="00D37E6E" w:rsidP="00C171EF">
      <w:pPr>
        <w:pStyle w:val="FootnoteText"/>
        <w:ind w:left="567" w:hanging="567"/>
        <w:rPr>
          <w:sz w:val="24"/>
          <w:lang w:val="cs-CZ"/>
        </w:rPr>
      </w:pPr>
      <w:r w:rsidRPr="00C171EF">
        <w:rPr>
          <w:rStyle w:val="FootnoteReference"/>
          <w:sz w:val="24"/>
          <w:lang w:val="cs-CZ"/>
        </w:rPr>
        <w:footnoteRef/>
      </w:r>
      <w:r w:rsidR="00C171EF" w:rsidRPr="00C171EF">
        <w:rPr>
          <w:snapToGrid w:val="0"/>
          <w:sz w:val="24"/>
          <w:lang w:val="cs-CZ"/>
        </w:rPr>
        <w:t xml:space="preserve"> </w:t>
      </w:r>
      <w:r w:rsidR="00C171EF" w:rsidRPr="00C171EF">
        <w:rPr>
          <w:snapToGrid w:val="0"/>
          <w:sz w:val="24"/>
          <w:lang w:val="cs-CZ"/>
        </w:rPr>
        <w:tab/>
      </w:r>
      <w:r w:rsidRPr="00C171EF">
        <w:rPr>
          <w:snapToGrid w:val="0"/>
          <w:sz w:val="24"/>
          <w:lang w:val="cs-CZ"/>
        </w:rPr>
        <w:t>Přijaté texty, P9_TA(2023)0281.</w:t>
      </w:r>
    </w:p>
  </w:footnote>
  <w:footnote w:id="12">
    <w:p w:rsidR="00D37E6E" w:rsidRPr="00C171EF" w:rsidRDefault="00D37E6E" w:rsidP="00C171EF">
      <w:pPr>
        <w:pStyle w:val="FootnoteText"/>
        <w:ind w:left="567" w:hanging="567"/>
        <w:rPr>
          <w:sz w:val="24"/>
          <w:lang w:val="cs-CZ"/>
        </w:rPr>
      </w:pPr>
      <w:r w:rsidRPr="00C171EF">
        <w:rPr>
          <w:rStyle w:val="FootnoteReference"/>
          <w:sz w:val="24"/>
          <w:lang w:val="cs-CZ"/>
        </w:rPr>
        <w:footnoteRef/>
      </w:r>
      <w:r w:rsidR="00C171EF" w:rsidRPr="00C171EF">
        <w:rPr>
          <w:sz w:val="24"/>
          <w:lang w:val="cs-CZ"/>
        </w:rPr>
        <w:t xml:space="preserve"> </w:t>
      </w:r>
      <w:r w:rsidR="00C171EF" w:rsidRPr="00C171EF">
        <w:rPr>
          <w:sz w:val="24"/>
          <w:lang w:val="cs-CZ"/>
        </w:rPr>
        <w:tab/>
      </w:r>
      <w:r w:rsidRPr="00C171EF">
        <w:rPr>
          <w:sz w:val="24"/>
          <w:lang w:val="cs-CZ"/>
        </w:rPr>
        <w:t>Úř. věst. C 117, 11.3.2022, s. 159.</w:t>
      </w:r>
    </w:p>
  </w:footnote>
  <w:footnote w:id="13">
    <w:p w:rsidR="00D37E6E" w:rsidRPr="00C171EF" w:rsidRDefault="00D37E6E" w:rsidP="00C171EF">
      <w:pPr>
        <w:pStyle w:val="FootnoteText"/>
        <w:ind w:left="567" w:hanging="567"/>
        <w:rPr>
          <w:sz w:val="24"/>
          <w:lang w:val="cs-CZ"/>
        </w:rPr>
      </w:pPr>
      <w:r w:rsidRPr="00C171EF">
        <w:rPr>
          <w:rStyle w:val="FootnoteReference"/>
          <w:sz w:val="24"/>
          <w:lang w:val="cs-CZ"/>
        </w:rPr>
        <w:footnoteRef/>
      </w:r>
      <w:r w:rsidR="00C171EF" w:rsidRPr="00C171EF">
        <w:rPr>
          <w:sz w:val="24"/>
          <w:lang w:val="cs-CZ"/>
        </w:rPr>
        <w:t xml:space="preserve"> </w:t>
      </w:r>
      <w:r w:rsidR="00C171EF" w:rsidRPr="00C171EF">
        <w:rPr>
          <w:sz w:val="24"/>
          <w:lang w:val="cs-CZ"/>
        </w:rPr>
        <w:tab/>
      </w:r>
      <w:r w:rsidRPr="00C171EF">
        <w:rPr>
          <w:sz w:val="24"/>
          <w:lang w:val="cs-CZ"/>
        </w:rPr>
        <w:t>Úř. věst. C 283, 11.8.2023, s. 31.</w:t>
      </w:r>
    </w:p>
  </w:footnote>
  <w:footnote w:id="14">
    <w:p w:rsidR="00D37E6E" w:rsidRPr="00C171EF" w:rsidRDefault="00D37E6E" w:rsidP="00C171EF">
      <w:pPr>
        <w:pStyle w:val="FootnoteText"/>
        <w:ind w:left="567" w:hanging="567"/>
        <w:rPr>
          <w:sz w:val="24"/>
          <w:lang w:val="cs-CZ"/>
        </w:rPr>
      </w:pPr>
      <w:r w:rsidRPr="00C171EF">
        <w:rPr>
          <w:rStyle w:val="FootnoteReference"/>
          <w:sz w:val="24"/>
          <w:lang w:val="cs-CZ"/>
        </w:rPr>
        <w:footnoteRef/>
      </w:r>
      <w:r w:rsidR="00C171EF" w:rsidRPr="00C171EF">
        <w:rPr>
          <w:sz w:val="24"/>
          <w:lang w:val="cs-CZ"/>
        </w:rPr>
        <w:t xml:space="preserve"> </w:t>
      </w:r>
      <w:r w:rsidR="00C171EF" w:rsidRPr="00C171EF">
        <w:rPr>
          <w:sz w:val="24"/>
          <w:lang w:val="cs-CZ"/>
        </w:rPr>
        <w:tab/>
      </w:r>
      <w:r w:rsidRPr="00C171EF">
        <w:rPr>
          <w:sz w:val="24"/>
          <w:lang w:val="cs-CZ"/>
        </w:rPr>
        <w:t>Přijaté texty, P9_TA(2023)0281.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71E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71E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71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36D"/>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F9E4E93"/>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1D695C"/>
    <w:multiLevelType w:val="hybridMultilevel"/>
    <w:tmpl w:val="3CF29F48"/>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E26705"/>
    <w:multiLevelType w:val="hybridMultilevel"/>
    <w:tmpl w:val="E4923DD6"/>
    <w:lvl w:ilvl="0" w:tplc="18090017">
      <w:start w:val="1"/>
      <w:numFmt w:val="lowerLetter"/>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784E97"/>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537990"/>
    <w:multiLevelType w:val="hybridMultilevel"/>
    <w:tmpl w:val="831A0398"/>
    <w:lvl w:ilvl="0" w:tplc="18090017">
      <w:start w:val="1"/>
      <w:numFmt w:val="lowerLetter"/>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8422C15"/>
    <w:multiLevelType w:val="hybridMultilevel"/>
    <w:tmpl w:val="DCB0F25A"/>
    <w:lvl w:ilvl="0" w:tplc="18090017">
      <w:start w:val="1"/>
      <w:numFmt w:val="lowerLetter"/>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9350A4E"/>
    <w:multiLevelType w:val="hybridMultilevel"/>
    <w:tmpl w:val="C8DC24DC"/>
    <w:lvl w:ilvl="0" w:tplc="8258F812">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E52560"/>
    <w:multiLevelType w:val="hybridMultilevel"/>
    <w:tmpl w:val="13840574"/>
    <w:lvl w:ilvl="0" w:tplc="18090017">
      <w:start w:val="1"/>
      <w:numFmt w:val="lowerLetter"/>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C8D6A5E"/>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F14796"/>
    <w:multiLevelType w:val="hybridMultilevel"/>
    <w:tmpl w:val="F3AEEE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FA61EF6"/>
    <w:multiLevelType w:val="hybridMultilevel"/>
    <w:tmpl w:val="D6482E3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094532A"/>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20A73F9"/>
    <w:multiLevelType w:val="hybridMultilevel"/>
    <w:tmpl w:val="F3AEEE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289455D"/>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1E14B2"/>
    <w:multiLevelType w:val="hybridMultilevel"/>
    <w:tmpl w:val="64F0C990"/>
    <w:lvl w:ilvl="0" w:tplc="42ECD73A">
      <w:start w:val="1"/>
      <w:numFmt w:val="decimal"/>
      <w:lvlText w:val="%1."/>
      <w:lvlJc w:val="left"/>
      <w:pPr>
        <w:ind w:left="720" w:hanging="360"/>
      </w:pPr>
      <w:rPr>
        <w:rFonts w:hint="default"/>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BA11AD3"/>
    <w:multiLevelType w:val="hybridMultilevel"/>
    <w:tmpl w:val="F3AEEE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21B1483"/>
    <w:multiLevelType w:val="hybridMultilevel"/>
    <w:tmpl w:val="8C8A0E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AD72350"/>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67F679F"/>
    <w:multiLevelType w:val="hybridMultilevel"/>
    <w:tmpl w:val="8E4A4420"/>
    <w:lvl w:ilvl="0" w:tplc="18090017">
      <w:start w:val="1"/>
      <w:numFmt w:val="lowerLetter"/>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6D133CF"/>
    <w:multiLevelType w:val="hybridMultilevel"/>
    <w:tmpl w:val="366E6F10"/>
    <w:lvl w:ilvl="0" w:tplc="1809000F">
      <w:start w:val="1"/>
      <w:numFmt w:val="decimal"/>
      <w:lvlText w:val="%1."/>
      <w:lvlJc w:val="left"/>
      <w:pPr>
        <w:ind w:left="785" w:hanging="360"/>
      </w:pPr>
      <w:rPr>
        <w:rFonts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A871C81"/>
    <w:multiLevelType w:val="hybridMultilevel"/>
    <w:tmpl w:val="806C1192"/>
    <w:lvl w:ilvl="0" w:tplc="FFFFFFFF">
      <w:start w:val="1"/>
      <w:numFmt w:val="decimal"/>
      <w:lvlText w:val="%1."/>
      <w:lvlJc w:val="left"/>
      <w:pPr>
        <w:ind w:left="720" w:hanging="360"/>
      </w:pPr>
      <w:rPr>
        <w:rFonts w:ascii="Times New Roman" w:hAnsi="Times New Roman" w:cs="Times New Roman" w:hint="default"/>
        <w:sz w:val="24"/>
        <w:szCs w:val="24"/>
      </w:rPr>
    </w:lvl>
    <w:lvl w:ilvl="1" w:tplc="58422D1E">
      <w:start w:val="1"/>
      <w:numFmt w:val="lowerLetter"/>
      <w:lvlText w:val="(%2)"/>
      <w:lvlJc w:val="left"/>
      <w:pPr>
        <w:ind w:left="1440" w:hanging="360"/>
      </w:pPr>
      <w:rPr>
        <w:rFonts w:ascii="Times New Roman" w:hAnsi="Times New Roman" w:cs="Times New Roman" w:hint="default"/>
        <w:sz w:val="24"/>
        <w:szCs w:val="24"/>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12D2873"/>
    <w:multiLevelType w:val="hybridMultilevel"/>
    <w:tmpl w:val="CC4C1F56"/>
    <w:lvl w:ilvl="0" w:tplc="FFFFFFFF">
      <w:start w:val="1"/>
      <w:numFmt w:val="decimal"/>
      <w:lvlText w:val="%1."/>
      <w:lvlJc w:val="left"/>
      <w:pPr>
        <w:ind w:left="785"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443020D"/>
    <w:multiLevelType w:val="hybridMultilevel"/>
    <w:tmpl w:val="1182E596"/>
    <w:lvl w:ilvl="0" w:tplc="18090017">
      <w:start w:val="1"/>
      <w:numFmt w:val="lowerLetter"/>
      <w:lvlText w:val="%1)"/>
      <w:lvlJc w:val="left"/>
      <w:pPr>
        <w:ind w:left="1495" w:hanging="360"/>
      </w:pPr>
      <w:rPr>
        <w:rFonts w:hint="default"/>
        <w:sz w:val="24"/>
        <w:szCs w:val="24"/>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CBE4812"/>
    <w:multiLevelType w:val="singleLevel"/>
    <w:tmpl w:val="83109EEC"/>
    <w:lvl w:ilvl="0">
      <w:start w:val="1"/>
      <w:numFmt w:val="decimal"/>
      <w:lvlRestart w:val="0"/>
      <w:pStyle w:val="Considrant"/>
      <w:lvlText w:val="(%1)"/>
      <w:lvlJc w:val="left"/>
      <w:pPr>
        <w:tabs>
          <w:tab w:val="num" w:pos="1276"/>
        </w:tabs>
        <w:ind w:left="1276" w:hanging="709"/>
      </w:pPr>
      <w:rPr>
        <w:b w:val="0"/>
        <w:bCs w:val="0"/>
        <w:i w:val="0"/>
        <w:iCs w:val="0"/>
      </w:rPr>
    </w:lvl>
  </w:abstractNum>
  <w:abstractNum w:abstractNumId="27" w15:restartNumberingAfterBreak="0">
    <w:nsid w:val="7E9443DB"/>
    <w:multiLevelType w:val="hybridMultilevel"/>
    <w:tmpl w:val="5680DA56"/>
    <w:lvl w:ilvl="0" w:tplc="C91CD94A">
      <w:start w:val="1"/>
      <w:numFmt w:val="decimal"/>
      <w:lvlText w:val="%1."/>
      <w:lvlJc w:val="left"/>
      <w:pPr>
        <w:ind w:left="720" w:hanging="360"/>
      </w:pPr>
      <w:rPr>
        <w:rFonts w:ascii="Times New Roman" w:hAnsi="Times New Roman"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FCA33BB"/>
    <w:multiLevelType w:val="hybridMultilevel"/>
    <w:tmpl w:val="F4D8B60E"/>
    <w:lvl w:ilvl="0" w:tplc="FFFFFFFF">
      <w:start w:val="1"/>
      <w:numFmt w:val="decimal"/>
      <w:lvlText w:val="%1."/>
      <w:lvlJc w:val="left"/>
      <w:pPr>
        <w:ind w:left="720" w:hanging="360"/>
      </w:pPr>
      <w:rPr>
        <w:rFonts w:ascii="Times New Roman" w:hAnsi="Times New Roman" w:cs="Times New Roman" w:hint="default"/>
        <w:i w:val="0"/>
        <w:i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15"/>
  </w:num>
  <w:num w:numId="3">
    <w:abstractNumId w:val="25"/>
  </w:num>
  <w:num w:numId="4">
    <w:abstractNumId w:val="9"/>
  </w:num>
  <w:num w:numId="5">
    <w:abstractNumId w:val="6"/>
  </w:num>
  <w:num w:numId="6">
    <w:abstractNumId w:val="27"/>
  </w:num>
  <w:num w:numId="7">
    <w:abstractNumId w:val="11"/>
  </w:num>
  <w:num w:numId="8">
    <w:abstractNumId w:val="14"/>
  </w:num>
  <w:num w:numId="9">
    <w:abstractNumId w:val="8"/>
  </w:num>
  <w:num w:numId="10">
    <w:abstractNumId w:val="23"/>
  </w:num>
  <w:num w:numId="11">
    <w:abstractNumId w:val="3"/>
  </w:num>
  <w:num w:numId="12">
    <w:abstractNumId w:val="7"/>
  </w:num>
  <w:num w:numId="13">
    <w:abstractNumId w:val="26"/>
  </w:num>
  <w:num w:numId="14">
    <w:abstractNumId w:val="4"/>
  </w:num>
  <w:num w:numId="15">
    <w:abstractNumId w:val="28"/>
  </w:num>
  <w:num w:numId="16">
    <w:abstractNumId w:val="20"/>
  </w:num>
  <w:num w:numId="17">
    <w:abstractNumId w:val="19"/>
  </w:num>
  <w:num w:numId="18">
    <w:abstractNumId w:val="5"/>
  </w:num>
  <w:num w:numId="19">
    <w:abstractNumId w:val="10"/>
  </w:num>
  <w:num w:numId="20">
    <w:abstractNumId w:val="2"/>
  </w:num>
  <w:num w:numId="21">
    <w:abstractNumId w:val="0"/>
  </w:num>
  <w:num w:numId="22">
    <w:abstractNumId w:val="24"/>
  </w:num>
  <w:num w:numId="23">
    <w:abstractNumId w:val="18"/>
  </w:num>
  <w:num w:numId="24">
    <w:abstractNumId w:val="13"/>
  </w:num>
  <w:num w:numId="25">
    <w:abstractNumId w:val="21"/>
  </w:num>
  <w:num w:numId="26">
    <w:abstractNumId w:val="16"/>
  </w:num>
  <w:num w:numId="27">
    <w:abstractNumId w:val="17"/>
  </w:num>
  <w:num w:numId="28">
    <w:abstractNumId w:val="12"/>
  </w:num>
  <w:num w:numId="29">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1/2024"/>
    <w:docVar w:name="dvlangue" w:val="CS"/>
    <w:docVar w:name="dvnumam" w:val="0"/>
    <w:docVar w:name="dvpe" w:val="759.998"/>
    <w:docVar w:name="dvrapporteur" w:val="Zpravodaj: "/>
    <w:docVar w:name="dvtitre" w:val="Rozhodnutí Evropského parlamentu ze dne 25. dubna 2024 o uzavření dohody mezi Evropským parlamentem, Radou, Evropskou komisí, Soudním dvorem Evropské unie, Evropskou centrální bankou, Účetním dvorem, Hospodářským a sociálním výborem a Výborem regionů, kterou se zřizuje interinstitucionální orgán pro etické normy pro členy orgánů a poradních institucí uvedených v článku 13 Smlouvy o Evropské unii(2024/2008(ACI))"/>
  </w:docVars>
  <w:rsids>
    <w:rsidRoot w:val="0030530E"/>
    <w:rsid w:val="00002272"/>
    <w:rsid w:val="00064002"/>
    <w:rsid w:val="000677B9"/>
    <w:rsid w:val="000831BA"/>
    <w:rsid w:val="000A42CC"/>
    <w:rsid w:val="000E7DD9"/>
    <w:rsid w:val="0010095E"/>
    <w:rsid w:val="001170BB"/>
    <w:rsid w:val="00125B37"/>
    <w:rsid w:val="001529D3"/>
    <w:rsid w:val="00156905"/>
    <w:rsid w:val="00187494"/>
    <w:rsid w:val="001F32AE"/>
    <w:rsid w:val="00211F12"/>
    <w:rsid w:val="002767FF"/>
    <w:rsid w:val="002B18FE"/>
    <w:rsid w:val="002B5493"/>
    <w:rsid w:val="0030530E"/>
    <w:rsid w:val="003177BA"/>
    <w:rsid w:val="00343214"/>
    <w:rsid w:val="00361C00"/>
    <w:rsid w:val="00395FA1"/>
    <w:rsid w:val="003E15D4"/>
    <w:rsid w:val="00411CCE"/>
    <w:rsid w:val="0041666E"/>
    <w:rsid w:val="00421060"/>
    <w:rsid w:val="00471C19"/>
    <w:rsid w:val="004867E3"/>
    <w:rsid w:val="00494A28"/>
    <w:rsid w:val="004C0004"/>
    <w:rsid w:val="004C4F7A"/>
    <w:rsid w:val="004C5D52"/>
    <w:rsid w:val="0050519A"/>
    <w:rsid w:val="005072A1"/>
    <w:rsid w:val="00514517"/>
    <w:rsid w:val="00545827"/>
    <w:rsid w:val="00560270"/>
    <w:rsid w:val="005C2568"/>
    <w:rsid w:val="005F28AC"/>
    <w:rsid w:val="005F39F7"/>
    <w:rsid w:val="006037C0"/>
    <w:rsid w:val="006631B6"/>
    <w:rsid w:val="00680577"/>
    <w:rsid w:val="006A394A"/>
    <w:rsid w:val="006A7D40"/>
    <w:rsid w:val="006B1EF0"/>
    <w:rsid w:val="006E473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228E"/>
    <w:rsid w:val="00981893"/>
    <w:rsid w:val="00A1687D"/>
    <w:rsid w:val="00A3658C"/>
    <w:rsid w:val="00A43E52"/>
    <w:rsid w:val="00A4678D"/>
    <w:rsid w:val="00A778C7"/>
    <w:rsid w:val="00AB441E"/>
    <w:rsid w:val="00AB6293"/>
    <w:rsid w:val="00AE0928"/>
    <w:rsid w:val="00AF3B82"/>
    <w:rsid w:val="00B12E95"/>
    <w:rsid w:val="00B22876"/>
    <w:rsid w:val="00B45290"/>
    <w:rsid w:val="00B558F0"/>
    <w:rsid w:val="00B715BF"/>
    <w:rsid w:val="00B73BC1"/>
    <w:rsid w:val="00BC49A4"/>
    <w:rsid w:val="00BD48FE"/>
    <w:rsid w:val="00BD7BD8"/>
    <w:rsid w:val="00BE6ADC"/>
    <w:rsid w:val="00C05BFE"/>
    <w:rsid w:val="00C171EF"/>
    <w:rsid w:val="00C23CD4"/>
    <w:rsid w:val="00C32F12"/>
    <w:rsid w:val="00C61C0C"/>
    <w:rsid w:val="00C941CB"/>
    <w:rsid w:val="00CC2357"/>
    <w:rsid w:val="00CF071A"/>
    <w:rsid w:val="00D058B8"/>
    <w:rsid w:val="00D37E6E"/>
    <w:rsid w:val="00D5367A"/>
    <w:rsid w:val="00D56C11"/>
    <w:rsid w:val="00D834A0"/>
    <w:rsid w:val="00D872DF"/>
    <w:rsid w:val="00D91E21"/>
    <w:rsid w:val="00DA7FCD"/>
    <w:rsid w:val="00E2608D"/>
    <w:rsid w:val="00E365E1"/>
    <w:rsid w:val="00E820A4"/>
    <w:rsid w:val="00EB006A"/>
    <w:rsid w:val="00EB4772"/>
    <w:rsid w:val="00ED169E"/>
    <w:rsid w:val="00ED4235"/>
    <w:rsid w:val="00F04346"/>
    <w:rsid w:val="00F075DC"/>
    <w:rsid w:val="00F07C95"/>
    <w:rsid w:val="00F149E9"/>
    <w:rsid w:val="00F5134D"/>
    <w:rsid w:val="00F74202"/>
    <w:rsid w:val="00F87713"/>
    <w:rsid w:val="00FB4360"/>
    <w:rsid w:val="00FC4CDC"/>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7658E7"/>
  <w15:chartTrackingRefBased/>
  <w15:docId w15:val="{7269B40C-3250-478B-858A-F56A0D502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SUPERS,Footnote symbol,(Footnote Reference),Footnote,Voetnootverwijzing,Times 10 Point,Exposant 3 Point,Footnote reference number,note TESI,Odwołanie przypisu,Footnote Reference Number,Footnote Reference_LVL6,number, BVI fnr"/>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37E6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D37E6E"/>
    <w:pPr>
      <w:keepNext/>
      <w:spacing w:after="480"/>
      <w:jc w:val="center"/>
    </w:pPr>
    <w:rPr>
      <w:rFonts w:ascii="Arial" w:hAnsi="Arial" w:cs="Arial"/>
      <w:b/>
    </w:rPr>
  </w:style>
  <w:style w:type="paragraph" w:customStyle="1" w:styleId="NormalHanging12a">
    <w:name w:val="NormalHanging12a"/>
    <w:basedOn w:val="Normal"/>
    <w:rsid w:val="00D37E6E"/>
    <w:pPr>
      <w:spacing w:after="240"/>
      <w:ind w:left="567" w:hanging="567"/>
    </w:pPr>
  </w:style>
  <w:style w:type="paragraph" w:styleId="Header">
    <w:name w:val="header"/>
    <w:basedOn w:val="Normal"/>
    <w:link w:val="HeaderChar"/>
    <w:rsid w:val="00D37E6E"/>
    <w:pPr>
      <w:tabs>
        <w:tab w:val="center" w:pos="4513"/>
        <w:tab w:val="right" w:pos="9026"/>
      </w:tabs>
    </w:pPr>
  </w:style>
  <w:style w:type="character" w:customStyle="1" w:styleId="HeaderChar">
    <w:name w:val="Header Char"/>
    <w:basedOn w:val="DefaultParagraphFont"/>
    <w:link w:val="Header"/>
    <w:rsid w:val="00D37E6E"/>
    <w:rPr>
      <w:sz w:val="24"/>
      <w:lang w:val="cs-CZ"/>
    </w:rPr>
  </w:style>
  <w:style w:type="paragraph" w:customStyle="1" w:styleId="EPFooter">
    <w:name w:val="EPFooter"/>
    <w:basedOn w:val="Normal"/>
    <w:rsid w:val="00D37E6E"/>
    <w:pPr>
      <w:tabs>
        <w:tab w:val="center" w:pos="4535"/>
        <w:tab w:val="right" w:pos="9071"/>
      </w:tabs>
      <w:spacing w:before="240" w:after="240"/>
    </w:pPr>
    <w:rPr>
      <w:color w:val="010000"/>
      <w:sz w:val="22"/>
    </w:rPr>
  </w:style>
  <w:style w:type="paragraph" w:customStyle="1" w:styleId="EPComma">
    <w:name w:val="EPComma"/>
    <w:basedOn w:val="Normal"/>
    <w:rsid w:val="00D37E6E"/>
    <w:pPr>
      <w:spacing w:before="480" w:after="240"/>
    </w:pPr>
  </w:style>
  <w:style w:type="paragraph" w:styleId="ListParagraph">
    <w:name w:val="List Paragraph"/>
    <w:basedOn w:val="Normal"/>
    <w:uiPriority w:val="34"/>
    <w:qFormat/>
    <w:rsid w:val="00D37E6E"/>
    <w:pPr>
      <w:widowControl/>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D37E6E"/>
    <w:pPr>
      <w:widowControl/>
      <w:spacing w:after="160" w:line="240" w:lineRule="exact"/>
    </w:pPr>
    <w:rPr>
      <w:sz w:val="20"/>
      <w:vertAlign w:val="superscript"/>
      <w:lang w:val="en-GB"/>
    </w:rPr>
  </w:style>
  <w:style w:type="paragraph" w:customStyle="1" w:styleId="Considrant">
    <w:name w:val="Considérant"/>
    <w:basedOn w:val="Normal"/>
    <w:rsid w:val="00D37E6E"/>
    <w:pPr>
      <w:widowControl/>
      <w:numPr>
        <w:numId w:val="13"/>
      </w:numPr>
      <w:spacing w:before="120" w:after="120"/>
      <w:jc w:val="both"/>
    </w:pPr>
    <w:rPr>
      <w:rFonts w:eastAsiaTheme="minorHAnsi"/>
      <w:szCs w:val="22"/>
      <w:lang w:eastAsia="en-US"/>
    </w:rPr>
  </w:style>
  <w:style w:type="character" w:customStyle="1" w:styleId="cf01">
    <w:name w:val="cf01"/>
    <w:basedOn w:val="DefaultParagraphFont"/>
    <w:rsid w:val="00D37E6E"/>
    <w:rPr>
      <w:rFonts w:ascii="Segoe UI" w:hAnsi="Segoe UI" w:cs="Segoe UI" w:hint="default"/>
      <w:sz w:val="18"/>
      <w:szCs w:val="18"/>
    </w:rPr>
  </w:style>
  <w:style w:type="paragraph" w:styleId="Footer">
    <w:name w:val="footer"/>
    <w:basedOn w:val="Normal"/>
    <w:link w:val="FooterChar"/>
    <w:rsid w:val="00B45290"/>
    <w:pPr>
      <w:tabs>
        <w:tab w:val="center" w:pos="4513"/>
        <w:tab w:val="right" w:pos="9026"/>
      </w:tabs>
    </w:pPr>
  </w:style>
  <w:style w:type="character" w:customStyle="1" w:styleId="FooterChar">
    <w:name w:val="Footer Char"/>
    <w:basedOn w:val="DefaultParagraphFont"/>
    <w:link w:val="Footer"/>
    <w:rsid w:val="00B45290"/>
    <w:rPr>
      <w:sz w:val="24"/>
      <w:lang w:val="cs-CZ"/>
    </w:rPr>
  </w:style>
  <w:style w:type="paragraph" w:styleId="BalloonText">
    <w:name w:val="Balloon Text"/>
    <w:basedOn w:val="Normal"/>
    <w:link w:val="BalloonTextChar"/>
    <w:rsid w:val="00BC49A4"/>
    <w:rPr>
      <w:rFonts w:ascii="Segoe UI" w:hAnsi="Segoe UI" w:cs="Segoe UI"/>
      <w:sz w:val="18"/>
      <w:szCs w:val="18"/>
    </w:rPr>
  </w:style>
  <w:style w:type="character" w:customStyle="1" w:styleId="BalloonTextChar">
    <w:name w:val="Balloon Text Char"/>
    <w:basedOn w:val="DefaultParagraphFont"/>
    <w:link w:val="BalloonText"/>
    <w:rsid w:val="00BC49A4"/>
    <w:rPr>
      <w:rFonts w:ascii="Segoe UI" w:hAnsi="Segoe UI" w:cs="Segoe UI"/>
      <w:sz w:val="18"/>
      <w:szCs w:val="18"/>
      <w:lang w:val="cs-CZ"/>
    </w:rPr>
  </w:style>
  <w:style w:type="character" w:styleId="Hyperlink">
    <w:name w:val="Hyperlink"/>
    <w:basedOn w:val="DefaultParagraphFont"/>
    <w:uiPriority w:val="99"/>
    <w:rsid w:val="00D5367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agree_interinstit/2024/1365/oj"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A5A0D7-C4E4-43D1-92E9-15697427F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1885</Words>
  <Characters>11271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HILL Romana</cp:lastModifiedBy>
  <cp:revision>2</cp:revision>
  <cp:lastPrinted>2004-11-19T15:42:00Z</cp:lastPrinted>
  <dcterms:created xsi:type="dcterms:W3CDTF">2024-09-09T11:36:00Z</dcterms:created>
  <dcterms:modified xsi:type="dcterms:W3CDTF">2024-09-09T11:36:00Z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P9_TA(2024)0372_</vt:lpwstr>
  </property>
  <property fmtid="{D5CDD505-2E9C-101B-9397-08002B2CF9AE}" pid="4" name="&lt;Type&gt;">
    <vt:lpwstr>RR</vt:lpwstr>
  </property>
</Properties>
</file>