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E632F" w14:paraId="148E1A51" w14:textId="77777777" w:rsidTr="0010095E">
        <w:trPr>
          <w:trHeight w:hRule="exact" w:val="1418"/>
        </w:trPr>
        <w:tc>
          <w:tcPr>
            <w:tcW w:w="6804" w:type="dxa"/>
            <w:shd w:val="clear" w:color="auto" w:fill="auto"/>
            <w:vAlign w:val="center"/>
          </w:tcPr>
          <w:p w14:paraId="544D3260" w14:textId="77777777" w:rsidR="00751A4A" w:rsidRPr="005E632F" w:rsidRDefault="002F09C8" w:rsidP="0010095E">
            <w:pPr>
              <w:pStyle w:val="EPName"/>
            </w:pPr>
            <w:r w:rsidRPr="005E632F">
              <w:t>Euroopan parlamentti</w:t>
            </w:r>
          </w:p>
          <w:p w14:paraId="309273E7" w14:textId="77777777" w:rsidR="00751A4A" w:rsidRPr="005E632F" w:rsidRDefault="00817416" w:rsidP="00756632">
            <w:pPr>
              <w:pStyle w:val="EPTerm"/>
              <w:rPr>
                <w:rStyle w:val="HideTWBExt"/>
                <w:noProof w:val="0"/>
                <w:vanish w:val="0"/>
                <w:color w:val="auto"/>
              </w:rPr>
            </w:pPr>
            <w:r w:rsidRPr="005E632F">
              <w:t>2019-2024</w:t>
            </w:r>
          </w:p>
        </w:tc>
        <w:tc>
          <w:tcPr>
            <w:tcW w:w="2268" w:type="dxa"/>
            <w:shd w:val="clear" w:color="auto" w:fill="auto"/>
          </w:tcPr>
          <w:p w14:paraId="7D753563" w14:textId="77777777" w:rsidR="00751A4A" w:rsidRPr="005E632F" w:rsidRDefault="00187494" w:rsidP="0010095E">
            <w:pPr>
              <w:pStyle w:val="EPLogo"/>
            </w:pPr>
            <w:r w:rsidRPr="005E632F">
              <w:rPr>
                <w:noProof/>
                <w:lang w:eastAsia="fi-FI"/>
              </w:rPr>
              <w:drawing>
                <wp:inline distT="0" distB="0" distL="0" distR="0" wp14:anchorId="5F68C9D8" wp14:editId="52143FA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9458F0" w14:textId="77777777" w:rsidR="00D058B8" w:rsidRPr="005E632F" w:rsidRDefault="00D058B8" w:rsidP="004C5D52">
      <w:pPr>
        <w:pStyle w:val="LineTop"/>
      </w:pPr>
    </w:p>
    <w:p w14:paraId="1824BBEB" w14:textId="77777777" w:rsidR="00680577" w:rsidRPr="005E632F" w:rsidRDefault="002F09C8" w:rsidP="00680577">
      <w:pPr>
        <w:pStyle w:val="EPBodyTA1"/>
      </w:pPr>
      <w:r w:rsidRPr="005E632F">
        <w:t>HYVÄKSYTYT TEKSTIT</w:t>
      </w:r>
    </w:p>
    <w:p w14:paraId="5449D9D9" w14:textId="77777777" w:rsidR="00D058B8" w:rsidRPr="005E632F" w:rsidRDefault="00D058B8" w:rsidP="00D058B8">
      <w:pPr>
        <w:pStyle w:val="LineBottom"/>
      </w:pPr>
    </w:p>
    <w:p w14:paraId="30372B81" w14:textId="6FD0E1AC" w:rsidR="002F09C8" w:rsidRPr="005E632F" w:rsidRDefault="002F09C8" w:rsidP="002F09C8">
      <w:pPr>
        <w:pStyle w:val="ATHeading1"/>
      </w:pPr>
      <w:bookmarkStart w:id="0" w:name="TANumber"/>
      <w:r w:rsidRPr="005E632F">
        <w:t>P9_TA(2024)0</w:t>
      </w:r>
      <w:r w:rsidR="00373508">
        <w:t>372</w:t>
      </w:r>
      <w:bookmarkEnd w:id="0"/>
    </w:p>
    <w:p w14:paraId="4F8CCD41" w14:textId="77777777" w:rsidR="002F09C8" w:rsidRPr="005E632F" w:rsidRDefault="00F251BD" w:rsidP="002F09C8">
      <w:pPr>
        <w:pStyle w:val="ATHeading2"/>
      </w:pPr>
      <w:bookmarkStart w:id="1" w:name="title"/>
      <w:r w:rsidRPr="00F251BD">
        <w:rPr>
          <w:bCs/>
        </w:rPr>
        <w:t>Toimielinten välinen eettisiä normeja käsittelevä elin</w:t>
      </w:r>
      <w:bookmarkEnd w:id="1"/>
    </w:p>
    <w:p w14:paraId="67AB04D6" w14:textId="77777777" w:rsidR="002F09C8" w:rsidRPr="005E632F" w:rsidRDefault="002F09C8" w:rsidP="002F09C8">
      <w:pPr>
        <w:rPr>
          <w:i/>
          <w:vanish/>
        </w:rPr>
      </w:pPr>
      <w:r w:rsidRPr="005E632F">
        <w:rPr>
          <w:i/>
        </w:rPr>
        <w:fldChar w:fldCharType="begin"/>
      </w:r>
      <w:r w:rsidRPr="005E632F">
        <w:rPr>
          <w:i/>
        </w:rPr>
        <w:instrText xml:space="preserve"> TC"(</w:instrText>
      </w:r>
      <w:bookmarkStart w:id="2" w:name="DocNumber"/>
      <w:r w:rsidRPr="005E632F">
        <w:rPr>
          <w:i/>
        </w:rPr>
        <w:instrText>A9-0181/2024</w:instrText>
      </w:r>
      <w:bookmarkEnd w:id="2"/>
      <w:r w:rsidRPr="005E632F">
        <w:rPr>
          <w:i/>
        </w:rPr>
        <w:instrText xml:space="preserve"> - Esittelijä: Esittelijä: Daniel Freund)"\l3 \n&gt; \* MERGEFORMAT </w:instrText>
      </w:r>
      <w:r w:rsidRPr="005E632F">
        <w:rPr>
          <w:i/>
        </w:rPr>
        <w:fldChar w:fldCharType="end"/>
      </w:r>
    </w:p>
    <w:p w14:paraId="26E577DC" w14:textId="77777777" w:rsidR="002F09C8" w:rsidRPr="005E632F" w:rsidRDefault="002F09C8" w:rsidP="002F09C8">
      <w:pPr>
        <w:rPr>
          <w:vanish/>
        </w:rPr>
      </w:pPr>
      <w:bookmarkStart w:id="3" w:name="Commission"/>
      <w:r w:rsidRPr="005E632F">
        <w:rPr>
          <w:vanish/>
        </w:rPr>
        <w:t>Perussopimus-, työjärjestys- ja toimielinasioiden valiokunta</w:t>
      </w:r>
      <w:bookmarkEnd w:id="3"/>
    </w:p>
    <w:p w14:paraId="4C33FEE6" w14:textId="77777777" w:rsidR="002F09C8" w:rsidRPr="005E632F" w:rsidRDefault="002F09C8" w:rsidP="002F09C8">
      <w:pPr>
        <w:rPr>
          <w:vanish/>
        </w:rPr>
      </w:pPr>
      <w:bookmarkStart w:id="4" w:name="PE"/>
      <w:r w:rsidRPr="005E632F">
        <w:rPr>
          <w:vanish/>
        </w:rPr>
        <w:t>PE759.998</w:t>
      </w:r>
      <w:bookmarkEnd w:id="4"/>
    </w:p>
    <w:p w14:paraId="01C69E71" w14:textId="77777777" w:rsidR="002F09C8" w:rsidRPr="005E632F" w:rsidRDefault="002F09C8" w:rsidP="002F09C8">
      <w:pPr>
        <w:pStyle w:val="ATHeading3"/>
      </w:pPr>
      <w:bookmarkStart w:id="5" w:name="Sujet"/>
      <w:r w:rsidRPr="005E632F">
        <w:t>Euroopan parlamentin päätös 25. huhtikuuta 2024 Euroopan parlamentin, neuvoston, Euroopan komission, Euroopan unionin tuomioistuimen, Euroopan keskuspankin, Euroopan tilintarkastustuomioistuimen, Euroopan talous- ja sosiaalikomitean ja Euroopan alueiden komitean välisen sopimuksen tekemisestä Euroopan unionista tehdyn sopimuksen 13 artiklassa mainittujen toimielinten ja neuvoa-antavien elinten jäsenten eettisiä normeja käsittelevän toimielinten välisen elimen perustamisesta</w:t>
      </w:r>
      <w:bookmarkEnd w:id="5"/>
      <w:r w:rsidRPr="005E632F">
        <w:t xml:space="preserve"> </w:t>
      </w:r>
      <w:bookmarkStart w:id="6" w:name="References"/>
      <w:r w:rsidRPr="005E632F">
        <w:t>(2024/2008(ACI))</w:t>
      </w:r>
      <w:bookmarkEnd w:id="6"/>
    </w:p>
    <w:p w14:paraId="3BB90335" w14:textId="77777777" w:rsidR="00180053" w:rsidRPr="005E632F" w:rsidRDefault="00180053" w:rsidP="00F251BD">
      <w:pPr>
        <w:pStyle w:val="EPComma"/>
        <w:widowControl/>
      </w:pPr>
      <w:bookmarkStart w:id="7" w:name="TextBodyBegin"/>
      <w:bookmarkEnd w:id="7"/>
      <w:r w:rsidRPr="005E632F">
        <w:rPr>
          <w:i/>
          <w:iCs/>
        </w:rPr>
        <w:t>Euroopan parlamentti</w:t>
      </w:r>
      <w:r w:rsidRPr="005E632F">
        <w:t>, joka</w:t>
      </w:r>
    </w:p>
    <w:p w14:paraId="43BCDDE6" w14:textId="77777777" w:rsidR="00180053" w:rsidRPr="005E632F" w:rsidRDefault="00180053" w:rsidP="00F251BD">
      <w:pPr>
        <w:pStyle w:val="NormalHanging12a"/>
        <w:widowControl/>
      </w:pPr>
      <w:r w:rsidRPr="005E632F">
        <w:t>–</w:t>
      </w:r>
      <w:r w:rsidRPr="005E632F">
        <w:tab/>
        <w:t>ottaa huomioon puheenjohtajakokouksen 14. ja 19. maaliskuuta 2024 tekemät päätökset, joilla hyväksyttiin luonnos toimielinten väliseksi sopimukseksi Euroopan unionista tehdyn sopimuksen 13 artiklassa mainittujen toimielinten ja neuvoa-antavien elinten jäsenten eettisiä normeja käsittelevän toimielinten välisen elimen perustamisesta,</w:t>
      </w:r>
    </w:p>
    <w:p w14:paraId="3F99A2A3" w14:textId="02CFE4C3" w:rsidR="00180053" w:rsidRPr="005E632F" w:rsidRDefault="00180053" w:rsidP="00F251BD">
      <w:pPr>
        <w:pStyle w:val="NormalHanging12a"/>
        <w:widowControl/>
      </w:pPr>
      <w:r w:rsidRPr="005E632F">
        <w:t>–</w:t>
      </w:r>
      <w:r w:rsidRPr="005E632F">
        <w:tab/>
        <w:t xml:space="preserve">ottaa huomioon luonnoksen Euroopan parlamentin, neuvoston, Euroopan komission, Euroopan unionin tuomioistuimen, Euroopan keskuspankin, Euroopan tilintarkastustuomioistuimen, Euroopan talous- ja sosiaalikomitean ja Euroopan alueiden komitean väliseksi sopimukseksi Euroopan unionista tehdyn sopimuksen 13 artiklassa mainittujen toimielinten ja neuvoa-antavien elinten jäsenten eettisiä normeja käsittelevän toimielinten välisen elimen perustamisesta (jäljempänä </w:t>
      </w:r>
      <w:r w:rsidR="00EB5764">
        <w:t>’</w:t>
      </w:r>
      <w:r w:rsidRPr="005E632F">
        <w:t>sopimus</w:t>
      </w:r>
      <w:r w:rsidR="00EB5764">
        <w:t>’</w:t>
      </w:r>
      <w:r w:rsidRPr="005E632F">
        <w:t>),</w:t>
      </w:r>
    </w:p>
    <w:p w14:paraId="20FE468B" w14:textId="62FECA6D" w:rsidR="002F3FCE" w:rsidRPr="005E632F" w:rsidRDefault="00180053" w:rsidP="00F251BD">
      <w:pPr>
        <w:pStyle w:val="NormalHanging12a"/>
        <w:widowControl/>
      </w:pPr>
      <w:r w:rsidRPr="005E632F">
        <w:t>–</w:t>
      </w:r>
      <w:r w:rsidRPr="005E632F">
        <w:tab/>
        <w:t>ottaa huomioon Euroopan unionista tehdyn sopimuksen 13 artiklan,</w:t>
      </w:r>
    </w:p>
    <w:p w14:paraId="3907D726" w14:textId="77777777" w:rsidR="00180053" w:rsidRPr="005E632F" w:rsidRDefault="00180053" w:rsidP="00F251BD">
      <w:pPr>
        <w:pStyle w:val="NormalHanging12a"/>
        <w:widowControl/>
      </w:pPr>
      <w:r w:rsidRPr="005E632F">
        <w:t>–</w:t>
      </w:r>
      <w:r w:rsidRPr="005E632F">
        <w:tab/>
        <w:t>ottaa huomioon Euroopan unionin toiminnasta tehdyn sopimuksen 232 artiklan,</w:t>
      </w:r>
    </w:p>
    <w:p w14:paraId="7CD59DE0" w14:textId="6406E0C6" w:rsidR="00180053" w:rsidRPr="005E632F" w:rsidRDefault="00180053" w:rsidP="00F251BD">
      <w:pPr>
        <w:pStyle w:val="NormalHanging12a"/>
        <w:widowControl/>
      </w:pPr>
      <w:r w:rsidRPr="005E632F">
        <w:t>–</w:t>
      </w:r>
      <w:r w:rsidRPr="005E632F">
        <w:tab/>
        <w:t>ottaa huomioon 8. kesäkuuta 2023 annetun komission tiedonannon toimielinten välistä eettistä elintä koskevasta ehdotuksesta sekä sen liitteet</w:t>
      </w:r>
      <w:r w:rsidR="00F251BD">
        <w:t xml:space="preserve"> (COM(2023)0311)</w:t>
      </w:r>
      <w:r w:rsidRPr="005E632F">
        <w:t>,</w:t>
      </w:r>
    </w:p>
    <w:p w14:paraId="2A1688BF" w14:textId="77777777" w:rsidR="00180053" w:rsidRPr="005E632F" w:rsidRDefault="00180053" w:rsidP="00F251BD">
      <w:pPr>
        <w:pStyle w:val="NormalHanging12a"/>
        <w:widowControl/>
      </w:pPr>
      <w:r w:rsidRPr="005E632F">
        <w:t>–</w:t>
      </w:r>
      <w:r w:rsidRPr="005E632F">
        <w:tab/>
        <w:t>ottaa huomioon 16. syyskuuta 2021 antamansa päätöslauselman avoimuuden ja lahjomattomuuden vahvistamisesta EU:n toimielimissä perustamalla riippumaton EU:n eettinen elin</w:t>
      </w:r>
      <w:r w:rsidRPr="005E632F">
        <w:rPr>
          <w:rStyle w:val="FootnoteReference"/>
        </w:rPr>
        <w:footnoteReference w:id="1"/>
      </w:r>
      <w:r w:rsidRPr="005E632F">
        <w:t>,</w:t>
      </w:r>
    </w:p>
    <w:p w14:paraId="3D88D04B" w14:textId="77777777" w:rsidR="00180053" w:rsidRPr="005E632F" w:rsidRDefault="00180053" w:rsidP="00F251BD">
      <w:pPr>
        <w:pStyle w:val="NormalHanging12a"/>
        <w:widowControl/>
      </w:pPr>
      <w:r w:rsidRPr="005E632F">
        <w:lastRenderedPageBreak/>
        <w:t>–</w:t>
      </w:r>
      <w:r w:rsidRPr="005E632F">
        <w:tab/>
        <w:t>ottaa huomioon 15. joulukuuta 2022 antamansa päätöslauselman Qatariin liittyvistä korruptioepäilyistä ja Euroopan unionin toimielinten laajemmasta avoimuuden ja vastuuvelvollisuuden tarpeesta</w:t>
      </w:r>
      <w:r w:rsidRPr="005E632F">
        <w:rPr>
          <w:rStyle w:val="FootnoteReference"/>
        </w:rPr>
        <w:footnoteReference w:id="2"/>
      </w:r>
      <w:r w:rsidRPr="005E632F">
        <w:t>,</w:t>
      </w:r>
    </w:p>
    <w:p w14:paraId="44AB9CF8" w14:textId="77777777" w:rsidR="00180053" w:rsidRPr="005E632F" w:rsidRDefault="00180053" w:rsidP="00F251BD">
      <w:pPr>
        <w:pStyle w:val="NormalHanging12a"/>
        <w:widowControl/>
      </w:pPr>
      <w:r w:rsidRPr="005E632F">
        <w:t>–</w:t>
      </w:r>
      <w:r w:rsidRPr="005E632F">
        <w:tab/>
        <w:t>ottaa huomioon 16. helmikuuta 2023 antamansa päätöslauselman riippumattoman EU:n eettisen elimen perustamisesta</w:t>
      </w:r>
      <w:r w:rsidRPr="005E632F">
        <w:rPr>
          <w:rStyle w:val="FootnoteReference"/>
        </w:rPr>
        <w:footnoteReference w:id="3"/>
      </w:r>
      <w:r w:rsidRPr="005E632F">
        <w:t>,</w:t>
      </w:r>
    </w:p>
    <w:p w14:paraId="06B1BA20" w14:textId="77777777" w:rsidR="00180053" w:rsidRPr="005E632F" w:rsidRDefault="00180053" w:rsidP="00F251BD">
      <w:pPr>
        <w:pStyle w:val="NormalHanging12a"/>
        <w:widowControl/>
      </w:pPr>
      <w:r w:rsidRPr="005E632F">
        <w:t>–</w:t>
      </w:r>
      <w:r w:rsidRPr="005E632F">
        <w:tab/>
        <w:t>ottaa huomioon 16. helmikuuta 2023 antamansa päätöslauselman parlamentin Euroopan unionin toimielinten lahjomattomuuden vahvistamiseksi pyytämien toimenpiteiden seurannasta</w:t>
      </w:r>
      <w:r w:rsidRPr="005E632F">
        <w:rPr>
          <w:rStyle w:val="FootnoteReference"/>
        </w:rPr>
        <w:footnoteReference w:id="4"/>
      </w:r>
      <w:r w:rsidRPr="005E632F">
        <w:t>,</w:t>
      </w:r>
    </w:p>
    <w:p w14:paraId="6B3E23E8" w14:textId="77777777" w:rsidR="00180053" w:rsidRPr="005E632F" w:rsidRDefault="00180053" w:rsidP="00F251BD">
      <w:pPr>
        <w:pStyle w:val="NormalHanging12a"/>
        <w:widowControl/>
      </w:pPr>
      <w:r w:rsidRPr="005E632F">
        <w:t>–</w:t>
      </w:r>
      <w:r w:rsidRPr="005E632F">
        <w:tab/>
        <w:t>ottaa huomioon 12. heinäkuuta 2023 antamansa päätöslauselman EU:n eettisen elimen perustamisesta</w:t>
      </w:r>
      <w:r w:rsidRPr="005E632F">
        <w:rPr>
          <w:rStyle w:val="FootnoteReference"/>
        </w:rPr>
        <w:footnoteReference w:id="5"/>
      </w:r>
      <w:r w:rsidRPr="005E632F">
        <w:t>,</w:t>
      </w:r>
    </w:p>
    <w:p w14:paraId="49F463A8" w14:textId="77777777" w:rsidR="00180053" w:rsidRPr="005E632F" w:rsidRDefault="00180053" w:rsidP="00F251BD">
      <w:pPr>
        <w:pStyle w:val="NormalHanging12a"/>
        <w:widowControl/>
      </w:pPr>
      <w:r w:rsidRPr="005E632F">
        <w:t>–</w:t>
      </w:r>
      <w:r w:rsidRPr="005E632F">
        <w:tab/>
        <w:t>ottaa huomioon 13. heinäkuuta 2023 antamansa päätöslauselman suosituksista avoimuutta, lahjomattomuutta, vastuuvelvollisuutta ja korruption torjuntaa koskevien Euroopan parlamentin sääntöjen uudistamiseksi</w:t>
      </w:r>
      <w:r w:rsidRPr="00F251BD">
        <w:footnoteReference w:id="6"/>
      </w:r>
      <w:r w:rsidRPr="005E632F">
        <w:t>,</w:t>
      </w:r>
    </w:p>
    <w:p w14:paraId="3F9FFEEB" w14:textId="77777777" w:rsidR="00180053" w:rsidRPr="005E632F" w:rsidRDefault="00180053" w:rsidP="00F251BD">
      <w:pPr>
        <w:pStyle w:val="NormalHanging12a"/>
        <w:widowControl/>
      </w:pPr>
      <w:r w:rsidRPr="005E632F">
        <w:t>–</w:t>
      </w:r>
      <w:r w:rsidRPr="005E632F">
        <w:tab/>
        <w:t>ottaa huomioon työjärjestyksen 148 artiklan 1 kohdan,</w:t>
      </w:r>
    </w:p>
    <w:p w14:paraId="780363DF" w14:textId="77777777" w:rsidR="00180053" w:rsidRPr="005E632F" w:rsidRDefault="00180053" w:rsidP="00F251BD">
      <w:pPr>
        <w:pStyle w:val="NormalHanging12a"/>
        <w:widowControl/>
      </w:pPr>
      <w:r w:rsidRPr="005E632F">
        <w:t>–</w:t>
      </w:r>
      <w:r w:rsidRPr="005E632F">
        <w:tab/>
        <w:t>ottaa huomioon perussopimus-, työjärjestys- ja toimielinasioiden valiokunnan mietinnön (A9-0181/2024),</w:t>
      </w:r>
    </w:p>
    <w:p w14:paraId="351B4E6F" w14:textId="77777777" w:rsidR="00180053" w:rsidRPr="005E632F" w:rsidRDefault="00180053" w:rsidP="00F251BD">
      <w:pPr>
        <w:pStyle w:val="NormalHanging12a"/>
        <w:widowControl/>
        <w:rPr>
          <w:szCs w:val="24"/>
        </w:rPr>
      </w:pPr>
      <w:r w:rsidRPr="005E632F">
        <w:t>A.</w:t>
      </w:r>
      <w:r w:rsidRPr="005E632F">
        <w:tab/>
        <w:t>katsoo, että EU:n toimielinten riippumattomuus, avoimuus ja vastuuvelvollisuus ovat äärimmäisen tärkeitä niiden demokraattisen legitiimiyden ja kansalaisten luottamuksen edistämisen kannalta;</w:t>
      </w:r>
      <w:r w:rsidRPr="005E632F">
        <w:rPr>
          <w:b/>
        </w:rPr>
        <w:t xml:space="preserve"> </w:t>
      </w:r>
      <w:r w:rsidRPr="005E632F">
        <w:t>ottaa huomioon, että Euroopan parlamentti kuuluu nykyään maailman avoimimpiin lainsäätäjiin;</w:t>
      </w:r>
    </w:p>
    <w:p w14:paraId="739CCBDE" w14:textId="77777777" w:rsidR="00180053" w:rsidRPr="005E632F" w:rsidRDefault="00180053" w:rsidP="00F251BD">
      <w:pPr>
        <w:pStyle w:val="NormalHanging12a"/>
        <w:widowControl/>
      </w:pPr>
      <w:r w:rsidRPr="005E632F">
        <w:t>B.</w:t>
      </w:r>
      <w:r w:rsidRPr="005E632F">
        <w:tab/>
        <w:t>katsoo, että on tarpeen käsitellä puutteita, jotka johtuvat siitä, että nykyinen eettinen kehys on hajallaan EU:n eri toimielimissä, elimissä, laitoksissa ja virastoissa ja että säännöt, menettelyt ja täytäntöönpanon taso vaihtelevat;</w:t>
      </w:r>
    </w:p>
    <w:p w14:paraId="6145F1CB" w14:textId="77777777" w:rsidR="00180053" w:rsidRPr="005E632F" w:rsidRDefault="00180053" w:rsidP="00F251BD">
      <w:pPr>
        <w:pStyle w:val="NormalHanging12a"/>
        <w:widowControl/>
      </w:pPr>
      <w:r w:rsidRPr="005E632F">
        <w:t>C.</w:t>
      </w:r>
      <w:r w:rsidRPr="005E632F">
        <w:tab/>
        <w:t>ottaa huomioon, että parlamentti ehdotti 16. syyskuuta 2021 antamassaan päätöslauselmassa</w:t>
      </w:r>
      <w:r w:rsidR="00F251BD">
        <w:rPr>
          <w:rStyle w:val="FootnoteReference"/>
        </w:rPr>
        <w:footnoteReference w:id="7"/>
      </w:r>
      <w:r w:rsidRPr="005E632F">
        <w:t xml:space="preserve"> kunnianhimoisen, aidon ja riippumattoman eettisen elimen perustamista ja toisti ehdotuksen 16. helmikuuta 2023</w:t>
      </w:r>
      <w:r w:rsidR="008F0A08">
        <w:rPr>
          <w:rStyle w:val="FootnoteReference"/>
        </w:rPr>
        <w:footnoteReference w:id="8"/>
      </w:r>
      <w:r w:rsidRPr="005E632F">
        <w:t xml:space="preserve"> ja 12. heinäkuuta 2023</w:t>
      </w:r>
      <w:r w:rsidR="008F0A08">
        <w:rPr>
          <w:rStyle w:val="FootnoteReference"/>
        </w:rPr>
        <w:footnoteReference w:id="9"/>
      </w:r>
      <w:r w:rsidRPr="005E632F">
        <w:t xml:space="preserve"> antamissaan päätöslauselmissa;</w:t>
      </w:r>
    </w:p>
    <w:p w14:paraId="5359D32F" w14:textId="77777777" w:rsidR="00180053" w:rsidRPr="005E632F" w:rsidRDefault="00180053" w:rsidP="00F251BD">
      <w:pPr>
        <w:pStyle w:val="NormalHanging12a"/>
        <w:widowControl/>
        <w:rPr>
          <w:szCs w:val="24"/>
        </w:rPr>
      </w:pPr>
      <w:r w:rsidRPr="005E632F">
        <w:t>D.</w:t>
      </w:r>
      <w:r w:rsidRPr="005E632F">
        <w:tab/>
        <w:t>ottaa huomioon, että komissio esitti 8. kesäkuuta 2023 ehdotuksen toimielinten välisen eettisen elimen perustamisesta ehdottaen, että perustetaan normeja asettava elin; ottaa huomioon, että komission ehdotus ei vastannut alkuunkaan parlamentin päätöslauselmissa asetettuja kunnianhimoisia tavoitteita ja että siitä puuttuivat pääasiassa valmiudet tutkia yksittäisiä tapauksia ja eettisten sääntöjen mahdollisia rikkomisia sekä antaa seuraamuksia koskevia suosituksia;</w:t>
      </w:r>
    </w:p>
    <w:p w14:paraId="38079521" w14:textId="7DF541BF" w:rsidR="00180053" w:rsidRPr="005E632F" w:rsidRDefault="00180053" w:rsidP="00373508">
      <w:pPr>
        <w:ind w:left="567" w:hanging="567"/>
        <w:rPr>
          <w:color w:val="000000"/>
        </w:rPr>
      </w:pPr>
      <w:r w:rsidRPr="005E632F">
        <w:lastRenderedPageBreak/>
        <w:t>E.</w:t>
      </w:r>
      <w:r w:rsidRPr="005E632F">
        <w:tab/>
        <w:t>ottaa huomioon, että parlamentin neuvotteluvaltuuksina toimivat sen 16. helmikuuta 2023</w:t>
      </w:r>
      <w:r w:rsidRPr="005E632F">
        <w:rPr>
          <w:rStyle w:val="FootnoteReference"/>
        </w:rPr>
        <w:footnoteReference w:id="10"/>
      </w:r>
      <w:r w:rsidRPr="005E632F">
        <w:t xml:space="preserve"> ja 12. heinäkuuta 2023</w:t>
      </w:r>
      <w:r w:rsidR="008F0A08" w:rsidRPr="005E632F">
        <w:rPr>
          <w:rStyle w:val="FootnoteReference"/>
          <w:color w:val="000000"/>
        </w:rPr>
        <w:footnoteReference w:id="11"/>
      </w:r>
      <w:r w:rsidR="008F0A08">
        <w:t xml:space="preserve"> </w:t>
      </w:r>
      <w:r w:rsidRPr="005E632F">
        <w:t xml:space="preserve"> antama</w:t>
      </w:r>
      <w:r w:rsidR="008F0A08">
        <w:t>t</w:t>
      </w:r>
      <w:r w:rsidRPr="005E632F">
        <w:t xml:space="preserve"> päätöslauselma</w:t>
      </w:r>
      <w:r w:rsidR="008F0A08">
        <w:t>t</w:t>
      </w:r>
      <w:r w:rsidRPr="005E632F">
        <w:t>;</w:t>
      </w:r>
    </w:p>
    <w:p w14:paraId="15F0F1C7" w14:textId="77777777" w:rsidR="00180053" w:rsidRPr="005E632F" w:rsidRDefault="00180053" w:rsidP="00F251BD">
      <w:pPr>
        <w:pStyle w:val="NormalHanging12a"/>
        <w:widowControl/>
      </w:pPr>
      <w:r w:rsidRPr="005E632F">
        <w:t>F.</w:t>
      </w:r>
      <w:r w:rsidRPr="005E632F">
        <w:tab/>
      </w:r>
      <w:r w:rsidRPr="005E632F">
        <w:rPr>
          <w:color w:val="000000"/>
        </w:rPr>
        <w:t>ottaa huomioon, että toimielinten välinen eettinen elin auttaa vahvistamaan luottamusta unionin toimielimiin ja niiden demokraattista legitimiteettiä sekä luomaan tiukimpiin eettisiin normeihin perustuvan institutionaalisen kulttuurin;</w:t>
      </w:r>
    </w:p>
    <w:p w14:paraId="57780A27" w14:textId="77777777" w:rsidR="00180053" w:rsidRPr="005E632F" w:rsidRDefault="00180053" w:rsidP="00F251BD">
      <w:pPr>
        <w:pStyle w:val="NormalHanging12a"/>
        <w:widowControl/>
      </w:pPr>
      <w:r w:rsidRPr="005E632F">
        <w:t>G.</w:t>
      </w:r>
      <w:r w:rsidRPr="005E632F">
        <w:tab/>
        <w:t>ottaa huomioon, että parlamentin työjärjestyksen nykyisissä eettisissä säännöissä määrätään monista vakiomuotoisista kirjallisista ilmoituksista, joita ovat esimerkiksi yksityisiä sidonnaisuuksia koskevat ilmoitukset, ilmoitukset varallisuudesta, ilmoitukset tiedossa olevista eturistiriidoista luottamustehtävää hoitaville jäsenille, esittelijöille, varjoesittelijöille ja virallisten valtuuskuntien tai toimielinten välisten neuvottelujen osanottajille, ilmoitukset suunnitelluista tapaamisista edunvalvojien kanssa, myös silloin, kun ne on delegoitu jäsenten avustajille, esittelijöiden ilmoitukset heidän laatimiinsa asiakirjoihin saamistaan tiedoista, ilmoitukset kolmansien osapuolten järjestämiin tilaisuuksiin osallistumisesta, ilmoitukset lahjoista sekä laajennettujen työryhmien tai epävirallisten ryhmittymien ilmoitukset ulkoisesta rahoitustuesta;</w:t>
      </w:r>
    </w:p>
    <w:p w14:paraId="332A501D" w14:textId="77777777" w:rsidR="00180053" w:rsidRPr="005E632F" w:rsidRDefault="00180053" w:rsidP="00F251BD">
      <w:pPr>
        <w:pStyle w:val="NormalHanging12a"/>
        <w:widowControl/>
        <w:rPr>
          <w:szCs w:val="24"/>
        </w:rPr>
      </w:pPr>
      <w:r w:rsidRPr="005E632F">
        <w:t>1.</w:t>
      </w:r>
      <w:r w:rsidRPr="005E632F">
        <w:tab/>
        <w:t>pitää myönteisenä sopimusta, joka mahdollistaa vahvojen yhteisten eettisten normien kehittämisen ja parhaiden käytäntöjen vaihdon sekä sen, että riippumattomat asiantuntijat voivat tutkia yksittäisiä tapauksia sopimuksen osapuolena olevan toimielimen tai neuvoa-antavan elimen pyynnöstä asioissa, joissa on kyse niiden jäsenten ilmoituksista;</w:t>
      </w:r>
    </w:p>
    <w:p w14:paraId="7950291F" w14:textId="77777777" w:rsidR="00180053" w:rsidRPr="005E632F" w:rsidRDefault="00180053" w:rsidP="00F251BD">
      <w:pPr>
        <w:pStyle w:val="NormalHanging12a"/>
        <w:widowControl/>
        <w:rPr>
          <w:szCs w:val="24"/>
        </w:rPr>
      </w:pPr>
      <w:r w:rsidRPr="005E632F">
        <w:t>2.</w:t>
      </w:r>
      <w:r w:rsidRPr="005E632F">
        <w:tab/>
        <w:t xml:space="preserve">korostaa, että lopullinen päätösvalta täytäntöönpanossa säilyy toimielinten tai elinten asiaankuuluvilla viranomaisilla; panee merkille, että riippumattomien asiantuntijoiden kuuleminen yksittäistapauksissa alkaa aina sopimuksen osapuolen sen omia jäseniä koskevalla pyynnöllä sen sisäisten sääntöjen mukaisesti; korostaa, että riippumattomien asiantuntijoiden olisi pääsääntöisesti tutkittava komission jäsenehdokkaiden taloudellisia sidonnaisuuksia koskevat ilmoitukset korkean tason tapauksina, jotka ylittävät asianomaisen toimielimen edut; </w:t>
      </w:r>
    </w:p>
    <w:p w14:paraId="13467A22" w14:textId="2AE06DD6" w:rsidR="00180053" w:rsidRPr="005E632F" w:rsidRDefault="00180053" w:rsidP="00F251BD">
      <w:pPr>
        <w:pStyle w:val="NormalHanging12a"/>
        <w:widowControl/>
        <w:rPr>
          <w:szCs w:val="24"/>
        </w:rPr>
      </w:pPr>
      <w:r w:rsidRPr="005E632F">
        <w:t>3.</w:t>
      </w:r>
      <w:r w:rsidRPr="005E632F">
        <w:tab/>
        <w:t>muistuttaa kuitenkin, että parlamentti on edelleen täysin sitoutunut riippumattomaan eettiseen elimeen, joka pystyy suorittamaan tutkintaa omasta aloitteestaan ja antamaan seuraamuksia koskevia suosituksia osallistuvien toimielinten tai elinten asiasta vastaaville viranomaisille ja joka koostuu riippumattomista asiantuntijoista täysivaltaisina jäseninä ja joka kattaa EU:n toimielinten ja elinten jäsenet ennen heidän toimikauttaan tai palvelusaikaansa, sen aikana ja sen jälkeen, sekä henkilöstön, kuten parlamentti totesi 16. syyskuuta 2021 antamassaan päätöslauselmassa</w:t>
      </w:r>
      <w:r w:rsidRPr="005E632F">
        <w:rPr>
          <w:vertAlign w:val="superscript"/>
        </w:rPr>
        <w:footnoteReference w:id="12"/>
      </w:r>
      <w:r w:rsidRPr="005E632F">
        <w:t xml:space="preserve"> ja kuten se toisti 16. helmikuuta 2023 antamassaan päätöslauselmassa</w:t>
      </w:r>
      <w:r w:rsidRPr="005E632F">
        <w:rPr>
          <w:vertAlign w:val="superscript"/>
        </w:rPr>
        <w:footnoteReference w:id="13"/>
      </w:r>
      <w:r w:rsidRPr="005E632F">
        <w:t xml:space="preserve"> sekä 12. heinäkuuta 2023 antamassaan päätöslauselmassa</w:t>
      </w:r>
      <w:r w:rsidRPr="005E632F">
        <w:rPr>
          <w:vertAlign w:val="superscript"/>
        </w:rPr>
        <w:footnoteReference w:id="14"/>
      </w:r>
      <w:r w:rsidRPr="005E632F">
        <w:t>;</w:t>
      </w:r>
    </w:p>
    <w:p w14:paraId="11C8252C" w14:textId="77777777" w:rsidR="00180053" w:rsidRPr="005E632F" w:rsidRDefault="00180053" w:rsidP="00F251BD">
      <w:pPr>
        <w:pStyle w:val="NormalHanging12a"/>
        <w:widowControl/>
      </w:pPr>
      <w:r w:rsidRPr="005E632F">
        <w:t>4.</w:t>
      </w:r>
      <w:r w:rsidRPr="005E632F">
        <w:tab/>
        <w:t>pitää valitettavana, että Eurooppa-neuvosto päätti olla liittymättä sopimukseen;</w:t>
      </w:r>
    </w:p>
    <w:p w14:paraId="4646D303" w14:textId="77777777" w:rsidR="00180053" w:rsidRPr="005E632F" w:rsidRDefault="00180053" w:rsidP="00F251BD">
      <w:pPr>
        <w:pStyle w:val="NormalHanging12a"/>
        <w:widowControl/>
        <w:rPr>
          <w:szCs w:val="24"/>
        </w:rPr>
      </w:pPr>
      <w:r w:rsidRPr="005E632F">
        <w:t>5.</w:t>
      </w:r>
      <w:r w:rsidRPr="005E632F">
        <w:tab/>
        <w:t xml:space="preserve">pitää valitettavana neuvoston haluttomuutta laajentaa sopimuksen soveltamisalaa vähintään neuvoston puheenjohtajana toimivan jäsenvaltion ministeritason edustajiin väittäen, ettei perussopimuksissa ole oikeusperustaa jäsenvaltioiden edustajiin </w:t>
      </w:r>
      <w:r w:rsidRPr="005E632F">
        <w:lastRenderedPageBreak/>
        <w:t>sovellettavien yhteisten vähimmäisvaatimusten hyväksymiselle; sitoutuu käyttämään sopimuksen ensimmäistä uudelleentarkastelua tämän oikeudellisen puutteen korjaamiseksi ja kehottaa tällä välin tulevia neuvoston puheenjohtajavaltioita soveltamaan sen määräyksiä vapaaehtoisesti; katsoo, että neuvoston jäseniä, kuten myös Euroopan parlamentin jäseniä, voisivat sitoa neuvoston itseorganisointia koskevan toimivaltansa nojalla vahvistamat säännöt, jotka olisivat ensisijaisia, jos ne ovat ristiriidassa kansallisten sääntöjen kanssa; korostaa tässä yhteydessä, että neuvostossa kokoontuvat jäsenvaltioiden edustajat toimivat neuvoston jäseninä hyväksyessään EU:n säädöksiä; sitoutuu pyrkimään saamaan oikeudellisen selvennyksen siihen, voiko neuvosto sitoa jäseniään yhteisillä vähimmäisvaatimuksilla;</w:t>
      </w:r>
    </w:p>
    <w:p w14:paraId="261A059D" w14:textId="77777777" w:rsidR="00180053" w:rsidRPr="005E632F" w:rsidRDefault="00180053" w:rsidP="00F251BD">
      <w:pPr>
        <w:pStyle w:val="NormalHanging12a"/>
        <w:widowControl/>
        <w:rPr>
          <w:szCs w:val="24"/>
        </w:rPr>
      </w:pPr>
      <w:r w:rsidRPr="005E632F">
        <w:t>6.</w:t>
      </w:r>
      <w:r w:rsidRPr="005E632F">
        <w:tab/>
        <w:t xml:space="preserve">katsoo, että käytettävissä olevien resurssien on mahdollistettava sekä itse </w:t>
      </w:r>
      <w:r w:rsidR="00EB5764" w:rsidRPr="005E632F">
        <w:t>eettisiä normeja käsittel</w:t>
      </w:r>
      <w:r w:rsidR="00EB5764">
        <w:t xml:space="preserve">evän toimielinten välisen </w:t>
      </w:r>
      <w:r w:rsidRPr="005E632F">
        <w:t>elimen</w:t>
      </w:r>
      <w:r w:rsidR="00EB5764">
        <w:t xml:space="preserve"> (jäljempänä ’elin’)</w:t>
      </w:r>
      <w:r w:rsidRPr="005E632F">
        <w:t>, jossa on yksi edustaja kustakin sopimuksen osapuolesta sekä viisi riippumatonta asiantuntijaa, jotka avustavat toimielinten edustajia ja osallistuvat elimeen tarkkailijoina, asianmukainen toiminta sekä kaikki sille annettava tarvittava tuki; pitää valitettavana, että sopimuksen 17 artiklan mukaan pyynnön esittänyt osapuoli vastaa kaikista riippumattomien asiantuntijoiden kuulemisesta aiheutuvista kustannuksista, koska tämä saattaa johtaa tällaisten kuulemisten määrän rajoittamiseen;</w:t>
      </w:r>
    </w:p>
    <w:p w14:paraId="4F56249C" w14:textId="77777777" w:rsidR="00180053" w:rsidRPr="005E632F" w:rsidRDefault="00180053" w:rsidP="00F251BD">
      <w:pPr>
        <w:pStyle w:val="NormalHanging12a"/>
        <w:widowControl/>
      </w:pPr>
      <w:r w:rsidRPr="005E632F">
        <w:t>7.</w:t>
      </w:r>
      <w:r w:rsidRPr="005E632F">
        <w:tab/>
        <w:t>katsoo, että riippumattomilla asiantuntijoilla, jotka nimitetään sopimuksen osapuolten yhteisellä sopimuksella, on oltava työkokemusta erityisesti etiikan, lahjomattomuuden ja avoimuuden alalta niiden sopimuksen 5 artiklan 2 kohdassa esitettyjen vaatimusten lisäksi, jotka koskevat moitteetonta ammattitaustaa sekä kokemusta ylemmän johdon tehtävistä eurooppalaisissa, kansallisissa tai kansainvälisissä organisaatioissa;</w:t>
      </w:r>
    </w:p>
    <w:p w14:paraId="36C766F0" w14:textId="77777777" w:rsidR="00180053" w:rsidRPr="005E632F" w:rsidRDefault="00180053" w:rsidP="00F251BD">
      <w:pPr>
        <w:pStyle w:val="NormalHanging12a"/>
        <w:widowControl/>
      </w:pPr>
      <w:r w:rsidRPr="005E632F">
        <w:t>8.</w:t>
      </w:r>
      <w:r w:rsidRPr="005E632F">
        <w:tab/>
        <w:t>korostaa riippumattomien asiantuntijoiden keskeistä roolia yksittäisten tapausten tutkimisessa sopimuksen osapuolen pyynnöstä; katsoo, että siitä, jos jokainen osapuoli lähettäisi pienen satunnaisotoksen tapauksista riippumattomille asiantuntijoille, olisi erittäin paljon hyötyä eettisten normien kehittämisen tai päivittämisen kannalta;</w:t>
      </w:r>
    </w:p>
    <w:p w14:paraId="1AC4DF1B" w14:textId="77777777" w:rsidR="00180053" w:rsidRPr="005E632F" w:rsidRDefault="00180053" w:rsidP="00F251BD">
      <w:pPr>
        <w:pStyle w:val="NormalHanging12a"/>
        <w:widowControl/>
        <w:rPr>
          <w:szCs w:val="24"/>
        </w:rPr>
      </w:pPr>
      <w:r w:rsidRPr="005E632F">
        <w:t>9.</w:t>
      </w:r>
      <w:r w:rsidRPr="005E632F">
        <w:tab/>
        <w:t>katsoo, että elimen olisi tukeuduttava toimielinten nykyisiin valtuuksiin pyytää jäseniltään tietoja tai kansallisten viranomaisten suostumukseen jakaa tietoja; katsoo, että riippumattomien asiantuntijoiden olisi voitava vaihtaa tietoja kansallisten viranomaisten kanssa, jos se on tarpeen heidän tehtäviensä suorittamiseksi, käsitellen näitä tietoja yhtä luottamuksellisina kuin lähettävä viranomainen; korostaa tässä yhteydessä, että riippumattomien asiantuntijoiden olisi voitava tutustua osallistuvien osapuolten hallinnollisiin asiakirjoihin, erityisesti kun kyseessä ovat osapuolet, jotka kuulevat heitä jossakin tietyssä asiassa, jotta he voivat tehdä perusteltuja ja hyvin dokumentoituja arviointeja;</w:t>
      </w:r>
    </w:p>
    <w:p w14:paraId="0DAFC117" w14:textId="77777777" w:rsidR="00180053" w:rsidRPr="005E632F" w:rsidRDefault="00180053" w:rsidP="00F251BD">
      <w:pPr>
        <w:pStyle w:val="NormalHanging12a"/>
        <w:widowControl/>
      </w:pPr>
      <w:r w:rsidRPr="005E632F">
        <w:t>10.</w:t>
      </w:r>
      <w:r w:rsidRPr="005E632F">
        <w:tab/>
        <w:t>panee merkille, että riippumattomien asiantuntijoiden on nimettävä joukostaan puheenjohtaja; katsoo, että riippumattomien asiantuntijoiden olisi voitava järjestää työnsä täysin itsenäisesti ja kutsua koolle omia kokouksiaan;</w:t>
      </w:r>
    </w:p>
    <w:p w14:paraId="2A8F3E43" w14:textId="77777777" w:rsidR="00180053" w:rsidRPr="005E632F" w:rsidRDefault="00180053" w:rsidP="00F251BD">
      <w:pPr>
        <w:pStyle w:val="NormalHanging12a"/>
        <w:widowControl/>
      </w:pPr>
      <w:r w:rsidRPr="005E632F">
        <w:t>11.</w:t>
      </w:r>
      <w:r w:rsidRPr="005E632F">
        <w:tab/>
        <w:t xml:space="preserve">katsoo, että asianomaisen toimielimen tai </w:t>
      </w:r>
      <w:r w:rsidR="00EB5764" w:rsidRPr="005E632F">
        <w:t xml:space="preserve">neuvoa-antavan </w:t>
      </w:r>
      <w:r w:rsidRPr="005E632F">
        <w:t>elimen olisi julkaistava riippumattomien asiantuntijoiden antama perusteltu suositus, rajoittamatta kuitenkaan yleisen tietosuoja</w:t>
      </w:r>
      <w:r w:rsidRPr="005E632F">
        <w:noBreakHyphen/>
        <w:t>asetuksen soveltamista ja henkilökohtaisia oikeuksia, yhdessä toimivaltaisen viranomaisen tekemän päätöksen kanssa ja että toimivaltaisen viranomaisen olisi esitettävä perustelut, jos sen päätöksessä ei ole noudatettu täysimääräisesti suosituksia;</w:t>
      </w:r>
    </w:p>
    <w:p w14:paraId="54545EF0" w14:textId="7EE2663B" w:rsidR="00180053" w:rsidRPr="005E632F" w:rsidRDefault="00180053" w:rsidP="00F251BD">
      <w:pPr>
        <w:pStyle w:val="NormalHanging12a"/>
        <w:widowControl/>
        <w:rPr>
          <w:szCs w:val="24"/>
        </w:rPr>
      </w:pPr>
      <w:r w:rsidRPr="005E632F">
        <w:lastRenderedPageBreak/>
        <w:t>12.</w:t>
      </w:r>
      <w:r w:rsidRPr="005E632F">
        <w:tab/>
        <w:t xml:space="preserve">kehottaa elintä näyttämään esimerkkiä avoimuudesta julkaisemalla kaikki suositukset, vuosikertomukset, päätökset ja tiedot menoista koneellisesti luettavassa ja avoimessa muodossa, joka on kaikkien kansalaisten saatavilla, sovellettavien tietosuojasääntöjen mukaisesti, mukaan lukien muun muassa riippumattomien asiantuntijoiden kirjallinen lausunto toimielinten itsearvioinneista </w:t>
      </w:r>
      <w:r w:rsidR="00EB5764">
        <w:t xml:space="preserve">sopimuksen </w:t>
      </w:r>
      <w:r w:rsidRPr="005E632F">
        <w:t xml:space="preserve">10 artiklan mukaisesti sekä vuosittain anonymisoitu koottu vuotuinen selvitys, jossa esitetään kootussa ja anonymisoidussa muodossa yhteenveto osapuolten kuulemisista ja kysymyksistä sekä niiden jatkotoimista </w:t>
      </w:r>
      <w:r w:rsidR="00EB5764">
        <w:t xml:space="preserve">sopimuksen </w:t>
      </w:r>
      <w:r w:rsidRPr="005E632F">
        <w:t>7 artiklan 4 kohdan mukaisesti; korostaa, että on tärkeää suojella asianmukaisesti asianomaisten henkilöiden yksityisyyttä ja noudattaa syyttömyysolettamaa; kehottaa sopimuksen osapuolia laatimaan yhteiset ohjeet riippumattomien asiantuntijoiden kuulemista ja heidän suositustensa julkaisemista varten;</w:t>
      </w:r>
    </w:p>
    <w:p w14:paraId="43CB0BC8" w14:textId="667E3802" w:rsidR="00180053" w:rsidRDefault="00180053" w:rsidP="00F251BD">
      <w:pPr>
        <w:pStyle w:val="NormalHanging12a"/>
        <w:widowControl/>
      </w:pPr>
      <w:r w:rsidRPr="005E632F">
        <w:t>13.</w:t>
      </w:r>
      <w:r w:rsidRPr="005E632F">
        <w:tab/>
        <w:t>katsoo, että jotta elin olisi täysin tehokas, siinä olisi yhdistettävä nykyisten eettisistä kysymyksistä vastaavien elinten tehtävät ja että siksi tapauksissa, jotka edellyttävät erityistä harkintaa tai eettisten normien kehittämistä tai päivittämistä, kunkin osallistuvan osapuolen olisi kuultava riippumattomia asiantuntijoita;</w:t>
      </w:r>
    </w:p>
    <w:p w14:paraId="1337A0BC" w14:textId="2D5F7AD7" w:rsidR="00E379FA" w:rsidRPr="00E379FA" w:rsidRDefault="00E379FA" w:rsidP="00F251BD">
      <w:pPr>
        <w:pStyle w:val="NormalHanging12a"/>
        <w:widowControl/>
      </w:pPr>
      <w:r w:rsidRPr="00E379FA">
        <w:t>14.</w:t>
      </w:r>
      <w:r w:rsidRPr="00E379FA">
        <w:tab/>
        <w:t>korostaa tarvetta määrittää, miten parlamenttia kyseisessä elimessä edustavan varapuhemiehen toimeksianto määritellään, ja ottaa käyttöön asianmukaiset vastuuvelvollisuusmekanismit;</w:t>
      </w:r>
    </w:p>
    <w:p w14:paraId="42F8533C" w14:textId="4B5876CD" w:rsidR="00E379FA" w:rsidRPr="00E379FA" w:rsidRDefault="00E379FA" w:rsidP="00F251BD">
      <w:pPr>
        <w:pStyle w:val="NormalHanging12a"/>
        <w:widowControl/>
      </w:pPr>
      <w:r w:rsidRPr="00E379FA">
        <w:t>15.</w:t>
      </w:r>
      <w:r w:rsidRPr="00E379FA">
        <w:tab/>
        <w:t>pitää tarpeellisena selventää, kuka on parlamentin varaedustaja tässä elimessä</w:t>
      </w:r>
    </w:p>
    <w:p w14:paraId="031DB5FF" w14:textId="5513C05E" w:rsidR="00E379FA" w:rsidRPr="00E379FA" w:rsidRDefault="00E379FA" w:rsidP="00E379FA">
      <w:pPr>
        <w:pStyle w:val="NormalHanging12a"/>
        <w:widowControl/>
      </w:pPr>
      <w:r w:rsidRPr="00E379FA">
        <w:t>16.</w:t>
      </w:r>
      <w:r w:rsidRPr="00E379FA">
        <w:tab/>
        <w:t>katsoo, että perussopimus-, työjärjestys- ja toimielinasioiden valiokunnan olisi osallistuttava parlamenttia kyseisessä elimessä edustavan varapuhemiehen toimeksiannon määrittelyyn sekä varapuhemiehen ja varaedustajan vastuuvelvollisuuden varmistamiseen; pitää erittäin tärkeänä, että Euroopan parlamentin jäsenillä on sananvaltaa heitä sitovien standardien kehittämisessä;</w:t>
      </w:r>
    </w:p>
    <w:p w14:paraId="5F8FD564" w14:textId="6DA14329" w:rsidR="00180053" w:rsidRPr="005E632F" w:rsidRDefault="00E379FA" w:rsidP="00F251BD">
      <w:pPr>
        <w:pStyle w:val="NormalHanging12a"/>
        <w:widowControl/>
      </w:pPr>
      <w:r>
        <w:t>17</w:t>
      </w:r>
      <w:r w:rsidR="00180053" w:rsidRPr="005E632F">
        <w:t>.</w:t>
      </w:r>
      <w:r w:rsidR="00180053" w:rsidRPr="005E632F">
        <w:tab/>
        <w:t>on edelleen sitoutunut osallistumaan rakentavasti sopimuksen uudelleentarkasteluun, joka on määrä suorittaa kolmen vuoden kuluttua sen voimaantulosta, jotta elintä voidaan parantaa ja tehostaa, kuten sopimuksen 21 artiklassa määrätään;</w:t>
      </w:r>
    </w:p>
    <w:p w14:paraId="2BFA4016" w14:textId="5E9A7354" w:rsidR="00180053" w:rsidRPr="005E632F" w:rsidRDefault="00E379FA" w:rsidP="00F251BD">
      <w:pPr>
        <w:pStyle w:val="NormalHanging12a"/>
        <w:widowControl/>
        <w:rPr>
          <w:szCs w:val="24"/>
        </w:rPr>
      </w:pPr>
      <w:r>
        <w:t>18</w:t>
      </w:r>
      <w:r w:rsidR="00180053" w:rsidRPr="005E632F">
        <w:t>.</w:t>
      </w:r>
      <w:r w:rsidR="00180053" w:rsidRPr="005E632F">
        <w:tab/>
        <w:t>palauttaa mieliin kantansa, jonka mukaan elimen olisi voitava tutkia omasta aloitteestaan EU:n toimielinten virkamiesten ja henkilöstön väitettyjä eettisten sääntöjen rikkomisia ja suorittaa paikan päällä ja asiakirjoihin perustuvia tutkimuksia käyttäen keräämiään tai kolmansilta osapuolilta saamiaan tietoja;</w:t>
      </w:r>
    </w:p>
    <w:p w14:paraId="3A794EE7" w14:textId="66474C08" w:rsidR="00180053" w:rsidRPr="005E632F" w:rsidRDefault="00E379FA" w:rsidP="00F251BD">
      <w:pPr>
        <w:pStyle w:val="NormalHanging12a"/>
        <w:widowControl/>
      </w:pPr>
      <w:r>
        <w:t>19</w:t>
      </w:r>
      <w:r w:rsidR="00180053" w:rsidRPr="005E632F">
        <w:t>.</w:t>
      </w:r>
      <w:r w:rsidR="00180053" w:rsidRPr="005E632F">
        <w:tab/>
        <w:t>hyväksyy liitteenä olevan sopimuksen tekemisen;</w:t>
      </w:r>
    </w:p>
    <w:p w14:paraId="5AD4D5A0" w14:textId="583CCC09" w:rsidR="00180053" w:rsidRPr="005E632F" w:rsidRDefault="00E379FA" w:rsidP="00F251BD">
      <w:pPr>
        <w:pStyle w:val="NormalHanging12a"/>
        <w:widowControl/>
      </w:pPr>
      <w:r>
        <w:t>20</w:t>
      </w:r>
      <w:r w:rsidR="00180053" w:rsidRPr="005E632F">
        <w:t>.</w:t>
      </w:r>
      <w:r w:rsidR="00180053" w:rsidRPr="005E632F">
        <w:tab/>
        <w:t xml:space="preserve">kehottaa puhemiestä allekirjoittamaan sopimuksen neuvoston puheenjohtajan, komission puheenjohtajan, Euroopan unionin tuomioistuimen presidentin, Euroopan keskuspankin pääjohtajan, tilintarkastustuomioistuimen presidentin, Euroopan talous- ja sosiaalikomitean puheenjohtajan ja alueiden komitean puheenjohtajan kanssa ja huolehtimaan sen julkaisemisesta </w:t>
      </w:r>
      <w:r w:rsidR="00180053" w:rsidRPr="005E632F">
        <w:rPr>
          <w:i/>
        </w:rPr>
        <w:t>Euroopan unionin virallisessa lehdessä</w:t>
      </w:r>
      <w:r w:rsidR="00180053" w:rsidRPr="005E632F">
        <w:t>;</w:t>
      </w:r>
    </w:p>
    <w:p w14:paraId="4B71C2B7" w14:textId="5715D2C7" w:rsidR="00180053" w:rsidRPr="005E632F" w:rsidRDefault="00E379FA" w:rsidP="006A784C">
      <w:pPr>
        <w:widowControl/>
        <w:ind w:left="567" w:hanging="567"/>
      </w:pPr>
      <w:r>
        <w:t>21</w:t>
      </w:r>
      <w:r w:rsidR="00180053" w:rsidRPr="005E632F">
        <w:t>.</w:t>
      </w:r>
      <w:r w:rsidR="00180053" w:rsidRPr="005E632F">
        <w:tab/>
        <w:t>kehottaa puhemiestä välittämään tämän päätöksen liitteineen tiedoksi kaikille sopimuksen osapuolille.</w:t>
      </w:r>
      <w:bookmarkStart w:id="8" w:name="_Toc72735704"/>
      <w:bookmarkStart w:id="9" w:name="_GoBack"/>
      <w:bookmarkEnd w:id="9"/>
    </w:p>
    <w:p w14:paraId="6647B5AD" w14:textId="77777777" w:rsidR="00180053" w:rsidRPr="005E632F" w:rsidRDefault="00180053" w:rsidP="00F251BD">
      <w:pPr>
        <w:widowControl/>
        <w:sectPr w:rsidR="00180053" w:rsidRPr="005E632F" w:rsidSect="005E632F">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4BAF2824" w14:textId="77777777" w:rsidR="00FB7AC3" w:rsidRPr="00FB7AC3" w:rsidRDefault="00180053" w:rsidP="00FB7AC3">
      <w:pPr>
        <w:pStyle w:val="PageHeading"/>
        <w:widowControl/>
        <w:jc w:val="right"/>
        <w:rPr>
          <w:rFonts w:ascii="Times New Roman" w:hAnsi="Times New Roman" w:cs="Times New Roman"/>
        </w:rPr>
      </w:pPr>
      <w:bookmarkStart w:id="10" w:name="_Toc164846698"/>
      <w:bookmarkEnd w:id="8"/>
      <w:r w:rsidRPr="00FB7AC3">
        <w:rPr>
          <w:rFonts w:ascii="Times New Roman" w:hAnsi="Times New Roman" w:cs="Times New Roman"/>
        </w:rPr>
        <w:lastRenderedPageBreak/>
        <w:t>LIITE</w:t>
      </w:r>
    </w:p>
    <w:p w14:paraId="6811ADD3" w14:textId="6C7EFB15" w:rsidR="00180053" w:rsidRDefault="00180053" w:rsidP="00F251BD">
      <w:pPr>
        <w:pStyle w:val="PageHeading"/>
        <w:widowControl/>
        <w:rPr>
          <w:rFonts w:ascii="Times New Roman" w:hAnsi="Times New Roman" w:cs="Times New Roman"/>
          <w:caps/>
        </w:rPr>
      </w:pPr>
      <w:r w:rsidRPr="00FB7AC3">
        <w:rPr>
          <w:rFonts w:ascii="Times New Roman" w:hAnsi="Times New Roman" w:cs="Times New Roman"/>
          <w:caps/>
        </w:rPr>
        <w:t>Euroopan parlamentin, Euroopan unionin neuvoston, Euroopan komission, Euroopan unionin tuomioistuimen, Euroopan keskuspankin, Euroopan tilintarkastustuomioistuimen, Euroopan talous- ja sosiaalikomitean ja Euroopan alueiden komitean välinen sopimus Euroopan unionista tehdyn sopimuksen 13 artiklassa tarkoitettujen toimielinten ja neuvoa-antavien elinten jäsenten eettisiä normeja käsittelevän toimielinten välisen elimen perustamisesta</w:t>
      </w:r>
      <w:bookmarkEnd w:id="10"/>
    </w:p>
    <w:p w14:paraId="5E7338CE" w14:textId="31D531CF" w:rsidR="00FB7AC3" w:rsidRPr="00FB7AC3" w:rsidRDefault="006A784C" w:rsidP="006A784C">
      <w:r w:rsidRPr="00AC0D0C">
        <w:rPr>
          <w:i/>
          <w:szCs w:val="24"/>
        </w:rPr>
        <w:t xml:space="preserve">(Liitettä ei esitetä tässä, koska se vastaa toimielinten välistä sopimusta sellaisena kuin se on julkaistuna virallisessa lehdessä </w:t>
      </w:r>
      <w:r>
        <w:rPr>
          <w:i/>
          <w:szCs w:val="24"/>
        </w:rPr>
        <w:t xml:space="preserve">EUVL </w:t>
      </w:r>
      <w:r w:rsidRPr="006A784C">
        <w:rPr>
          <w:i/>
          <w:szCs w:val="24"/>
        </w:rPr>
        <w:t xml:space="preserve">L, 2024/1365, 17.5.2024, ELI: </w:t>
      </w:r>
      <w:hyperlink r:id="rId11" w:history="1">
        <w:r w:rsidRPr="006A784C">
          <w:rPr>
            <w:rStyle w:val="Hyperlink"/>
            <w:i/>
            <w:szCs w:val="24"/>
          </w:rPr>
          <w:t>http://data.europa.eu/eli/agree_interinstit/2024/1365/oj</w:t>
        </w:r>
      </w:hyperlink>
      <w:r w:rsidRPr="00AC0D0C">
        <w:rPr>
          <w:i/>
          <w:szCs w:val="24"/>
        </w:rPr>
        <w:t>.)</w:t>
      </w:r>
    </w:p>
    <w:sectPr w:rsidR="00FB7AC3" w:rsidRPr="00FB7AC3" w:rsidSect="00572649">
      <w:headerReference w:type="even" r:id="rId12"/>
      <w:headerReference w:type="default" r:id="rId13"/>
      <w:footerReference w:type="even" r:id="rId14"/>
      <w:footerReference w:type="default" r:id="rId15"/>
      <w:headerReference w:type="first" r:id="rId16"/>
      <w:footerReference w:type="first" r:id="rId17"/>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EA8681" w14:textId="77777777" w:rsidR="002F09C8" w:rsidRPr="005E632F" w:rsidRDefault="002F09C8">
      <w:r w:rsidRPr="005E632F">
        <w:separator/>
      </w:r>
    </w:p>
  </w:endnote>
  <w:endnote w:type="continuationSeparator" w:id="0">
    <w:p w14:paraId="52A9EEFD" w14:textId="77777777" w:rsidR="002F09C8" w:rsidRPr="005E632F" w:rsidRDefault="002F09C8">
      <w:r w:rsidRPr="005E632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51579" w14:textId="77777777" w:rsidR="00180053" w:rsidRPr="005E632F" w:rsidRDefault="00180053" w:rsidP="00C45EAC">
    <w:pPr>
      <w:pStyle w:val="EPFooter"/>
    </w:pPr>
    <w:r w:rsidRPr="005E632F">
      <w:t>PE</w:t>
    </w:r>
    <w:r w:rsidRPr="005E632F">
      <w:rPr>
        <w:rStyle w:val="HideTWBExt"/>
      </w:rPr>
      <w:t>&lt;NoPE&gt;</w:t>
    </w:r>
    <w:r w:rsidRPr="005E632F">
      <w:t>759.998</w:t>
    </w:r>
    <w:r w:rsidRPr="005E632F">
      <w:rPr>
        <w:rStyle w:val="HideTWBExt"/>
      </w:rPr>
      <w:t>&lt;/NoPE&gt;&lt;Version&gt;</w:t>
    </w:r>
    <w:r w:rsidRPr="005E632F">
      <w:t>v02-00</w:t>
    </w:r>
    <w:r w:rsidRPr="005E632F">
      <w:rPr>
        <w:rStyle w:val="HideTWBExt"/>
      </w:rPr>
      <w:t>&lt;/Version&gt;</w:t>
    </w:r>
    <w:r w:rsidRPr="005E632F">
      <w:tab/>
    </w:r>
    <w:r w:rsidRPr="005E632F">
      <w:fldChar w:fldCharType="begin"/>
    </w:r>
    <w:r w:rsidRPr="005E632F">
      <w:instrText xml:space="preserve"> PAGE  \* MERGEFORMAT </w:instrText>
    </w:r>
    <w:r w:rsidRPr="005E632F">
      <w:fldChar w:fldCharType="separate"/>
    </w:r>
    <w:r w:rsidRPr="005E632F">
      <w:rPr>
        <w:noProof/>
      </w:rPr>
      <w:t>30</w:t>
    </w:r>
    <w:r w:rsidRPr="005E632F">
      <w:fldChar w:fldCharType="end"/>
    </w:r>
    <w:r w:rsidRPr="005E632F">
      <w:t>/</w:t>
    </w:r>
    <w:fldSimple w:instr=" NUMPAGES  \* MERGEFORMAT ">
      <w:r w:rsidRPr="005E632F">
        <w:rPr>
          <w:noProof/>
        </w:rPr>
        <w:t>30</w:t>
      </w:r>
    </w:fldSimple>
    <w:r w:rsidRPr="005E632F">
      <w:tab/>
    </w:r>
    <w:r w:rsidRPr="005E632F">
      <w:rPr>
        <w:rStyle w:val="HideTWBExt"/>
      </w:rPr>
      <w:t>&lt;PathFdR&gt;</w:t>
    </w:r>
    <w:r w:rsidRPr="005E632F">
      <w:t>RR\1301643FI.docx</w:t>
    </w:r>
    <w:r w:rsidRPr="005E632F">
      <w:rPr>
        <w:rStyle w:val="HideTWBExt"/>
      </w:rPr>
      <w:t>&lt;/PathFdR&gt;</w:t>
    </w:r>
  </w:p>
  <w:p w14:paraId="5975B047" w14:textId="77777777" w:rsidR="00180053" w:rsidRPr="005E632F" w:rsidRDefault="00180053" w:rsidP="00C45EAC">
    <w:pPr>
      <w:pStyle w:val="EPFooter2"/>
    </w:pPr>
    <w:r w:rsidRPr="005E632F">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9B07D" w14:textId="77777777" w:rsidR="00180053" w:rsidRPr="005E632F" w:rsidRDefault="00180053" w:rsidP="00C45EAC">
    <w:pPr>
      <w:pStyle w:val="EPFooter"/>
    </w:pPr>
    <w:r w:rsidRPr="005E632F">
      <w:rPr>
        <w:rStyle w:val="HideTWBExt"/>
      </w:rPr>
      <w:t>&lt;PathFdR&gt;</w:t>
    </w:r>
    <w:r w:rsidRPr="005E632F">
      <w:t>RR\1301643FI.docx</w:t>
    </w:r>
    <w:r w:rsidRPr="005E632F">
      <w:rPr>
        <w:rStyle w:val="HideTWBExt"/>
      </w:rPr>
      <w:t>&lt;/PathFdR&gt;</w:t>
    </w:r>
    <w:r w:rsidRPr="005E632F">
      <w:tab/>
    </w:r>
    <w:r w:rsidRPr="005E632F">
      <w:tab/>
      <w:t>PE</w:t>
    </w:r>
    <w:r w:rsidRPr="005E632F">
      <w:rPr>
        <w:rStyle w:val="HideTWBExt"/>
      </w:rPr>
      <w:t>&lt;NoPE&gt;</w:t>
    </w:r>
    <w:r w:rsidRPr="005E632F">
      <w:t>759.998</w:t>
    </w:r>
    <w:r w:rsidRPr="005E632F">
      <w:rPr>
        <w:rStyle w:val="HideTWBExt"/>
      </w:rPr>
      <w:t>&lt;/NoPE&gt;&lt;Version&gt;</w:t>
    </w:r>
    <w:r w:rsidRPr="005E632F">
      <w:t>v02-00</w:t>
    </w:r>
    <w:r w:rsidRPr="005E632F">
      <w:rPr>
        <w:rStyle w:val="HideTWBExt"/>
      </w:rPr>
      <w:t>&lt;/Version&gt;</w:t>
    </w:r>
  </w:p>
  <w:p w14:paraId="0BE48A33" w14:textId="77777777" w:rsidR="00180053" w:rsidRPr="005E632F" w:rsidRDefault="00180053" w:rsidP="00C45EAC">
    <w:pPr>
      <w:pStyle w:val="EPFooter2"/>
    </w:pPr>
    <w:r w:rsidRPr="005E632F">
      <w:t>FI</w:t>
    </w:r>
    <w:r w:rsidRPr="005E632F">
      <w:tab/>
    </w:r>
    <w:r w:rsidRPr="005E632F">
      <w:rPr>
        <w:b w:val="0"/>
        <w:i/>
        <w:color w:val="C0C0C0"/>
        <w:sz w:val="22"/>
      </w:rPr>
      <w:t>Moninaisuudessaan yhtenäinen</w:t>
    </w:r>
    <w:r w:rsidRPr="005E632F">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E6978" w14:textId="77777777" w:rsidR="00064002" w:rsidRPr="005E632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A57F12" w14:textId="77777777" w:rsidR="00064002" w:rsidRPr="00373508" w:rsidRDefault="00064002" w:rsidP="0037350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8BFC9A" w14:textId="77777777" w:rsidR="00064002" w:rsidRPr="005E632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D2DC6D" w14:textId="77777777" w:rsidR="002F09C8" w:rsidRPr="005E632F" w:rsidRDefault="002F09C8">
      <w:r w:rsidRPr="005E632F">
        <w:separator/>
      </w:r>
    </w:p>
  </w:footnote>
  <w:footnote w:type="continuationSeparator" w:id="0">
    <w:p w14:paraId="3632D53E" w14:textId="77777777" w:rsidR="002F09C8" w:rsidRPr="005E632F" w:rsidRDefault="002F09C8">
      <w:r w:rsidRPr="005E632F">
        <w:continuationSeparator/>
      </w:r>
    </w:p>
  </w:footnote>
  <w:footnote w:id="1">
    <w:p w14:paraId="256EEFFA" w14:textId="77777777" w:rsidR="00180053" w:rsidRPr="005E632F" w:rsidRDefault="00180053" w:rsidP="005E632F">
      <w:pPr>
        <w:pStyle w:val="FootnoteText"/>
        <w:ind w:left="567" w:hanging="567"/>
        <w:rPr>
          <w:sz w:val="24"/>
          <w:lang w:val="fi-FI"/>
        </w:rPr>
      </w:pPr>
      <w:r w:rsidRPr="005E632F">
        <w:rPr>
          <w:rStyle w:val="FootnoteReference"/>
          <w:sz w:val="24"/>
          <w:lang w:val="fi-FI"/>
        </w:rPr>
        <w:footnoteRef/>
      </w:r>
      <w:r w:rsidR="005E632F" w:rsidRPr="005E632F">
        <w:rPr>
          <w:sz w:val="24"/>
          <w:lang w:val="fi-FI"/>
        </w:rPr>
        <w:t xml:space="preserve"> </w:t>
      </w:r>
      <w:r w:rsidR="005E632F" w:rsidRPr="005E632F">
        <w:rPr>
          <w:sz w:val="24"/>
          <w:lang w:val="fi-FI"/>
        </w:rPr>
        <w:tab/>
      </w:r>
      <w:r w:rsidRPr="005E632F">
        <w:rPr>
          <w:sz w:val="24"/>
          <w:lang w:val="fi-FI"/>
        </w:rPr>
        <w:t>EUVL C 117, 11.3.2022, s. 159.</w:t>
      </w:r>
    </w:p>
  </w:footnote>
  <w:footnote w:id="2">
    <w:p w14:paraId="2BF90637" w14:textId="77777777" w:rsidR="00180053" w:rsidRPr="005E632F" w:rsidRDefault="00180053" w:rsidP="005E632F">
      <w:pPr>
        <w:pStyle w:val="FootnoteText"/>
        <w:ind w:left="567" w:hanging="567"/>
        <w:rPr>
          <w:sz w:val="24"/>
          <w:lang w:val="fi-FI"/>
        </w:rPr>
      </w:pPr>
      <w:r w:rsidRPr="005E632F">
        <w:rPr>
          <w:rStyle w:val="FootnoteReference"/>
          <w:sz w:val="24"/>
          <w:lang w:val="fi-FI"/>
        </w:rPr>
        <w:footnoteRef/>
      </w:r>
      <w:r w:rsidR="005E632F" w:rsidRPr="005E632F">
        <w:rPr>
          <w:sz w:val="24"/>
          <w:lang w:val="fi-FI"/>
        </w:rPr>
        <w:t xml:space="preserve"> </w:t>
      </w:r>
      <w:r w:rsidR="005E632F" w:rsidRPr="005E632F">
        <w:rPr>
          <w:sz w:val="24"/>
          <w:lang w:val="fi-FI"/>
        </w:rPr>
        <w:tab/>
      </w:r>
      <w:r w:rsidRPr="005E632F">
        <w:rPr>
          <w:sz w:val="24"/>
          <w:lang w:val="fi-FI"/>
        </w:rPr>
        <w:t>EUVL C 177, 17.5.2023, s. 109.</w:t>
      </w:r>
    </w:p>
  </w:footnote>
  <w:footnote w:id="3">
    <w:p w14:paraId="0B702EE5" w14:textId="77777777" w:rsidR="00180053" w:rsidRPr="005E632F" w:rsidRDefault="00180053" w:rsidP="005E632F">
      <w:pPr>
        <w:pStyle w:val="FootnoteText"/>
        <w:ind w:left="567" w:hanging="567"/>
        <w:rPr>
          <w:sz w:val="24"/>
          <w:lang w:val="fi-FI"/>
        </w:rPr>
      </w:pPr>
      <w:r w:rsidRPr="005E632F">
        <w:rPr>
          <w:rStyle w:val="FootnoteReference"/>
          <w:sz w:val="24"/>
          <w:lang w:val="fi-FI"/>
        </w:rPr>
        <w:footnoteRef/>
      </w:r>
      <w:r w:rsidR="005E632F" w:rsidRPr="005E632F">
        <w:rPr>
          <w:snapToGrid w:val="0"/>
          <w:sz w:val="24"/>
          <w:shd w:val="clear" w:color="auto" w:fill="FFFFFF"/>
          <w:lang w:val="fi-FI"/>
        </w:rPr>
        <w:t xml:space="preserve"> </w:t>
      </w:r>
      <w:r w:rsidR="005E632F" w:rsidRPr="005E632F">
        <w:rPr>
          <w:snapToGrid w:val="0"/>
          <w:sz w:val="24"/>
          <w:shd w:val="clear" w:color="auto" w:fill="FFFFFF"/>
          <w:lang w:val="fi-FI"/>
        </w:rPr>
        <w:tab/>
      </w:r>
      <w:r w:rsidRPr="005E632F">
        <w:rPr>
          <w:snapToGrid w:val="0"/>
          <w:sz w:val="24"/>
          <w:shd w:val="clear" w:color="auto" w:fill="FFFFFF"/>
          <w:lang w:val="fi-FI"/>
        </w:rPr>
        <w:t>EUVL C 283, 11.8.2023, s. 31.</w:t>
      </w:r>
    </w:p>
  </w:footnote>
  <w:footnote w:id="4">
    <w:p w14:paraId="69C3C288" w14:textId="77777777" w:rsidR="00180053" w:rsidRPr="005E632F" w:rsidRDefault="00180053" w:rsidP="005E632F">
      <w:pPr>
        <w:pStyle w:val="FootnoteText"/>
        <w:ind w:left="567" w:hanging="567"/>
        <w:rPr>
          <w:sz w:val="24"/>
          <w:lang w:val="fi-FI"/>
        </w:rPr>
      </w:pPr>
      <w:r w:rsidRPr="005E632F">
        <w:rPr>
          <w:rStyle w:val="FootnoteReference"/>
          <w:sz w:val="24"/>
          <w:lang w:val="fi-FI"/>
        </w:rPr>
        <w:footnoteRef/>
      </w:r>
      <w:r w:rsidR="005E632F" w:rsidRPr="005E632F">
        <w:rPr>
          <w:sz w:val="24"/>
          <w:lang w:val="fi-FI"/>
        </w:rPr>
        <w:t xml:space="preserve"> </w:t>
      </w:r>
      <w:r w:rsidR="005E632F" w:rsidRPr="005E632F">
        <w:rPr>
          <w:sz w:val="24"/>
          <w:lang w:val="fi-FI"/>
        </w:rPr>
        <w:tab/>
      </w:r>
      <w:r w:rsidRPr="005E632F">
        <w:rPr>
          <w:sz w:val="24"/>
          <w:lang w:val="fi-FI"/>
        </w:rPr>
        <w:t>EUVL C 283, 11.8.2023, s. 27.</w:t>
      </w:r>
    </w:p>
  </w:footnote>
  <w:footnote w:id="5">
    <w:p w14:paraId="160AD637" w14:textId="77777777" w:rsidR="00180053" w:rsidRPr="005E632F" w:rsidRDefault="00180053" w:rsidP="005E632F">
      <w:pPr>
        <w:pStyle w:val="FootnoteText"/>
        <w:ind w:left="567" w:hanging="567"/>
        <w:rPr>
          <w:sz w:val="24"/>
          <w:lang w:val="fi-FI"/>
        </w:rPr>
      </w:pPr>
      <w:r w:rsidRPr="005E632F">
        <w:rPr>
          <w:rStyle w:val="FootnoteReference"/>
          <w:sz w:val="24"/>
          <w:lang w:val="fi-FI"/>
        </w:rPr>
        <w:footnoteRef/>
      </w:r>
      <w:r w:rsidR="005E632F" w:rsidRPr="005E632F">
        <w:rPr>
          <w:snapToGrid w:val="0"/>
          <w:sz w:val="24"/>
          <w:lang w:val="fi-FI"/>
        </w:rPr>
        <w:t xml:space="preserve"> </w:t>
      </w:r>
      <w:r w:rsidR="005E632F" w:rsidRPr="005E632F">
        <w:rPr>
          <w:snapToGrid w:val="0"/>
          <w:sz w:val="24"/>
          <w:lang w:val="fi-FI"/>
        </w:rPr>
        <w:tab/>
      </w:r>
      <w:r w:rsidRPr="005E632F">
        <w:rPr>
          <w:snapToGrid w:val="0"/>
          <w:sz w:val="24"/>
          <w:lang w:val="fi-FI"/>
        </w:rPr>
        <w:t>Hyväksytyt tekstit, P9_TA(2023)0281.</w:t>
      </w:r>
    </w:p>
  </w:footnote>
  <w:footnote w:id="6">
    <w:p w14:paraId="38C8CAA8" w14:textId="77777777" w:rsidR="00180053" w:rsidRPr="005E632F" w:rsidRDefault="00180053" w:rsidP="005E632F">
      <w:pPr>
        <w:pStyle w:val="FootnoteText"/>
        <w:ind w:left="567" w:hanging="567"/>
        <w:rPr>
          <w:sz w:val="24"/>
          <w:lang w:val="fi-FI"/>
        </w:rPr>
      </w:pPr>
      <w:r w:rsidRPr="005E632F">
        <w:rPr>
          <w:rStyle w:val="FootnoteReference"/>
          <w:sz w:val="24"/>
          <w:lang w:val="fi-FI"/>
        </w:rPr>
        <w:footnoteRef/>
      </w:r>
      <w:r w:rsidR="005E632F" w:rsidRPr="005E632F">
        <w:rPr>
          <w:sz w:val="24"/>
          <w:lang w:val="fi-FI"/>
        </w:rPr>
        <w:t xml:space="preserve"> </w:t>
      </w:r>
      <w:r w:rsidR="005E632F" w:rsidRPr="005E632F">
        <w:rPr>
          <w:sz w:val="24"/>
          <w:lang w:val="fi-FI"/>
        </w:rPr>
        <w:tab/>
      </w:r>
      <w:r w:rsidRPr="005E632F">
        <w:rPr>
          <w:sz w:val="24"/>
          <w:lang w:val="fi-FI"/>
        </w:rPr>
        <w:t>Hyväksytyt tekstit, P9_TA(2023)0292.</w:t>
      </w:r>
    </w:p>
  </w:footnote>
  <w:footnote w:id="7">
    <w:p w14:paraId="0A135E3C" w14:textId="77777777" w:rsidR="00F251BD" w:rsidRPr="00373508" w:rsidRDefault="00F251BD" w:rsidP="00373508">
      <w:pPr>
        <w:pStyle w:val="FootnoteText"/>
        <w:ind w:left="567" w:hanging="567"/>
        <w:rPr>
          <w:lang w:val="fi-FI"/>
        </w:rPr>
      </w:pPr>
      <w:r>
        <w:rPr>
          <w:rStyle w:val="FootnoteReference"/>
        </w:rPr>
        <w:footnoteRef/>
      </w:r>
      <w:r w:rsidRPr="00373508">
        <w:rPr>
          <w:lang w:val="fi-FI"/>
        </w:rPr>
        <w:t xml:space="preserve"> </w:t>
      </w:r>
      <w:r w:rsidRPr="00373508">
        <w:rPr>
          <w:lang w:val="fi-FI"/>
        </w:rPr>
        <w:tab/>
      </w:r>
      <w:r w:rsidRPr="00373508">
        <w:rPr>
          <w:sz w:val="24"/>
          <w:lang w:val="fi-FI"/>
        </w:rPr>
        <w:t>EUVL C 117, 11.3.2022, s. 159.</w:t>
      </w:r>
    </w:p>
  </w:footnote>
  <w:footnote w:id="8">
    <w:p w14:paraId="2412D70D" w14:textId="77777777" w:rsidR="008F0A08" w:rsidRPr="00373508" w:rsidRDefault="008F0A08" w:rsidP="008F0A08">
      <w:pPr>
        <w:pStyle w:val="FootnoteText"/>
        <w:ind w:left="567" w:hanging="567"/>
        <w:rPr>
          <w:lang w:val="fi-FI"/>
        </w:rPr>
      </w:pPr>
      <w:r>
        <w:rPr>
          <w:rStyle w:val="FootnoteReference"/>
        </w:rPr>
        <w:footnoteRef/>
      </w:r>
      <w:r w:rsidRPr="00373508">
        <w:rPr>
          <w:lang w:val="fi-FI"/>
        </w:rPr>
        <w:t xml:space="preserve"> </w:t>
      </w:r>
      <w:r w:rsidRPr="00373508">
        <w:rPr>
          <w:lang w:val="fi-FI"/>
        </w:rPr>
        <w:tab/>
      </w:r>
      <w:r w:rsidRPr="00373508">
        <w:rPr>
          <w:iCs/>
          <w:snapToGrid w:val="0"/>
          <w:sz w:val="24"/>
          <w:shd w:val="clear" w:color="auto" w:fill="FFFFFF"/>
          <w:lang w:val="fi-FI"/>
        </w:rPr>
        <w:t>EUVL C 283, 11.8.2023, s. 31.</w:t>
      </w:r>
    </w:p>
  </w:footnote>
  <w:footnote w:id="9">
    <w:p w14:paraId="01D0CA7E" w14:textId="77777777" w:rsidR="008F0A08" w:rsidRPr="00373508" w:rsidRDefault="008F0A08" w:rsidP="00373508">
      <w:pPr>
        <w:pStyle w:val="FootnoteText"/>
        <w:ind w:left="567" w:hanging="567"/>
        <w:rPr>
          <w:lang w:val="fi-FI"/>
        </w:rPr>
      </w:pPr>
      <w:r>
        <w:rPr>
          <w:rStyle w:val="FootnoteReference"/>
        </w:rPr>
        <w:footnoteRef/>
      </w:r>
      <w:r w:rsidRPr="00373508">
        <w:rPr>
          <w:lang w:val="fi-FI"/>
        </w:rPr>
        <w:t xml:space="preserve"> </w:t>
      </w:r>
      <w:r w:rsidRPr="00373508">
        <w:rPr>
          <w:lang w:val="fi-FI"/>
        </w:rPr>
        <w:tab/>
      </w:r>
      <w:r w:rsidRPr="00373508">
        <w:rPr>
          <w:snapToGrid w:val="0"/>
          <w:sz w:val="24"/>
          <w:lang w:val="fi-FI"/>
        </w:rPr>
        <w:t>Hyväksytyt tekstit, P9</w:t>
      </w:r>
      <w:r w:rsidRPr="00373508">
        <w:rPr>
          <w:sz w:val="24"/>
          <w:lang w:val="fi-FI"/>
        </w:rPr>
        <w:t>_</w:t>
      </w:r>
      <w:r w:rsidRPr="00373508">
        <w:rPr>
          <w:snapToGrid w:val="0"/>
          <w:sz w:val="24"/>
          <w:lang w:val="fi-FI"/>
        </w:rPr>
        <w:t>TA(2023)0281.</w:t>
      </w:r>
    </w:p>
  </w:footnote>
  <w:footnote w:id="10">
    <w:p w14:paraId="41F5032A" w14:textId="77777777" w:rsidR="00180053" w:rsidRPr="005E632F" w:rsidRDefault="00180053" w:rsidP="005E632F">
      <w:pPr>
        <w:pStyle w:val="FootnoteText"/>
        <w:ind w:left="567" w:hanging="567"/>
        <w:rPr>
          <w:sz w:val="24"/>
          <w:lang w:val="fi-FI"/>
        </w:rPr>
      </w:pPr>
      <w:r w:rsidRPr="005E632F">
        <w:rPr>
          <w:rStyle w:val="FootnoteReference"/>
          <w:sz w:val="24"/>
          <w:lang w:val="fi-FI"/>
        </w:rPr>
        <w:footnoteRef/>
      </w:r>
      <w:r w:rsidR="005E632F" w:rsidRPr="005E632F">
        <w:rPr>
          <w:snapToGrid w:val="0"/>
          <w:sz w:val="24"/>
          <w:shd w:val="clear" w:color="auto" w:fill="FFFFFF"/>
          <w:lang w:val="fi-FI"/>
        </w:rPr>
        <w:t xml:space="preserve"> </w:t>
      </w:r>
      <w:r w:rsidR="005E632F" w:rsidRPr="005E632F">
        <w:rPr>
          <w:snapToGrid w:val="0"/>
          <w:sz w:val="24"/>
          <w:shd w:val="clear" w:color="auto" w:fill="FFFFFF"/>
          <w:lang w:val="fi-FI"/>
        </w:rPr>
        <w:tab/>
      </w:r>
      <w:r w:rsidRPr="005E632F">
        <w:rPr>
          <w:snapToGrid w:val="0"/>
          <w:sz w:val="24"/>
          <w:shd w:val="clear" w:color="auto" w:fill="FFFFFF"/>
          <w:lang w:val="fi-FI"/>
        </w:rPr>
        <w:t xml:space="preserve">EUVL C 283, 11.8.2023, s. </w:t>
      </w:r>
      <w:r w:rsidR="008F0A08">
        <w:rPr>
          <w:snapToGrid w:val="0"/>
          <w:sz w:val="24"/>
          <w:shd w:val="clear" w:color="auto" w:fill="FFFFFF"/>
          <w:lang w:val="fi-FI"/>
        </w:rPr>
        <w:t xml:space="preserve">27 ja s. </w:t>
      </w:r>
      <w:r w:rsidRPr="005E632F">
        <w:rPr>
          <w:snapToGrid w:val="0"/>
          <w:sz w:val="24"/>
          <w:shd w:val="clear" w:color="auto" w:fill="FFFFFF"/>
          <w:lang w:val="fi-FI"/>
        </w:rPr>
        <w:t>31.</w:t>
      </w:r>
    </w:p>
  </w:footnote>
  <w:footnote w:id="11">
    <w:p w14:paraId="3030C9BE" w14:textId="77777777" w:rsidR="008F0A08" w:rsidRPr="005E632F" w:rsidRDefault="008F0A08" w:rsidP="008F0A08">
      <w:pPr>
        <w:pStyle w:val="FootnoteText"/>
        <w:ind w:left="567" w:hanging="567"/>
        <w:rPr>
          <w:sz w:val="24"/>
          <w:lang w:val="fi-FI"/>
        </w:rPr>
      </w:pPr>
      <w:r w:rsidRPr="005E632F">
        <w:rPr>
          <w:rStyle w:val="FootnoteReference"/>
          <w:sz w:val="24"/>
          <w:lang w:val="fi-FI"/>
        </w:rPr>
        <w:footnoteRef/>
      </w:r>
      <w:r w:rsidRPr="005E632F">
        <w:rPr>
          <w:snapToGrid w:val="0"/>
          <w:sz w:val="24"/>
          <w:lang w:val="fi-FI"/>
        </w:rPr>
        <w:t xml:space="preserve"> </w:t>
      </w:r>
      <w:r w:rsidRPr="005E632F">
        <w:rPr>
          <w:snapToGrid w:val="0"/>
          <w:sz w:val="24"/>
          <w:lang w:val="fi-FI"/>
        </w:rPr>
        <w:tab/>
        <w:t>Hyväksytyt tekstit, P9_TA(2023)0281.</w:t>
      </w:r>
    </w:p>
  </w:footnote>
  <w:footnote w:id="12">
    <w:p w14:paraId="6D2689EC" w14:textId="77777777" w:rsidR="00180053" w:rsidRPr="005E632F" w:rsidRDefault="00180053" w:rsidP="005E632F">
      <w:pPr>
        <w:pStyle w:val="FootnoteText"/>
        <w:ind w:left="567" w:hanging="567"/>
        <w:rPr>
          <w:sz w:val="24"/>
          <w:lang w:val="fi-FI"/>
        </w:rPr>
      </w:pPr>
      <w:r w:rsidRPr="005E632F">
        <w:rPr>
          <w:rStyle w:val="FootnoteReference"/>
          <w:sz w:val="24"/>
          <w:lang w:val="fi-FI"/>
        </w:rPr>
        <w:footnoteRef/>
      </w:r>
      <w:r w:rsidR="005E632F" w:rsidRPr="005E632F">
        <w:rPr>
          <w:sz w:val="24"/>
          <w:lang w:val="fi-FI"/>
        </w:rPr>
        <w:t xml:space="preserve"> </w:t>
      </w:r>
      <w:r w:rsidR="005E632F" w:rsidRPr="005E632F">
        <w:rPr>
          <w:sz w:val="24"/>
          <w:lang w:val="fi-FI"/>
        </w:rPr>
        <w:tab/>
      </w:r>
      <w:r w:rsidRPr="005E632F">
        <w:rPr>
          <w:sz w:val="24"/>
          <w:lang w:val="fi-FI"/>
        </w:rPr>
        <w:t>EUVL C 117, 11.3.2022, s. 159.</w:t>
      </w:r>
    </w:p>
  </w:footnote>
  <w:footnote w:id="13">
    <w:p w14:paraId="7A860184" w14:textId="77777777" w:rsidR="00180053" w:rsidRPr="005E632F" w:rsidRDefault="00180053" w:rsidP="005E632F">
      <w:pPr>
        <w:pStyle w:val="FootnoteText"/>
        <w:ind w:left="567" w:hanging="567"/>
        <w:rPr>
          <w:sz w:val="24"/>
          <w:lang w:val="fi-FI"/>
        </w:rPr>
      </w:pPr>
      <w:r w:rsidRPr="005E632F">
        <w:rPr>
          <w:rStyle w:val="FootnoteReference"/>
          <w:sz w:val="24"/>
          <w:lang w:val="fi-FI"/>
        </w:rPr>
        <w:footnoteRef/>
      </w:r>
      <w:r w:rsidR="005E632F" w:rsidRPr="005E632F">
        <w:rPr>
          <w:snapToGrid w:val="0"/>
          <w:sz w:val="24"/>
          <w:shd w:val="clear" w:color="auto" w:fill="FFFFFF"/>
          <w:lang w:val="fi-FI"/>
        </w:rPr>
        <w:t xml:space="preserve"> </w:t>
      </w:r>
      <w:r w:rsidR="005E632F" w:rsidRPr="005E632F">
        <w:rPr>
          <w:snapToGrid w:val="0"/>
          <w:sz w:val="24"/>
          <w:shd w:val="clear" w:color="auto" w:fill="FFFFFF"/>
          <w:lang w:val="fi-FI"/>
        </w:rPr>
        <w:tab/>
      </w:r>
      <w:r w:rsidRPr="005E632F">
        <w:rPr>
          <w:snapToGrid w:val="0"/>
          <w:sz w:val="24"/>
          <w:shd w:val="clear" w:color="auto" w:fill="FFFFFF"/>
          <w:lang w:val="fi-FI"/>
        </w:rPr>
        <w:t>EUVL C 283, 11.8.2023, s. 31</w:t>
      </w:r>
      <w:r w:rsidRPr="005E632F">
        <w:rPr>
          <w:sz w:val="24"/>
          <w:lang w:val="fi-FI"/>
        </w:rPr>
        <w:t>.</w:t>
      </w:r>
    </w:p>
  </w:footnote>
  <w:footnote w:id="14">
    <w:p w14:paraId="01F51C9E" w14:textId="77777777" w:rsidR="00180053" w:rsidRPr="005E632F" w:rsidRDefault="00180053" w:rsidP="005E632F">
      <w:pPr>
        <w:pStyle w:val="FootnoteText"/>
        <w:ind w:left="567" w:hanging="567"/>
        <w:rPr>
          <w:sz w:val="24"/>
          <w:lang w:val="fi-FI"/>
        </w:rPr>
      </w:pPr>
      <w:r w:rsidRPr="005E632F">
        <w:rPr>
          <w:rStyle w:val="FootnoteReference"/>
          <w:sz w:val="24"/>
          <w:lang w:val="fi-FI"/>
        </w:rPr>
        <w:footnoteRef/>
      </w:r>
      <w:r w:rsidR="005E632F" w:rsidRPr="005E632F">
        <w:rPr>
          <w:sz w:val="24"/>
          <w:lang w:val="fi-FI"/>
        </w:rPr>
        <w:t xml:space="preserve"> </w:t>
      </w:r>
      <w:r w:rsidR="005E632F" w:rsidRPr="005E632F">
        <w:rPr>
          <w:sz w:val="24"/>
          <w:lang w:val="fi-FI"/>
        </w:rPr>
        <w:tab/>
      </w:r>
      <w:r w:rsidRPr="005E632F">
        <w:rPr>
          <w:sz w:val="24"/>
          <w:lang w:val="fi-FI"/>
        </w:rPr>
        <w:t>Hyväksytyt tekstit, P9_TA(2023)0281.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8B8E7" w14:textId="77777777" w:rsidR="00064002" w:rsidRPr="005E632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95E74" w14:textId="77777777" w:rsidR="00064002" w:rsidRPr="005E632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024CE" w14:textId="77777777" w:rsidR="00064002" w:rsidRPr="005E632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C5436D"/>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F9E4E93"/>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131D695C"/>
    <w:multiLevelType w:val="hybridMultilevel"/>
    <w:tmpl w:val="DA14D94A"/>
    <w:lvl w:ilvl="0" w:tplc="069615AC">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15:restartNumberingAfterBreak="0">
    <w:nsid w:val="14E26705"/>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D784E97"/>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F537990"/>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28422C15"/>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29350A4E"/>
    <w:multiLevelType w:val="hybridMultilevel"/>
    <w:tmpl w:val="C8DC24DC"/>
    <w:lvl w:ilvl="0" w:tplc="8258F812">
      <w:start w:val="1"/>
      <w:numFmt w:val="decimal"/>
      <w:lvlText w:val="%1."/>
      <w:lvlJc w:val="left"/>
      <w:pPr>
        <w:ind w:left="720" w:hanging="360"/>
      </w:pPr>
      <w:rPr>
        <w:i w:val="0"/>
        <w:i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2BE52560"/>
    <w:multiLevelType w:val="hybridMultilevel"/>
    <w:tmpl w:val="8C7C0760"/>
    <w:lvl w:ilvl="0" w:tplc="FFFFFFFF">
      <w:start w:val="1"/>
      <w:numFmt w:val="lowerLetter"/>
      <w:lvlText w:val="(%1)"/>
      <w:lvlJc w:val="left"/>
      <w:pPr>
        <w:ind w:left="1309" w:hanging="360"/>
      </w:pPr>
      <w:rPr>
        <w:rFonts w:ascii="Times New Roman" w:hAnsi="Times New Roman" w:cs="Times New Roman" w:hint="default"/>
        <w:sz w:val="24"/>
        <w:szCs w:val="24"/>
      </w:rPr>
    </w:lvl>
    <w:lvl w:ilvl="1" w:tplc="FFFFFFFF">
      <w:start w:val="1"/>
      <w:numFmt w:val="lowerLetter"/>
      <w:lvlText w:val="%2."/>
      <w:lvlJc w:val="left"/>
      <w:pPr>
        <w:ind w:left="2029" w:hanging="360"/>
      </w:pPr>
    </w:lvl>
    <w:lvl w:ilvl="2" w:tplc="FFFFFFFF">
      <w:start w:val="1"/>
      <w:numFmt w:val="lowerRoman"/>
      <w:lvlText w:val="%3."/>
      <w:lvlJc w:val="right"/>
      <w:pPr>
        <w:ind w:left="2749" w:hanging="180"/>
      </w:pPr>
    </w:lvl>
    <w:lvl w:ilvl="3" w:tplc="FFFFFFFF">
      <w:start w:val="1"/>
      <w:numFmt w:val="decimal"/>
      <w:lvlText w:val="%4."/>
      <w:lvlJc w:val="left"/>
      <w:pPr>
        <w:ind w:left="3469" w:hanging="360"/>
      </w:pPr>
    </w:lvl>
    <w:lvl w:ilvl="4" w:tplc="FFFFFFFF">
      <w:start w:val="1"/>
      <w:numFmt w:val="lowerLetter"/>
      <w:lvlText w:val="%5."/>
      <w:lvlJc w:val="left"/>
      <w:pPr>
        <w:ind w:left="4189" w:hanging="360"/>
      </w:pPr>
    </w:lvl>
    <w:lvl w:ilvl="5" w:tplc="FFFFFFFF">
      <w:start w:val="1"/>
      <w:numFmt w:val="lowerRoman"/>
      <w:lvlText w:val="%6."/>
      <w:lvlJc w:val="right"/>
      <w:pPr>
        <w:ind w:left="4909" w:hanging="180"/>
      </w:pPr>
    </w:lvl>
    <w:lvl w:ilvl="6" w:tplc="FFFFFFFF">
      <w:start w:val="1"/>
      <w:numFmt w:val="decimal"/>
      <w:lvlText w:val="%7."/>
      <w:lvlJc w:val="left"/>
      <w:pPr>
        <w:ind w:left="5629" w:hanging="360"/>
      </w:pPr>
    </w:lvl>
    <w:lvl w:ilvl="7" w:tplc="FFFFFFFF">
      <w:start w:val="1"/>
      <w:numFmt w:val="lowerLetter"/>
      <w:lvlText w:val="%8."/>
      <w:lvlJc w:val="left"/>
      <w:pPr>
        <w:ind w:left="6349" w:hanging="360"/>
      </w:pPr>
    </w:lvl>
    <w:lvl w:ilvl="8" w:tplc="FFFFFFFF">
      <w:start w:val="1"/>
      <w:numFmt w:val="lowerRoman"/>
      <w:lvlText w:val="%9."/>
      <w:lvlJc w:val="right"/>
      <w:pPr>
        <w:ind w:left="7069" w:hanging="180"/>
      </w:pPr>
    </w:lvl>
  </w:abstractNum>
  <w:abstractNum w:abstractNumId="10" w15:restartNumberingAfterBreak="0">
    <w:nsid w:val="2C8D6A5E"/>
    <w:multiLevelType w:val="hybridMultilevel"/>
    <w:tmpl w:val="4FC80F2A"/>
    <w:lvl w:ilvl="0" w:tplc="034A8F34">
      <w:start w:val="5"/>
      <w:numFmt w:val="decimal"/>
      <w:lvlText w:val="%1."/>
      <w:lvlJc w:val="left"/>
      <w:pPr>
        <w:ind w:left="360" w:hanging="360"/>
      </w:pPr>
      <w:rPr>
        <w:rFonts w:ascii="Times New Roman" w:hAnsi="Times New Roman" w:cs="Times New Roman" w:hint="default"/>
        <w:sz w:val="24"/>
        <w:szCs w:val="24"/>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start w:val="1"/>
      <w:numFmt w:val="lowerRoman"/>
      <w:lvlText w:val="%6."/>
      <w:lvlJc w:val="right"/>
      <w:pPr>
        <w:ind w:left="3960" w:hanging="180"/>
      </w:pPr>
    </w:lvl>
    <w:lvl w:ilvl="6" w:tplc="FFFFFFFF">
      <w:start w:val="1"/>
      <w:numFmt w:val="decimal"/>
      <w:lvlText w:val="%7."/>
      <w:lvlJc w:val="left"/>
      <w:pPr>
        <w:ind w:left="4680" w:hanging="360"/>
      </w:pPr>
    </w:lvl>
    <w:lvl w:ilvl="7" w:tplc="FFFFFFFF">
      <w:start w:val="1"/>
      <w:numFmt w:val="lowerLetter"/>
      <w:lvlText w:val="%8."/>
      <w:lvlJc w:val="left"/>
      <w:pPr>
        <w:ind w:left="5400" w:hanging="360"/>
      </w:pPr>
    </w:lvl>
    <w:lvl w:ilvl="8" w:tplc="FFFFFFFF">
      <w:start w:val="1"/>
      <w:numFmt w:val="lowerRoman"/>
      <w:lvlText w:val="%9."/>
      <w:lvlJc w:val="right"/>
      <w:pPr>
        <w:ind w:left="6120" w:hanging="180"/>
      </w:pPr>
    </w:lvl>
  </w:abstractNum>
  <w:abstractNum w:abstractNumId="11" w15:restartNumberingAfterBreak="0">
    <w:nsid w:val="2CF14796"/>
    <w:multiLevelType w:val="hybridMultilevel"/>
    <w:tmpl w:val="9BC44506"/>
    <w:lvl w:ilvl="0" w:tplc="D71C031C">
      <w:start w:val="8"/>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2FA61EF6"/>
    <w:multiLevelType w:val="hybridMultilevel"/>
    <w:tmpl w:val="D6482E36"/>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3" w15:restartNumberingAfterBreak="0">
    <w:nsid w:val="3094532A"/>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4" w15:restartNumberingAfterBreak="0">
    <w:nsid w:val="320A73F9"/>
    <w:multiLevelType w:val="hybridMultilevel"/>
    <w:tmpl w:val="6B54EBBA"/>
    <w:lvl w:ilvl="0" w:tplc="91D8761C">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4289455D"/>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431E14B2"/>
    <w:multiLevelType w:val="hybridMultilevel"/>
    <w:tmpl w:val="64F0C990"/>
    <w:lvl w:ilvl="0" w:tplc="42ECD73A">
      <w:start w:val="1"/>
      <w:numFmt w:val="decimal"/>
      <w:lvlText w:val="%1."/>
      <w:lvlJc w:val="left"/>
      <w:pPr>
        <w:ind w:left="720" w:hanging="360"/>
      </w:pPr>
      <w:rPr>
        <w:i w:val="0"/>
        <w:iCs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4BA11AD3"/>
    <w:multiLevelType w:val="hybridMultilevel"/>
    <w:tmpl w:val="F3AEEEF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521B1483"/>
    <w:multiLevelType w:val="hybridMultilevel"/>
    <w:tmpl w:val="8C8A0E1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5AD72350"/>
    <w:multiLevelType w:val="hybridMultilevel"/>
    <w:tmpl w:val="CC4C1F56"/>
    <w:lvl w:ilvl="0" w:tplc="FFFFFFFF">
      <w:start w:val="1"/>
      <w:numFmt w:val="decimal"/>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667F679F"/>
    <w:multiLevelType w:val="hybridMultilevel"/>
    <w:tmpl w:val="8C7C0760"/>
    <w:lvl w:ilvl="0" w:tplc="FFFFFFFF">
      <w:start w:val="1"/>
      <w:numFmt w:val="lowerLetter"/>
      <w:lvlText w:val="(%1)"/>
      <w:lvlJc w:val="left"/>
      <w:pPr>
        <w:ind w:left="720" w:hanging="360"/>
      </w:pPr>
      <w:rPr>
        <w:rFonts w:ascii="Times New Roman" w:hAnsi="Times New Roman" w:cs="Times New Roman"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2" w15:restartNumberingAfterBreak="0">
    <w:nsid w:val="66D133CF"/>
    <w:multiLevelType w:val="hybridMultilevel"/>
    <w:tmpl w:val="366E6F10"/>
    <w:lvl w:ilvl="0" w:tplc="1809000F">
      <w:start w:val="1"/>
      <w:numFmt w:val="decimal"/>
      <w:lvlText w:val="%1."/>
      <w:lvlJc w:val="left"/>
      <w:pPr>
        <w:ind w:left="785" w:hanging="360"/>
      </w:pPr>
      <w:rPr>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6A871C81"/>
    <w:multiLevelType w:val="hybridMultilevel"/>
    <w:tmpl w:val="806C1192"/>
    <w:lvl w:ilvl="0" w:tplc="FFFFFFFF">
      <w:start w:val="1"/>
      <w:numFmt w:val="decimal"/>
      <w:lvlText w:val="%1."/>
      <w:lvlJc w:val="left"/>
      <w:pPr>
        <w:ind w:left="720" w:hanging="360"/>
      </w:pPr>
      <w:rPr>
        <w:rFonts w:ascii="Times New Roman" w:hAnsi="Times New Roman" w:cs="Times New Roman" w:hint="default"/>
        <w:sz w:val="24"/>
        <w:szCs w:val="24"/>
      </w:rPr>
    </w:lvl>
    <w:lvl w:ilvl="1" w:tplc="58422D1E">
      <w:start w:val="1"/>
      <w:numFmt w:val="lowerLetter"/>
      <w:lvlText w:val="(%2)"/>
      <w:lvlJc w:val="left"/>
      <w:pPr>
        <w:ind w:left="1440" w:hanging="360"/>
      </w:pPr>
      <w:rPr>
        <w:rFonts w:ascii="Times New Roman" w:hAnsi="Times New Roman" w:cs="Times New Roman" w:hint="default"/>
        <w:sz w:val="24"/>
        <w:szCs w:val="24"/>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712D2873"/>
    <w:multiLevelType w:val="hybridMultilevel"/>
    <w:tmpl w:val="026A0154"/>
    <w:lvl w:ilvl="0" w:tplc="FFFFFFFF">
      <w:start w:val="1"/>
      <w:numFmt w:val="decimal"/>
      <w:lvlText w:val="%1."/>
      <w:lvlJc w:val="left"/>
      <w:pPr>
        <w:ind w:left="785" w:hanging="360"/>
      </w:pPr>
      <w:rPr>
        <w:rFonts w:hint="default"/>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5" w15:restartNumberingAfterBreak="0">
    <w:nsid w:val="7443020D"/>
    <w:multiLevelType w:val="hybridMultilevel"/>
    <w:tmpl w:val="06A2B00C"/>
    <w:lvl w:ilvl="0" w:tplc="58422D1E">
      <w:start w:val="1"/>
      <w:numFmt w:val="lowerLetter"/>
      <w:lvlText w:val="(%1)"/>
      <w:lvlJc w:val="left"/>
      <w:pPr>
        <w:ind w:left="1495" w:hanging="360"/>
      </w:pPr>
      <w:rPr>
        <w:rFonts w:ascii="Times New Roman" w:hAnsi="Times New Roman" w:cs="Times New Roman" w:hint="default"/>
        <w:sz w:val="24"/>
        <w:szCs w:val="24"/>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6" w15:restartNumberingAfterBreak="0">
    <w:nsid w:val="7CBE4812"/>
    <w:multiLevelType w:val="singleLevel"/>
    <w:tmpl w:val="83109EEC"/>
    <w:lvl w:ilvl="0">
      <w:start w:val="1"/>
      <w:numFmt w:val="decimal"/>
      <w:pStyle w:val="Considrant"/>
      <w:lvlText w:val="(%1)"/>
      <w:lvlJc w:val="left"/>
      <w:pPr>
        <w:tabs>
          <w:tab w:val="num" w:pos="1276"/>
        </w:tabs>
        <w:ind w:left="1276" w:hanging="709"/>
      </w:pPr>
      <w:rPr>
        <w:b w:val="0"/>
        <w:bCs w:val="0"/>
        <w:i w:val="0"/>
        <w:iCs w:val="0"/>
      </w:rPr>
    </w:lvl>
  </w:abstractNum>
  <w:abstractNum w:abstractNumId="27" w15:restartNumberingAfterBreak="0">
    <w:nsid w:val="7E9443DB"/>
    <w:multiLevelType w:val="hybridMultilevel"/>
    <w:tmpl w:val="4C3E7BA4"/>
    <w:lvl w:ilvl="0" w:tplc="56F0BE7C">
      <w:start w:val="1"/>
      <w:numFmt w:val="decimal"/>
      <w:lvlText w:val="%1."/>
      <w:lvlJc w:val="left"/>
      <w:pPr>
        <w:ind w:left="720" w:hanging="360"/>
      </w:pPr>
      <w:rPr>
        <w:rFonts w:ascii="Times New Roman" w:hAnsi="Times New Roman" w:cs="Times New Roman" w:hint="default"/>
        <w:sz w:val="24"/>
        <w:szCs w:val="24"/>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8" w15:restartNumberingAfterBreak="0">
    <w:nsid w:val="7FCA33BB"/>
    <w:multiLevelType w:val="hybridMultilevel"/>
    <w:tmpl w:val="F4D8B60E"/>
    <w:lvl w:ilvl="0" w:tplc="FFFFFFFF">
      <w:start w:val="1"/>
      <w:numFmt w:val="decimal"/>
      <w:lvlText w:val="%1."/>
      <w:lvlJc w:val="left"/>
      <w:pPr>
        <w:ind w:left="720" w:hanging="360"/>
      </w:pPr>
      <w:rPr>
        <w:rFonts w:ascii="Times New Roman" w:hAnsi="Times New Roman" w:cs="Times New Roman" w:hint="default"/>
        <w:i w:val="0"/>
        <w:iCs w:val="0"/>
        <w:sz w:val="24"/>
        <w:szCs w:val="24"/>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abstractNumId w:val="1"/>
  </w:num>
  <w:num w:numId="2">
    <w:abstractNumId w:val="15"/>
  </w:num>
  <w:num w:numId="3">
    <w:abstractNumId w:val="26"/>
    <w:lvlOverride w:ilvl="0">
      <w:startOverride w:val="1"/>
    </w:lvlOverride>
  </w:num>
  <w:num w:numId="4">
    <w:abstractNumId w:val="27"/>
  </w:num>
  <w:num w:numId="5">
    <w:abstractNumId w:val="10"/>
  </w:num>
  <w:num w:numId="6">
    <w:abstractNumId w:val="14"/>
  </w:num>
  <w:num w:numId="7">
    <w:abstractNumId w:val="11"/>
  </w:num>
  <w:num w:numId="8">
    <w:abstractNumId w:val="3"/>
  </w:num>
  <w:num w:numId="9">
    <w:abstractNumId w:val="24"/>
  </w:num>
  <w:num w:numId="10">
    <w:abstractNumId w:val="0"/>
  </w:num>
  <w:num w:numId="11">
    <w:abstractNumId w:val="25"/>
  </w:num>
  <w:num w:numId="12">
    <w:abstractNumId w:val="9"/>
  </w:num>
  <w:num w:numId="13">
    <w:abstractNumId w:val="6"/>
  </w:num>
  <w:num w:numId="14">
    <w:abstractNumId w:val="8"/>
  </w:num>
  <w:num w:numId="15">
    <w:abstractNumId w:val="23"/>
  </w:num>
  <w:num w:numId="16">
    <w:abstractNumId w:val="7"/>
  </w:num>
  <w:num w:numId="17">
    <w:abstractNumId w:val="26"/>
  </w:num>
  <w:num w:numId="18">
    <w:abstractNumId w:val="4"/>
  </w:num>
  <w:num w:numId="19">
    <w:abstractNumId w:val="28"/>
  </w:num>
  <w:num w:numId="20">
    <w:abstractNumId w:val="20"/>
  </w:num>
  <w:num w:numId="21">
    <w:abstractNumId w:val="19"/>
  </w:num>
  <w:num w:numId="22">
    <w:abstractNumId w:val="5"/>
  </w:num>
  <w:num w:numId="23">
    <w:abstractNumId w:val="2"/>
  </w:num>
  <w:num w:numId="24">
    <w:abstractNumId w:val="18"/>
  </w:num>
  <w:num w:numId="25">
    <w:abstractNumId w:val="13"/>
  </w:num>
  <w:num w:numId="26">
    <w:abstractNumId w:val="21"/>
  </w:num>
  <w:num w:numId="27">
    <w:abstractNumId w:val="16"/>
  </w:num>
  <w:num w:numId="28">
    <w:abstractNumId w:val="17"/>
  </w:num>
  <w:num w:numId="29">
    <w:abstractNumId w:val="12"/>
  </w:num>
  <w:num w:numId="30">
    <w:abstractNumId w:val="2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1/2024"/>
    <w:docVar w:name="dvlangue" w:val="FI"/>
    <w:docVar w:name="dvnumam" w:val="0"/>
    <w:docVar w:name="dvpe" w:val="759.998"/>
    <w:docVar w:name="dvrapporteur" w:val="Esittelijä: "/>
    <w:docVar w:name="dvtitre" w:val="Euroopan parlamentin päätöslauselma 25. huhtikuuta 2024 Euroopan parlamentin, neuvoston, Euroopan komission, Euroopan unionin tuomioistuimen, Euroopan keskuspankin, Euroopan tilintarkastustuomioistuimen, Euroopan talous- ja sosiaalikomitean ja Euroopan alueiden komitean välisen sopimuksen tekemisestä Euroopan unionista tehdyn sopimuksen 13 artiklassa mainittujen toimielinten ja neuvoa-antavien elinten jäsenten eettisiä normeja käsittelevän toimielinten välisen elimen perustamisesta(2024/2008(ACI))"/>
  </w:docVars>
  <w:rsids>
    <w:rsidRoot w:val="002F09C8"/>
    <w:rsid w:val="00002272"/>
    <w:rsid w:val="00064002"/>
    <w:rsid w:val="000677B9"/>
    <w:rsid w:val="000831BA"/>
    <w:rsid w:val="000A42CC"/>
    <w:rsid w:val="000E7DD9"/>
    <w:rsid w:val="0010095E"/>
    <w:rsid w:val="00125B37"/>
    <w:rsid w:val="00180053"/>
    <w:rsid w:val="00187494"/>
    <w:rsid w:val="001F32AE"/>
    <w:rsid w:val="001F4CB0"/>
    <w:rsid w:val="002767FF"/>
    <w:rsid w:val="002B18FE"/>
    <w:rsid w:val="002B5493"/>
    <w:rsid w:val="002F09C8"/>
    <w:rsid w:val="002F3FCE"/>
    <w:rsid w:val="00343214"/>
    <w:rsid w:val="00361C00"/>
    <w:rsid w:val="0037350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72649"/>
    <w:rsid w:val="005C2568"/>
    <w:rsid w:val="005E632F"/>
    <w:rsid w:val="006037C0"/>
    <w:rsid w:val="006631B6"/>
    <w:rsid w:val="00680577"/>
    <w:rsid w:val="006A114D"/>
    <w:rsid w:val="006A784C"/>
    <w:rsid w:val="006F74FA"/>
    <w:rsid w:val="00731ADD"/>
    <w:rsid w:val="00734777"/>
    <w:rsid w:val="00747932"/>
    <w:rsid w:val="00751A4A"/>
    <w:rsid w:val="00756632"/>
    <w:rsid w:val="00762C74"/>
    <w:rsid w:val="00786EC0"/>
    <w:rsid w:val="007D1690"/>
    <w:rsid w:val="007E22AD"/>
    <w:rsid w:val="007F4CEE"/>
    <w:rsid w:val="00817416"/>
    <w:rsid w:val="00842779"/>
    <w:rsid w:val="00865F67"/>
    <w:rsid w:val="00881A7B"/>
    <w:rsid w:val="008840E5"/>
    <w:rsid w:val="00887B3E"/>
    <w:rsid w:val="008B7333"/>
    <w:rsid w:val="008C2AC6"/>
    <w:rsid w:val="008F0A08"/>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379FA"/>
    <w:rsid w:val="00E820A4"/>
    <w:rsid w:val="00EB006A"/>
    <w:rsid w:val="00EB4772"/>
    <w:rsid w:val="00EB5764"/>
    <w:rsid w:val="00ED169E"/>
    <w:rsid w:val="00ED4235"/>
    <w:rsid w:val="00F04346"/>
    <w:rsid w:val="00F075DC"/>
    <w:rsid w:val="00F149E9"/>
    <w:rsid w:val="00F251BD"/>
    <w:rsid w:val="00F5134D"/>
    <w:rsid w:val="00F74202"/>
    <w:rsid w:val="00F87713"/>
    <w:rsid w:val="00FB4360"/>
    <w:rsid w:val="00FB7AC3"/>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345C04"/>
  <w15:chartTrackingRefBased/>
  <w15:docId w15:val="{B81B0296-5D36-4CD8-8EE0-05527E834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BVI fnr,SUPERS,Footnote symbol,(Footnote Reference),Footnote,Voetnootverwijzing,Times 10 Point,Exposant 3 Point,Footnote reference number,note TESI,Odwołanie przypisu,Footnote Reference Number,Footnote Reference_LVL6,number, BVI fnr"/>
    <w:link w:val="ftrefCharCharCharCharCharCharCharCharChar"/>
    <w:uiPriority w:val="99"/>
    <w:qFormat/>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180053"/>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180053"/>
    <w:pPr>
      <w:spacing w:after="240"/>
    </w:pPr>
  </w:style>
  <w:style w:type="paragraph" w:customStyle="1" w:styleId="PageHeading">
    <w:name w:val="PageHeading"/>
    <w:basedOn w:val="Normal"/>
    <w:rsid w:val="00180053"/>
    <w:pPr>
      <w:keepNext/>
      <w:spacing w:after="480"/>
      <w:jc w:val="center"/>
    </w:pPr>
    <w:rPr>
      <w:rFonts w:ascii="Arial" w:hAnsi="Arial" w:cs="Arial"/>
      <w:b/>
    </w:rPr>
  </w:style>
  <w:style w:type="paragraph" w:customStyle="1" w:styleId="NormalHanging12a">
    <w:name w:val="NormalHanging12a"/>
    <w:basedOn w:val="Normal"/>
    <w:rsid w:val="00180053"/>
    <w:pPr>
      <w:spacing w:after="240"/>
      <w:ind w:left="567" w:hanging="567"/>
    </w:pPr>
  </w:style>
  <w:style w:type="paragraph" w:styleId="Header">
    <w:name w:val="header"/>
    <w:basedOn w:val="Normal"/>
    <w:link w:val="HeaderChar"/>
    <w:rsid w:val="00180053"/>
    <w:pPr>
      <w:tabs>
        <w:tab w:val="center" w:pos="4513"/>
        <w:tab w:val="right" w:pos="9026"/>
      </w:tabs>
    </w:pPr>
  </w:style>
  <w:style w:type="character" w:customStyle="1" w:styleId="HeaderChar">
    <w:name w:val="Header Char"/>
    <w:basedOn w:val="DefaultParagraphFont"/>
    <w:link w:val="Header"/>
    <w:rsid w:val="00180053"/>
    <w:rPr>
      <w:sz w:val="24"/>
      <w:lang w:val="fi-FI"/>
    </w:rPr>
  </w:style>
  <w:style w:type="paragraph" w:customStyle="1" w:styleId="EPFooter">
    <w:name w:val="EPFooter"/>
    <w:basedOn w:val="Normal"/>
    <w:rsid w:val="00180053"/>
    <w:pPr>
      <w:tabs>
        <w:tab w:val="center" w:pos="4535"/>
        <w:tab w:val="right" w:pos="9071"/>
      </w:tabs>
      <w:spacing w:before="240" w:after="240"/>
    </w:pPr>
    <w:rPr>
      <w:color w:val="010000"/>
      <w:sz w:val="22"/>
    </w:rPr>
  </w:style>
  <w:style w:type="paragraph" w:customStyle="1" w:styleId="EPComma">
    <w:name w:val="EPComma"/>
    <w:basedOn w:val="Normal"/>
    <w:rsid w:val="00180053"/>
    <w:pPr>
      <w:spacing w:before="480" w:after="240"/>
    </w:pPr>
  </w:style>
  <w:style w:type="paragraph" w:styleId="ListParagraph">
    <w:name w:val="List Paragraph"/>
    <w:basedOn w:val="Normal"/>
    <w:uiPriority w:val="34"/>
    <w:qFormat/>
    <w:rsid w:val="00180053"/>
    <w:pPr>
      <w:widowControl/>
      <w:spacing w:after="160" w:line="256" w:lineRule="auto"/>
      <w:ind w:left="720"/>
      <w:contextualSpacing/>
    </w:pPr>
    <w:rPr>
      <w:rFonts w:asciiTheme="minorHAnsi" w:eastAsiaTheme="minorHAnsi" w:hAnsiTheme="minorHAnsi" w:cstheme="minorBidi"/>
      <w:sz w:val="22"/>
      <w:szCs w:val="22"/>
      <w:lang w:eastAsia="en-US"/>
    </w:rPr>
  </w:style>
  <w:style w:type="paragraph" w:customStyle="1" w:styleId="Considrant">
    <w:name w:val="Considérant"/>
    <w:basedOn w:val="Normal"/>
    <w:rsid w:val="00180053"/>
    <w:pPr>
      <w:widowControl/>
      <w:numPr>
        <w:numId w:val="3"/>
      </w:numPr>
      <w:spacing w:before="120" w:after="120"/>
      <w:jc w:val="both"/>
    </w:pPr>
    <w:rPr>
      <w:rFonts w:eastAsiaTheme="minorHAnsi"/>
      <w:szCs w:val="22"/>
      <w:lang w:eastAsia="en-US"/>
    </w:rPr>
  </w:style>
  <w:style w:type="character" w:customStyle="1" w:styleId="cf01">
    <w:name w:val="cf01"/>
    <w:basedOn w:val="DefaultParagraphFont"/>
    <w:rsid w:val="00180053"/>
    <w:rPr>
      <w:rFonts w:ascii="Segoe UI" w:hAnsi="Segoe UI" w:cs="Segoe UI" w:hint="default"/>
      <w:sz w:val="18"/>
      <w:szCs w:val="18"/>
    </w:rPr>
  </w:style>
  <w:style w:type="paragraph" w:customStyle="1" w:styleId="Normal24a">
    <w:name w:val="Normal24a"/>
    <w:basedOn w:val="Normal"/>
    <w:rsid w:val="00180053"/>
    <w:pPr>
      <w:spacing w:after="480"/>
    </w:pPr>
  </w:style>
  <w:style w:type="paragraph" w:customStyle="1" w:styleId="NormalBoldCenter">
    <w:name w:val="NormalBoldCenter"/>
    <w:basedOn w:val="Normal"/>
    <w:rsid w:val="00180053"/>
    <w:pPr>
      <w:jc w:val="center"/>
    </w:pPr>
    <w:rPr>
      <w:b/>
    </w:rPr>
  </w:style>
  <w:style w:type="character" w:styleId="Hyperlink">
    <w:name w:val="Hyperlink"/>
    <w:basedOn w:val="DefaultParagraphFont"/>
    <w:unhideWhenUsed/>
    <w:rsid w:val="00180053"/>
    <w:rPr>
      <w:color w:val="0563C1" w:themeColor="hyperlink"/>
      <w:u w:val="single"/>
    </w:rPr>
  </w:style>
  <w:style w:type="paragraph" w:customStyle="1" w:styleId="RollCallVotes">
    <w:name w:val="RollCallVotes"/>
    <w:basedOn w:val="Normal"/>
    <w:rsid w:val="00180053"/>
    <w:pPr>
      <w:spacing w:before="120" w:after="120"/>
      <w:jc w:val="center"/>
    </w:pPr>
    <w:rPr>
      <w:b/>
      <w:bCs/>
      <w:snapToGrid w:val="0"/>
      <w:sz w:val="16"/>
      <w:lang w:eastAsia="en-US"/>
    </w:rPr>
  </w:style>
  <w:style w:type="paragraph" w:customStyle="1" w:styleId="RollCallTabs">
    <w:name w:val="RollCallTabs"/>
    <w:basedOn w:val="Normal"/>
    <w:qFormat/>
    <w:rsid w:val="00180053"/>
    <w:pPr>
      <w:tabs>
        <w:tab w:val="center" w:pos="284"/>
        <w:tab w:val="left" w:pos="426"/>
      </w:tabs>
    </w:pPr>
    <w:rPr>
      <w:snapToGrid w:val="0"/>
      <w:lang w:eastAsia="en-US"/>
    </w:rPr>
  </w:style>
  <w:style w:type="paragraph" w:customStyle="1" w:styleId="RollCallSymbols14pt">
    <w:name w:val="RollCallSymbols14pt"/>
    <w:basedOn w:val="Normal"/>
    <w:rsid w:val="00180053"/>
    <w:pPr>
      <w:spacing w:before="120" w:after="120"/>
      <w:jc w:val="center"/>
    </w:pPr>
    <w:rPr>
      <w:rFonts w:ascii="Arial" w:hAnsi="Arial"/>
      <w:b/>
      <w:bCs/>
      <w:snapToGrid w:val="0"/>
      <w:sz w:val="28"/>
      <w:lang w:eastAsia="en-US"/>
    </w:rPr>
  </w:style>
  <w:style w:type="paragraph" w:customStyle="1" w:styleId="RollCallTable">
    <w:name w:val="RollCallTable"/>
    <w:basedOn w:val="Normal"/>
    <w:rsid w:val="00180053"/>
    <w:pPr>
      <w:spacing w:before="120" w:after="120"/>
    </w:pPr>
    <w:rPr>
      <w:snapToGrid w:val="0"/>
      <w:sz w:val="16"/>
      <w:lang w:eastAsia="en-US"/>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180053"/>
    <w:pPr>
      <w:widowControl/>
      <w:spacing w:after="160" w:line="240" w:lineRule="exact"/>
    </w:pPr>
    <w:rPr>
      <w:sz w:val="20"/>
      <w:vertAlign w:val="superscript"/>
      <w:lang w:val="en-GB"/>
    </w:rPr>
  </w:style>
  <w:style w:type="paragraph" w:styleId="Footer">
    <w:name w:val="footer"/>
    <w:basedOn w:val="Normal"/>
    <w:link w:val="FooterChar"/>
    <w:rsid w:val="00F251BD"/>
    <w:pPr>
      <w:tabs>
        <w:tab w:val="center" w:pos="4513"/>
        <w:tab w:val="right" w:pos="9026"/>
      </w:tabs>
    </w:pPr>
  </w:style>
  <w:style w:type="character" w:customStyle="1" w:styleId="FooterChar">
    <w:name w:val="Footer Char"/>
    <w:basedOn w:val="DefaultParagraphFont"/>
    <w:link w:val="Footer"/>
    <w:rsid w:val="00F251BD"/>
    <w:rPr>
      <w:sz w:val="24"/>
      <w:lang w:val="fi-FI"/>
    </w:rPr>
  </w:style>
  <w:style w:type="paragraph" w:styleId="BalloonText">
    <w:name w:val="Balloon Text"/>
    <w:basedOn w:val="Normal"/>
    <w:link w:val="BalloonTextChar"/>
    <w:rsid w:val="00F251BD"/>
    <w:rPr>
      <w:rFonts w:ascii="Segoe UI" w:hAnsi="Segoe UI" w:cs="Segoe UI"/>
      <w:sz w:val="18"/>
      <w:szCs w:val="18"/>
    </w:rPr>
  </w:style>
  <w:style w:type="character" w:customStyle="1" w:styleId="BalloonTextChar">
    <w:name w:val="Balloon Text Char"/>
    <w:basedOn w:val="DefaultParagraphFont"/>
    <w:link w:val="BalloonText"/>
    <w:rsid w:val="00F251BD"/>
    <w:rPr>
      <w:rFonts w:ascii="Segoe UI" w:hAnsi="Segoe UI" w:cs="Segoe UI"/>
      <w:sz w:val="18"/>
      <w:szCs w:val="18"/>
      <w:lang w:val="fi-FI"/>
    </w:rPr>
  </w:style>
  <w:style w:type="character" w:styleId="CommentReference">
    <w:name w:val="annotation reference"/>
    <w:basedOn w:val="DefaultParagraphFont"/>
    <w:rsid w:val="008F0A08"/>
    <w:rPr>
      <w:sz w:val="16"/>
      <w:szCs w:val="16"/>
    </w:rPr>
  </w:style>
  <w:style w:type="paragraph" w:styleId="CommentText">
    <w:name w:val="annotation text"/>
    <w:basedOn w:val="Normal"/>
    <w:link w:val="CommentTextChar"/>
    <w:rsid w:val="008F0A08"/>
    <w:rPr>
      <w:sz w:val="20"/>
    </w:rPr>
  </w:style>
  <w:style w:type="character" w:customStyle="1" w:styleId="CommentTextChar">
    <w:name w:val="Comment Text Char"/>
    <w:basedOn w:val="DefaultParagraphFont"/>
    <w:link w:val="CommentText"/>
    <w:rsid w:val="008F0A08"/>
    <w:rPr>
      <w:lang w:val="fi-FI"/>
    </w:rPr>
  </w:style>
  <w:style w:type="paragraph" w:styleId="CommentSubject">
    <w:name w:val="annotation subject"/>
    <w:basedOn w:val="CommentText"/>
    <w:next w:val="CommentText"/>
    <w:link w:val="CommentSubjectChar"/>
    <w:rsid w:val="008F0A08"/>
    <w:rPr>
      <w:b/>
      <w:bCs/>
    </w:rPr>
  </w:style>
  <w:style w:type="character" w:customStyle="1" w:styleId="CommentSubjectChar">
    <w:name w:val="Comment Subject Char"/>
    <w:basedOn w:val="CommentTextChar"/>
    <w:link w:val="CommentSubject"/>
    <w:rsid w:val="008F0A08"/>
    <w:rPr>
      <w:b/>
      <w:bCs/>
      <w:lang w:val="fi-FI"/>
    </w:rPr>
  </w:style>
  <w:style w:type="paragraph" w:customStyle="1" w:styleId="NormalBold">
    <w:name w:val="NormalBold"/>
    <w:basedOn w:val="Normal"/>
    <w:rsid w:val="00E379FA"/>
    <w:rPr>
      <w:b/>
    </w:rPr>
  </w:style>
  <w:style w:type="paragraph" w:customStyle="1" w:styleId="Normal6a">
    <w:name w:val="Normal6a"/>
    <w:basedOn w:val="Normal"/>
    <w:rsid w:val="00E379FA"/>
    <w:pPr>
      <w:spacing w:after="120"/>
    </w:pPr>
  </w:style>
  <w:style w:type="paragraph" w:customStyle="1" w:styleId="AmColumnHeading">
    <w:name w:val="AmColumnHeading"/>
    <w:basedOn w:val="Normal"/>
    <w:rsid w:val="00E379FA"/>
    <w:pPr>
      <w:spacing w:after="240"/>
      <w:jc w:val="center"/>
    </w:pPr>
    <w:rPr>
      <w:i/>
    </w:rPr>
  </w:style>
  <w:style w:type="paragraph" w:customStyle="1" w:styleId="AmNumberTabs">
    <w:name w:val="AmNumberTabs"/>
    <w:basedOn w:val="Normal"/>
    <w:rsid w:val="00E379F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E379FA"/>
    <w:pPr>
      <w:spacing w:before="240"/>
    </w:pPr>
    <w:rPr>
      <w:b/>
    </w:rPr>
  </w:style>
  <w:style w:type="character" w:customStyle="1" w:styleId="NormalBold12bChar">
    <w:name w:val="NormalBold12b Char"/>
    <w:basedOn w:val="DefaultParagraphFont"/>
    <w:link w:val="NormalBold12b"/>
    <w:rsid w:val="00E379FA"/>
    <w:rPr>
      <w:b/>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ata.europa.eu/eli/agree_interinstit/2024/1365/oj"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C5EFD9-9DED-4D3F-BE83-50AEAF62C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1513</Words>
  <Characters>13324</Characters>
  <Application>Microsoft Office Word</Application>
  <DocSecurity>0</DocSecurity>
  <Lines>111</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KINNUNEN Hannele</cp:lastModifiedBy>
  <cp:revision>2</cp:revision>
  <cp:lastPrinted>2004-11-19T15:42:00Z</cp:lastPrinted>
  <dcterms:created xsi:type="dcterms:W3CDTF">2024-09-09T13:43:00Z</dcterms:created>
  <dcterms:modified xsi:type="dcterms:W3CDTF">2024-09-09T13:43:00Z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P9_TA(2024)0372_</vt:lpwstr>
  </property>
  <property fmtid="{D5CDD505-2E9C-101B-9397-08002B2CF9AE}" pid="4" name="&lt;Type&gt;">
    <vt:lpwstr>RR</vt:lpwstr>
  </property>
  <property fmtid="{D5CDD505-2E9C-101B-9397-08002B2CF9AE}" pid="5" name="&lt;Model&gt;">
    <vt:lpwstr/>
  </property>
</Properties>
</file>