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B5CAF" w:rsidTr="0010095E">
        <w:trPr>
          <w:trHeight w:hRule="exact" w:val="1418"/>
        </w:trPr>
        <w:tc>
          <w:tcPr>
            <w:tcW w:w="6804" w:type="dxa"/>
            <w:shd w:val="clear" w:color="auto" w:fill="auto"/>
            <w:vAlign w:val="center"/>
          </w:tcPr>
          <w:p w:rsidR="00751A4A" w:rsidRPr="004B5CAF" w:rsidRDefault="00E27058" w:rsidP="0010095E">
            <w:pPr>
              <w:pStyle w:val="EPName"/>
            </w:pPr>
            <w:r w:rsidRPr="004B5CAF">
              <w:t>Europski parlament</w:t>
            </w:r>
          </w:p>
          <w:p w:rsidR="00751A4A" w:rsidRPr="004B5CAF" w:rsidRDefault="00817416" w:rsidP="00756632">
            <w:pPr>
              <w:pStyle w:val="EPTerm"/>
              <w:rPr>
                <w:rStyle w:val="HideTWBExt"/>
                <w:noProof w:val="0"/>
                <w:vanish w:val="0"/>
                <w:color w:val="auto"/>
              </w:rPr>
            </w:pPr>
            <w:r w:rsidRPr="004B5CAF">
              <w:t>2019-2024</w:t>
            </w:r>
          </w:p>
        </w:tc>
        <w:tc>
          <w:tcPr>
            <w:tcW w:w="2268" w:type="dxa"/>
            <w:shd w:val="clear" w:color="auto" w:fill="auto"/>
          </w:tcPr>
          <w:p w:rsidR="00751A4A" w:rsidRPr="004B5CAF" w:rsidRDefault="00187494" w:rsidP="0010095E">
            <w:pPr>
              <w:pStyle w:val="EPLogo"/>
            </w:pPr>
            <w:r w:rsidRPr="004B5CA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B5CAF" w:rsidRDefault="00D058B8" w:rsidP="004C5D52">
      <w:pPr>
        <w:pStyle w:val="LineTop"/>
      </w:pPr>
    </w:p>
    <w:p w:rsidR="00680577" w:rsidRPr="004B5CAF" w:rsidRDefault="00E27058" w:rsidP="00680577">
      <w:pPr>
        <w:pStyle w:val="EPBodyTA1"/>
      </w:pPr>
      <w:r w:rsidRPr="004B5CAF">
        <w:t>USVOJENI TEKSTOVI</w:t>
      </w:r>
    </w:p>
    <w:p w:rsidR="00D058B8" w:rsidRPr="004B5CAF" w:rsidRDefault="00D058B8" w:rsidP="00D058B8">
      <w:pPr>
        <w:pStyle w:val="LineBottom"/>
      </w:pPr>
    </w:p>
    <w:p w:rsidR="00E27058" w:rsidRPr="004B5CAF" w:rsidRDefault="00E27058" w:rsidP="00E27058">
      <w:pPr>
        <w:pStyle w:val="ATHeading1"/>
      </w:pPr>
      <w:bookmarkStart w:id="0" w:name="TANumber"/>
      <w:r w:rsidRPr="004B5CAF">
        <w:t>P9_TA(2024)0</w:t>
      </w:r>
      <w:r w:rsidR="0079285B">
        <w:t>372</w:t>
      </w:r>
      <w:bookmarkEnd w:id="0"/>
    </w:p>
    <w:p w:rsidR="00E27058" w:rsidRPr="004B5CAF" w:rsidRDefault="00E27058" w:rsidP="00E27058">
      <w:pPr>
        <w:pStyle w:val="ATHeading2"/>
      </w:pPr>
      <w:bookmarkStart w:id="1" w:name="title"/>
      <w:proofErr w:type="spellStart"/>
      <w:r w:rsidRPr="004B5CAF">
        <w:t>Međuinstitucijsko</w:t>
      </w:r>
      <w:proofErr w:type="spellEnd"/>
      <w:r w:rsidRPr="004B5CAF">
        <w:t xml:space="preserve"> tijelo za etičke standarde</w:t>
      </w:r>
      <w:bookmarkEnd w:id="1"/>
    </w:p>
    <w:p w:rsidR="00E27058" w:rsidRPr="004B5CAF" w:rsidRDefault="00E27058" w:rsidP="00E27058">
      <w:pPr>
        <w:rPr>
          <w:i/>
          <w:vanish/>
        </w:rPr>
      </w:pPr>
      <w:r w:rsidRPr="004B5CAF">
        <w:rPr>
          <w:i/>
        </w:rPr>
        <w:fldChar w:fldCharType="begin"/>
      </w:r>
      <w:r w:rsidRPr="004B5CAF">
        <w:rPr>
          <w:i/>
        </w:rPr>
        <w:instrText xml:space="preserve"> TC"(</w:instrText>
      </w:r>
      <w:bookmarkStart w:id="2" w:name="DocNumber"/>
      <w:r w:rsidRPr="004B5CAF">
        <w:rPr>
          <w:i/>
        </w:rPr>
        <w:instrText>A9-0181/2024</w:instrText>
      </w:r>
      <w:bookmarkEnd w:id="2"/>
      <w:r w:rsidRPr="004B5CAF">
        <w:rPr>
          <w:i/>
        </w:rPr>
        <w:instrText xml:space="preserve"> - Izvjestitelj: Daniel </w:instrText>
      </w:r>
      <w:proofErr w:type="spellStart"/>
      <w:r w:rsidRPr="004B5CAF">
        <w:rPr>
          <w:i/>
        </w:rPr>
        <w:instrText>Freund</w:instrText>
      </w:r>
      <w:proofErr w:type="spellEnd"/>
      <w:r w:rsidRPr="004B5CAF">
        <w:rPr>
          <w:i/>
        </w:rPr>
        <w:instrText xml:space="preserve">)"\l3 \n&gt; \* MERGEFORMAT </w:instrText>
      </w:r>
      <w:r w:rsidRPr="004B5CAF">
        <w:rPr>
          <w:i/>
        </w:rPr>
        <w:fldChar w:fldCharType="end"/>
      </w:r>
    </w:p>
    <w:p w:rsidR="00E27058" w:rsidRPr="004B5CAF" w:rsidRDefault="00E27058" w:rsidP="00E27058">
      <w:pPr>
        <w:rPr>
          <w:vanish/>
        </w:rPr>
      </w:pPr>
      <w:bookmarkStart w:id="3" w:name="Commission"/>
      <w:r w:rsidRPr="004B5CAF">
        <w:rPr>
          <w:vanish/>
        </w:rPr>
        <w:t>Odbor za ustavna pitanja</w:t>
      </w:r>
      <w:bookmarkEnd w:id="3"/>
    </w:p>
    <w:p w:rsidR="00E27058" w:rsidRPr="004B5CAF" w:rsidRDefault="00E27058" w:rsidP="00E27058">
      <w:pPr>
        <w:rPr>
          <w:vanish/>
        </w:rPr>
      </w:pPr>
      <w:bookmarkStart w:id="4" w:name="PE"/>
      <w:r w:rsidRPr="004B5CAF">
        <w:rPr>
          <w:vanish/>
        </w:rPr>
        <w:t>PE759.998</w:t>
      </w:r>
      <w:bookmarkEnd w:id="4"/>
    </w:p>
    <w:p w:rsidR="00E27058" w:rsidRPr="004B5CAF" w:rsidRDefault="00E27058" w:rsidP="00E27058">
      <w:pPr>
        <w:pStyle w:val="ATHeading3"/>
      </w:pPr>
      <w:bookmarkStart w:id="5" w:name="Sujet"/>
      <w:r w:rsidRPr="004B5CAF">
        <w:t>Od</w:t>
      </w:r>
      <w:r w:rsidR="004B5CAF">
        <w:t>luka Europskog parlamenta od 25</w:t>
      </w:r>
      <w:r w:rsidRPr="004B5CAF">
        <w:t xml:space="preserve">. </w:t>
      </w:r>
      <w:r w:rsidR="004B5CAF">
        <w:t xml:space="preserve">travnja </w:t>
      </w:r>
      <w:r w:rsidRPr="004B5CAF">
        <w:t xml:space="preserve">2024. o sklapanju Sporazuma između Europskog parlamenta, Vijeća, Europske komisije, Suda Europske unije, Europske središnje banke, Europskog revizorskog suda, Europskog gospodarskog i socijalnog odbora i Europskog odbora regija o osnivanju </w:t>
      </w:r>
      <w:proofErr w:type="spellStart"/>
      <w:r w:rsidRPr="004B5CAF">
        <w:t>Međuinstitucijskog</w:t>
      </w:r>
      <w:proofErr w:type="spellEnd"/>
      <w:r w:rsidRPr="004B5CAF">
        <w:t xml:space="preserve"> tijela za etičke standarde za članove institucija i savjetodavnih tijela navedenih u članku 13. Ugovora o Europskoj uniji</w:t>
      </w:r>
      <w:bookmarkEnd w:id="5"/>
      <w:r w:rsidRPr="004B5CAF">
        <w:t xml:space="preserve"> </w:t>
      </w:r>
      <w:bookmarkStart w:id="6" w:name="References"/>
      <w:r w:rsidRPr="004B5CAF">
        <w:t>(2024/2008(ACI))</w:t>
      </w:r>
      <w:bookmarkEnd w:id="6"/>
    </w:p>
    <w:p w:rsidR="00754BF9" w:rsidRPr="004B5CAF" w:rsidRDefault="00754BF9" w:rsidP="00754BF9">
      <w:pPr>
        <w:pStyle w:val="EPComma"/>
      </w:pPr>
      <w:bookmarkStart w:id="7" w:name="TextBodyBegin"/>
      <w:bookmarkEnd w:id="7"/>
      <w:r w:rsidRPr="004B5CAF">
        <w:rPr>
          <w:i/>
        </w:rPr>
        <w:t>Europski parlament</w:t>
      </w:r>
      <w:r w:rsidRPr="004B5CAF">
        <w:t>,</w:t>
      </w:r>
    </w:p>
    <w:p w:rsidR="00754BF9" w:rsidRPr="004B5CAF" w:rsidRDefault="00754BF9" w:rsidP="00754BF9">
      <w:pPr>
        <w:pStyle w:val="NormalHanging12a"/>
      </w:pPr>
      <w:r w:rsidRPr="004B5CAF">
        <w:t>–</w:t>
      </w:r>
      <w:r w:rsidRPr="004B5CAF">
        <w:tab/>
        <w:t xml:space="preserve">uzimajući u obzir odluke Konferencije predsjednika od 14. i 19. ožujka 2024. o prihvaćanju Nacrta </w:t>
      </w:r>
      <w:proofErr w:type="spellStart"/>
      <w:r w:rsidRPr="004B5CAF">
        <w:t>međuinstitucijskog</w:t>
      </w:r>
      <w:proofErr w:type="spellEnd"/>
      <w:r w:rsidRPr="004B5CAF">
        <w:t xml:space="preserve"> sporazuma o osnivanju </w:t>
      </w:r>
      <w:proofErr w:type="spellStart"/>
      <w:r w:rsidRPr="004B5CAF">
        <w:t>međuinstitucijskog</w:t>
      </w:r>
      <w:proofErr w:type="spellEnd"/>
      <w:r w:rsidRPr="004B5CAF">
        <w:t xml:space="preserve"> tijela za etičke standarde za članove institucija i savjetodavnih tijela navedenih u članku 13. Ugovora o Europskoj uniji</w:t>
      </w:r>
      <w:r w:rsidR="004B5CAF">
        <w:t>,</w:t>
      </w:r>
    </w:p>
    <w:p w:rsidR="00754BF9" w:rsidRPr="004B5CAF" w:rsidRDefault="00754BF9" w:rsidP="00754BF9">
      <w:pPr>
        <w:pStyle w:val="NormalHanging12a"/>
      </w:pPr>
      <w:r w:rsidRPr="004B5CAF">
        <w:t>–</w:t>
      </w:r>
      <w:r w:rsidRPr="004B5CAF">
        <w:tab/>
        <w:t>uzimajući u obzir Nacrt sporazuma između Europskog parlamenta, Vijeća, Europske komisije, Suda Europske unije, Europske središnje banke, Europskog revizorskog suda, Europskog</w:t>
      </w:r>
      <w:r w:rsidR="00D365B9">
        <w:t>a</w:t>
      </w:r>
      <w:r w:rsidRPr="004B5CAF">
        <w:t xml:space="preserve"> gospodarskog i socijalnog odbora i Europskog odbora regija o osnivanju </w:t>
      </w:r>
      <w:proofErr w:type="spellStart"/>
      <w:r w:rsidRPr="004B5CAF">
        <w:t>međuinstitucijskog</w:t>
      </w:r>
      <w:proofErr w:type="spellEnd"/>
      <w:r w:rsidRPr="004B5CAF">
        <w:t xml:space="preserve"> tijela za etičke standarde za članove institucija i savjetodavnih tijela navedenih u članku 13. Ugovora</w:t>
      </w:r>
      <w:r w:rsidR="004B5CAF">
        <w:t xml:space="preserve"> o Europskoj uniji („Sporazum”),</w:t>
      </w:r>
    </w:p>
    <w:p w:rsidR="00754BF9" w:rsidRPr="004B5CAF" w:rsidRDefault="00754BF9" w:rsidP="00754BF9">
      <w:pPr>
        <w:pStyle w:val="NormalHanging12a"/>
      </w:pPr>
      <w:r w:rsidRPr="004B5CAF">
        <w:t>–</w:t>
      </w:r>
      <w:r w:rsidRPr="004B5CAF">
        <w:tab/>
        <w:t>uzimajući u obzir članak 13. Ugovora o Europskoj uniji,</w:t>
      </w:r>
    </w:p>
    <w:p w:rsidR="00754BF9" w:rsidRPr="004B5CAF" w:rsidRDefault="00754BF9" w:rsidP="00754BF9">
      <w:pPr>
        <w:pStyle w:val="NormalHanging12a"/>
      </w:pPr>
      <w:r w:rsidRPr="004B5CAF">
        <w:t>–</w:t>
      </w:r>
      <w:r w:rsidRPr="004B5CAF">
        <w:tab/>
        <w:t>uzimajući u obzir članak 232. Ugovora o funkcioniranju Europske unije,</w:t>
      </w:r>
    </w:p>
    <w:p w:rsidR="00754BF9" w:rsidRPr="004B5CAF" w:rsidRDefault="00754BF9" w:rsidP="00754BF9">
      <w:pPr>
        <w:pStyle w:val="NormalHanging12a"/>
      </w:pPr>
      <w:r w:rsidRPr="004B5CAF">
        <w:t>–</w:t>
      </w:r>
      <w:r w:rsidRPr="004B5CAF">
        <w:tab/>
        <w:t xml:space="preserve">uzimajući u obzir komunikaciju Komisije od 8. lipnja 2023. o prijedlogu o </w:t>
      </w:r>
      <w:r w:rsidR="00D365B9">
        <w:t xml:space="preserve">osnivanju </w:t>
      </w:r>
      <w:proofErr w:type="spellStart"/>
      <w:r w:rsidRPr="004B5CAF">
        <w:t>međuinstitucijsko</w:t>
      </w:r>
      <w:r w:rsidR="00D365B9">
        <w:t>g</w:t>
      </w:r>
      <w:proofErr w:type="spellEnd"/>
      <w:r w:rsidRPr="004B5CAF">
        <w:t xml:space="preserve"> tijel</w:t>
      </w:r>
      <w:r w:rsidR="00D365B9">
        <w:t>a</w:t>
      </w:r>
      <w:r w:rsidRPr="004B5CAF">
        <w:t xml:space="preserve"> za etička pitanja i priloge</w:t>
      </w:r>
      <w:r w:rsidR="00D365B9">
        <w:t xml:space="preserve"> toj komunikaciji</w:t>
      </w:r>
      <w:r w:rsidR="004B5CAF">
        <w:t xml:space="preserve"> (COM(2023)0311)</w:t>
      </w:r>
      <w:r w:rsidRPr="004B5CAF">
        <w:t>,</w:t>
      </w:r>
    </w:p>
    <w:p w:rsidR="00754BF9" w:rsidRPr="004B5CAF" w:rsidRDefault="00754BF9" w:rsidP="00754BF9">
      <w:pPr>
        <w:pStyle w:val="NormalHanging12a"/>
      </w:pPr>
      <w:r w:rsidRPr="004B5CAF">
        <w:t>–</w:t>
      </w:r>
      <w:r w:rsidRPr="004B5CAF">
        <w:tab/>
        <w:t>uzimajući u obzir svoju Rezoluciju od 16. rujna 2021. o jačanju transparentnosti i integriteta u institucijama EU-a uspostavljanjem neovisnog tijela EU-a za etička pitanja</w:t>
      </w:r>
      <w:r w:rsidRPr="004B5CAF">
        <w:rPr>
          <w:rStyle w:val="FootnoteReference"/>
        </w:rPr>
        <w:footnoteReference w:id="1"/>
      </w:r>
      <w:r w:rsidRPr="004B5CAF">
        <w:t>,</w:t>
      </w:r>
    </w:p>
    <w:p w:rsidR="00754BF9" w:rsidRPr="004B5CAF" w:rsidRDefault="00754BF9" w:rsidP="00754BF9">
      <w:pPr>
        <w:pStyle w:val="NormalHanging12a"/>
      </w:pPr>
      <w:r w:rsidRPr="004B5CAF">
        <w:t>–</w:t>
      </w:r>
      <w:r w:rsidRPr="004B5CAF">
        <w:tab/>
        <w:t xml:space="preserve">uzimajući u obzir svoju Rezoluciju od 15. prosinca 2022. o sumnjama na korupciju od strane Katara i većoj potrebi za transparentnošću i odgovornošću u europskim </w:t>
      </w:r>
      <w:r w:rsidRPr="004B5CAF">
        <w:lastRenderedPageBreak/>
        <w:t>institucijama</w:t>
      </w:r>
      <w:r w:rsidRPr="004B5CAF">
        <w:rPr>
          <w:rStyle w:val="FootnoteReference"/>
        </w:rPr>
        <w:footnoteReference w:id="2"/>
      </w:r>
      <w:r w:rsidRPr="004B5CAF">
        <w:t>,</w:t>
      </w:r>
    </w:p>
    <w:p w:rsidR="00754BF9" w:rsidRPr="004B5CAF" w:rsidRDefault="00754BF9" w:rsidP="00754BF9">
      <w:pPr>
        <w:pStyle w:val="NormalHanging12a"/>
      </w:pPr>
      <w:r w:rsidRPr="004B5CAF">
        <w:t>–</w:t>
      </w:r>
      <w:r w:rsidRPr="004B5CAF">
        <w:tab/>
        <w:t xml:space="preserve">uzimajući u obzir svoju </w:t>
      </w:r>
      <w:r w:rsidR="004B5CAF">
        <w:t>R</w:t>
      </w:r>
      <w:r w:rsidRPr="004B5CAF">
        <w:t>ezoluciju od 16. veljače 2023. o uspostavi neovisnog tijela EU-a za etička pitanja</w:t>
      </w:r>
      <w:r w:rsidRPr="004B5CAF">
        <w:rPr>
          <w:rStyle w:val="FootnoteReference"/>
        </w:rPr>
        <w:footnoteReference w:id="3"/>
      </w:r>
      <w:r w:rsidRPr="004B5CAF">
        <w:t>,</w:t>
      </w:r>
    </w:p>
    <w:p w:rsidR="00754BF9" w:rsidRPr="004B5CAF" w:rsidRDefault="00754BF9" w:rsidP="00754BF9">
      <w:pPr>
        <w:pStyle w:val="NormalHanging12a"/>
      </w:pPr>
      <w:r w:rsidRPr="004B5CAF">
        <w:t>–</w:t>
      </w:r>
      <w:r w:rsidRPr="004B5CAF">
        <w:tab/>
        <w:t>uzimajući u obzir svoju Rezoluciju od 16. veljače 2023. o daljnjem postupanju u vezi s mjerama koje je zatražio Parlament za jačanje integriteta europskih institucija</w:t>
      </w:r>
      <w:r w:rsidRPr="004B5CAF">
        <w:rPr>
          <w:rStyle w:val="FootnoteReference"/>
        </w:rPr>
        <w:footnoteReference w:id="4"/>
      </w:r>
      <w:r w:rsidRPr="004B5CAF">
        <w:t>,</w:t>
      </w:r>
    </w:p>
    <w:p w:rsidR="00754BF9" w:rsidRPr="004B5CAF" w:rsidRDefault="00754BF9" w:rsidP="00754BF9">
      <w:pPr>
        <w:pStyle w:val="NormalHanging12a"/>
      </w:pPr>
      <w:r w:rsidRPr="004B5CAF">
        <w:t>–</w:t>
      </w:r>
      <w:r w:rsidRPr="004B5CAF">
        <w:tab/>
        <w:t xml:space="preserve">uzimajući u obzir svoju </w:t>
      </w:r>
      <w:r w:rsidR="004B5CAF">
        <w:t>R</w:t>
      </w:r>
      <w:r w:rsidRPr="004B5CAF">
        <w:t>ezoluciju od 12. srpnja 2023. o osnivanju tijela EU-a za etička pitanja</w:t>
      </w:r>
      <w:r w:rsidRPr="004B5CAF">
        <w:rPr>
          <w:rStyle w:val="FootnoteReference"/>
        </w:rPr>
        <w:footnoteReference w:id="5"/>
      </w:r>
      <w:r w:rsidRPr="004B5CAF">
        <w:t>,</w:t>
      </w:r>
    </w:p>
    <w:p w:rsidR="00754BF9" w:rsidRPr="004B5CAF" w:rsidRDefault="00754BF9" w:rsidP="00754BF9">
      <w:pPr>
        <w:pStyle w:val="NormalHanging12a"/>
      </w:pPr>
      <w:r w:rsidRPr="004B5CAF">
        <w:t xml:space="preserve"> –</w:t>
      </w:r>
      <w:r w:rsidRPr="004B5CAF">
        <w:tab/>
        <w:t>uzimajući u obzir svoju Rezoluciju od 13. srpnja 2023. o preporukama za reformu pravila Europskog parlamenta o transparentnosti, integritetu, odgovornosti i borbi protiv korupcije</w:t>
      </w:r>
      <w:r w:rsidRPr="004B5CAF">
        <w:rPr>
          <w:vertAlign w:val="superscript"/>
        </w:rPr>
        <w:footnoteReference w:id="6"/>
      </w:r>
      <w:r w:rsidRPr="004B5CAF">
        <w:t>,</w:t>
      </w:r>
    </w:p>
    <w:p w:rsidR="00754BF9" w:rsidRPr="004B5CAF" w:rsidRDefault="00754BF9" w:rsidP="00754BF9">
      <w:pPr>
        <w:pStyle w:val="NormalHanging12a"/>
      </w:pPr>
      <w:r w:rsidRPr="004B5CAF">
        <w:t>–</w:t>
      </w:r>
      <w:r w:rsidRPr="004B5CAF">
        <w:tab/>
        <w:t>uzimajući u obzir članak 148. stavak 1. Poslovnika,</w:t>
      </w:r>
    </w:p>
    <w:p w:rsidR="00754BF9" w:rsidRPr="004B5CAF" w:rsidRDefault="00754BF9" w:rsidP="00754BF9">
      <w:pPr>
        <w:pStyle w:val="NormalHanging12a"/>
      </w:pPr>
      <w:r w:rsidRPr="004B5CAF">
        <w:t>–</w:t>
      </w:r>
      <w:r w:rsidRPr="004B5CAF">
        <w:tab/>
        <w:t>uzimajući u obzir izvješće Odbora za ustavna pitanja (A9</w:t>
      </w:r>
      <w:r w:rsidRPr="004B5CAF">
        <w:noBreakHyphen/>
        <w:t>0181/2024),</w:t>
      </w:r>
    </w:p>
    <w:p w:rsidR="00754BF9" w:rsidRPr="004B5CAF" w:rsidRDefault="00754BF9" w:rsidP="00754BF9">
      <w:pPr>
        <w:pStyle w:val="NormalHanging12a"/>
        <w:rPr>
          <w:szCs w:val="24"/>
        </w:rPr>
      </w:pPr>
      <w:r w:rsidRPr="004B5CAF">
        <w:t>A.</w:t>
      </w:r>
      <w:r w:rsidRPr="004B5CAF">
        <w:tab/>
        <w:t>budući da su neovisnost, transparentnost i odgovornost institucija EU-a od iznimne važnosti za njihov demokratski legitimitet i za poticanje povjerenja građana;</w:t>
      </w:r>
      <w:r w:rsidRPr="004B5CAF">
        <w:rPr>
          <w:b/>
        </w:rPr>
        <w:t xml:space="preserve"> </w:t>
      </w:r>
      <w:r w:rsidRPr="004B5CAF">
        <w:t xml:space="preserve">budući da je Europski parlament danas među </w:t>
      </w:r>
      <w:proofErr w:type="spellStart"/>
      <w:r w:rsidRPr="004B5CAF">
        <w:t>najtransparentnijim</w:t>
      </w:r>
      <w:proofErr w:type="spellEnd"/>
      <w:r w:rsidRPr="004B5CAF">
        <w:t xml:space="preserve"> zakonodavnim tijelima na svijetu;</w:t>
      </w:r>
    </w:p>
    <w:p w:rsidR="00754BF9" w:rsidRPr="004B5CAF" w:rsidRDefault="00754BF9" w:rsidP="00754BF9">
      <w:pPr>
        <w:pStyle w:val="NormalHanging12a"/>
      </w:pPr>
      <w:r w:rsidRPr="004B5CAF">
        <w:t>B.</w:t>
      </w:r>
      <w:r w:rsidRPr="004B5CAF">
        <w:tab/>
        <w:t>budući da postoji potreba za rješavanjem nedostataka koji proizlaze iz trenutačnog etičkog okvira, koji je rascjepkan među institucijama, tijelima, uredima i agencijama EU-a, gdje se primjenjuju različita pravila, postupci i razine provedbe;</w:t>
      </w:r>
    </w:p>
    <w:p w:rsidR="00754BF9" w:rsidRPr="004B5CAF" w:rsidRDefault="00754BF9" w:rsidP="00754BF9">
      <w:pPr>
        <w:pStyle w:val="NormalHanging12a"/>
      </w:pPr>
      <w:r w:rsidRPr="004B5CAF">
        <w:t>C.</w:t>
      </w:r>
      <w:r w:rsidRPr="004B5CAF">
        <w:tab/>
        <w:t>budući da je Parlament predložio u svojoj rezoluciji od 16. rujna 2021.</w:t>
      </w:r>
      <w:r w:rsidR="004B5CAF">
        <w:rPr>
          <w:rStyle w:val="FootnoteReference"/>
        </w:rPr>
        <w:footnoteReference w:id="7"/>
      </w:r>
      <w:r w:rsidRPr="004B5CAF">
        <w:t xml:space="preserve"> i ponovio u svojim naknadnim rezolucijama od 16. veljače 2023.</w:t>
      </w:r>
      <w:r w:rsidR="004B5CAF">
        <w:rPr>
          <w:rStyle w:val="FootnoteReference"/>
        </w:rPr>
        <w:footnoteReference w:id="8"/>
      </w:r>
      <w:r w:rsidRPr="004B5CAF">
        <w:t xml:space="preserve"> i 12. srpnja 2023.</w:t>
      </w:r>
      <w:r w:rsidR="004B5CAF">
        <w:rPr>
          <w:rStyle w:val="FootnoteReference"/>
        </w:rPr>
        <w:footnoteReference w:id="9"/>
      </w:r>
      <w:r w:rsidRPr="004B5CAF">
        <w:t xml:space="preserve"> osnivanje ambicioznog, istinskog i neovisnog etičko tijela;</w:t>
      </w:r>
    </w:p>
    <w:p w:rsidR="00754BF9" w:rsidRPr="004B5CAF" w:rsidRDefault="00754BF9" w:rsidP="00754BF9">
      <w:pPr>
        <w:pStyle w:val="NormalHanging12a"/>
        <w:rPr>
          <w:szCs w:val="24"/>
        </w:rPr>
      </w:pPr>
      <w:r w:rsidRPr="004B5CAF">
        <w:t>D.</w:t>
      </w:r>
      <w:r w:rsidRPr="004B5CAF">
        <w:tab/>
        <w:t xml:space="preserve">budući da je Komisija 8. lipnja 2023. predstavila prijedlog o osnivanju </w:t>
      </w:r>
      <w:proofErr w:type="spellStart"/>
      <w:r w:rsidRPr="004B5CAF">
        <w:t>međuinstitucijskog</w:t>
      </w:r>
      <w:proofErr w:type="spellEnd"/>
      <w:r w:rsidRPr="004B5CAF">
        <w:t xml:space="preserve"> tijela za etička pitanja u kojem je predložila osnivanje tijela za utvrđivanje standarda; budući da je taj prijedlog Komisije bio daleko manje zahtjevan od ambicija iznesenih u rezolucijama Parlamenta, uglavnom zbog nedovoljnih kapaciteta za ispitivanje pojedinačnih slučajeva i mogućih kršenja etičkih pravila te za preporučivanje sankcija;</w:t>
      </w:r>
    </w:p>
    <w:p w:rsidR="00754BF9" w:rsidRPr="004B5CAF" w:rsidRDefault="00754BF9" w:rsidP="00754BF9">
      <w:pPr>
        <w:pStyle w:val="NormalHanging12a"/>
        <w:rPr>
          <w:color w:val="000000"/>
        </w:rPr>
      </w:pPr>
      <w:r w:rsidRPr="004B5CAF">
        <w:t>E.</w:t>
      </w:r>
      <w:r w:rsidRPr="004B5CAF">
        <w:tab/>
        <w:t>budući da su rezolucije Parlamenta od 16. veljače 2023.</w:t>
      </w:r>
      <w:r w:rsidRPr="004B5CAF">
        <w:rPr>
          <w:rStyle w:val="FootnoteReference"/>
        </w:rPr>
        <w:footnoteReference w:id="10"/>
      </w:r>
      <w:r w:rsidRPr="004B5CAF">
        <w:t xml:space="preserve"> te od 12. srpnja 2023.</w:t>
      </w:r>
      <w:r w:rsidRPr="004B5CAF">
        <w:rPr>
          <w:rStyle w:val="FootnoteReference"/>
          <w:color w:val="000000"/>
        </w:rPr>
        <w:footnoteReference w:id="11"/>
      </w:r>
      <w:r w:rsidRPr="004B5CAF">
        <w:t xml:space="preserve"> služile kao pregovarački mandat Parlamenta;</w:t>
      </w:r>
    </w:p>
    <w:p w:rsidR="00754BF9" w:rsidRPr="004B5CAF" w:rsidRDefault="00754BF9" w:rsidP="00754BF9">
      <w:pPr>
        <w:pStyle w:val="NormalHanging12a"/>
      </w:pPr>
      <w:r w:rsidRPr="004B5CAF">
        <w:lastRenderedPageBreak/>
        <w:t>F.</w:t>
      </w:r>
      <w:r w:rsidRPr="004B5CAF">
        <w:tab/>
      </w:r>
      <w:r w:rsidRPr="004B5CAF">
        <w:rPr>
          <w:color w:val="000000"/>
        </w:rPr>
        <w:t xml:space="preserve">budući da će </w:t>
      </w:r>
      <w:proofErr w:type="spellStart"/>
      <w:r w:rsidRPr="004B5CAF">
        <w:rPr>
          <w:color w:val="000000"/>
        </w:rPr>
        <w:t>međuinstitucijsko</w:t>
      </w:r>
      <w:proofErr w:type="spellEnd"/>
      <w:r w:rsidRPr="004B5CAF">
        <w:rPr>
          <w:color w:val="000000"/>
        </w:rPr>
        <w:t xml:space="preserve"> tijelo za etička pitanja doprinijeti jačanju povjerenja u institucije Unije i njihovu demokratskom legitimitetu, kao i izgradnji institucionalne kulture koja se temelji na najvišim etičkim standardima;</w:t>
      </w:r>
    </w:p>
    <w:p w:rsidR="00754BF9" w:rsidRPr="004B5CAF" w:rsidRDefault="00754BF9" w:rsidP="00754BF9">
      <w:pPr>
        <w:pStyle w:val="NormalHanging12a"/>
      </w:pPr>
      <w:r w:rsidRPr="004B5CAF">
        <w:t>G.</w:t>
      </w:r>
      <w:r w:rsidRPr="004B5CAF">
        <w:tab/>
        <w:t xml:space="preserve">budući da trenutačna etička pravila Parlamenta u njegovu Poslovniku predviđaju mnoge standardizirane pisane izjave, uključujući izjave o privatnim interesima, izjave o imovinskom stanju, izjave o svijesti o sukobu interesa za nositelje dužnosti, izvjestitelje, izvjestitelje u sjeni i sudionike u službenom izaslanstvu ili </w:t>
      </w:r>
      <w:proofErr w:type="spellStart"/>
      <w:r w:rsidRPr="004B5CAF">
        <w:t>međuinstitucijskim</w:t>
      </w:r>
      <w:proofErr w:type="spellEnd"/>
      <w:r w:rsidRPr="004B5CAF">
        <w:t xml:space="preserve"> pregovorima, izjave o planiranim sastancima s predstavnicima interesnih skupina, također kada su delegirani njihovim asistentima, izjave o sudjelovanju izvjestitelja na događanjima koja organiziraju treće strane, izjave o darovima i izjave </w:t>
      </w:r>
      <w:proofErr w:type="spellStart"/>
      <w:r w:rsidRPr="004B5CAF">
        <w:t>međuklubova</w:t>
      </w:r>
      <w:proofErr w:type="spellEnd"/>
      <w:r w:rsidRPr="004B5CAF">
        <w:t xml:space="preserve"> ili </w:t>
      </w:r>
      <w:r w:rsidR="00D365B9">
        <w:t>neslužbenih</w:t>
      </w:r>
      <w:r w:rsidR="00D365B9" w:rsidRPr="004B5CAF">
        <w:t xml:space="preserve"> </w:t>
      </w:r>
      <w:r w:rsidRPr="004B5CAF">
        <w:t>skupina o vanjskoj financijskoj potpori;</w:t>
      </w:r>
    </w:p>
    <w:p w:rsidR="00754BF9" w:rsidRPr="004B5CAF" w:rsidRDefault="00754BF9" w:rsidP="00754BF9">
      <w:pPr>
        <w:pStyle w:val="NormalHanging12a"/>
        <w:rPr>
          <w:szCs w:val="24"/>
        </w:rPr>
      </w:pPr>
      <w:r w:rsidRPr="004B5CAF">
        <w:t>1.</w:t>
      </w:r>
      <w:r w:rsidRPr="004B5CAF">
        <w:tab/>
        <w:t>pozdravlja Sporazum kojim se omogućuje razvoj snažnih zajedničkih etičkih standarda i razmjena najboljih praksi te da neovisni stručnjaci</w:t>
      </w:r>
      <w:r w:rsidR="00D365B9">
        <w:t>,</w:t>
      </w:r>
      <w:r w:rsidRPr="004B5CAF">
        <w:t xml:space="preserve"> na zahtjev institucije ili savjetodavnog tijela koje je stranka Sporazuma</w:t>
      </w:r>
      <w:r w:rsidR="00D365B9">
        <w:t>,</w:t>
      </w:r>
      <w:r w:rsidRPr="004B5CAF">
        <w:t xml:space="preserve"> </w:t>
      </w:r>
      <w:r w:rsidR="00D365B9" w:rsidRPr="004B5CAF">
        <w:t xml:space="preserve">ispituju pojedinačne slučajeve </w:t>
      </w:r>
      <w:r w:rsidRPr="004B5CAF">
        <w:t>u pogledu svake izjave njihovih članova;</w:t>
      </w:r>
    </w:p>
    <w:p w:rsidR="00754BF9" w:rsidRPr="004B5CAF" w:rsidRDefault="00754BF9" w:rsidP="00754BF9">
      <w:pPr>
        <w:pStyle w:val="NormalHanging12a"/>
        <w:rPr>
          <w:szCs w:val="24"/>
        </w:rPr>
      </w:pPr>
      <w:r w:rsidRPr="004B5CAF">
        <w:t>2.</w:t>
      </w:r>
      <w:r w:rsidRPr="004B5CAF">
        <w:tab/>
      </w:r>
      <w:r w:rsidR="00200D7A">
        <w:t>naglašava</w:t>
      </w:r>
      <w:r w:rsidRPr="004B5CAF">
        <w:t xml:space="preserve"> da konačnu ovlast za donošenje odluka o provedbi i dalje imaju relevantna tijela institucija ili tijela; napominje da svako savjetovanje s neovisnim stručnjacima o pojedinačnom slučaju započinje zahtjevom u pogledu vlastitih članova stranke Sporazuma u skladu s njezinim internim pravilima; ističe da bi izjave o financijskim interesima kandidata za povjerenike, kao slučajevi na visokoj razini koji nadilaze interese dotične institucije, u pravilu trebali podlijegati ispitivanju neovisnih stručnjaka; </w:t>
      </w:r>
    </w:p>
    <w:p w:rsidR="00754BF9" w:rsidRPr="004B5CAF" w:rsidRDefault="00754BF9" w:rsidP="00754BF9">
      <w:pPr>
        <w:pStyle w:val="NormalHanging12a"/>
        <w:rPr>
          <w:szCs w:val="24"/>
        </w:rPr>
      </w:pPr>
      <w:r w:rsidRPr="004B5CAF">
        <w:t>3.</w:t>
      </w:r>
      <w:r w:rsidRPr="004B5CAF">
        <w:tab/>
        <w:t>ponavlja, međutim, da je Parlament i dalje u potpunosti predan neovisnom etičkom tijelu koje može provoditi istrage na vlastitu inicijativu i izdavati preporuke za sankcije odgovornim tijelima uključenih institucija ili tijela, koje se sastoji od neovisnih stručnjaka kao punopravnih članova, a koje obuhvaća članove institucija i tijela EU-a prije, tijekom i nakon njihova mandata ili službe, kao i osoblje, kako je predvidio u Rezoluciji Parlamenta od 16. rujna 2021.</w:t>
      </w:r>
      <w:r w:rsidRPr="004B5CAF">
        <w:rPr>
          <w:vertAlign w:val="superscript"/>
        </w:rPr>
        <w:footnoteReference w:id="12"/>
      </w:r>
      <w:r w:rsidRPr="004B5CAF">
        <w:rPr>
          <w:rFonts w:ascii="Roboto" w:hAnsi="Roboto"/>
          <w:color w:val="333333"/>
          <w:sz w:val="21"/>
          <w:shd w:val="clear" w:color="auto" w:fill="FFFFFF"/>
        </w:rPr>
        <w:t xml:space="preserve"> </w:t>
      </w:r>
      <w:r w:rsidRPr="004B5CAF">
        <w:t>i ponovio u svojim rezolucijama od 16. veljače 2023.</w:t>
      </w:r>
      <w:r w:rsidRPr="004B5CAF">
        <w:rPr>
          <w:vertAlign w:val="superscript"/>
        </w:rPr>
        <w:footnoteReference w:id="13"/>
      </w:r>
      <w:r w:rsidRPr="004B5CAF">
        <w:t xml:space="preserve"> i od 12. srpnja 2023.</w:t>
      </w:r>
      <w:r w:rsidRPr="004B5CAF">
        <w:rPr>
          <w:vertAlign w:val="superscript"/>
        </w:rPr>
        <w:footnoteReference w:id="14"/>
      </w:r>
      <w:r w:rsidRPr="004B5CAF">
        <w:t>;</w:t>
      </w:r>
    </w:p>
    <w:p w:rsidR="00754BF9" w:rsidRPr="004B5CAF" w:rsidRDefault="00754BF9" w:rsidP="00754BF9">
      <w:pPr>
        <w:pStyle w:val="NormalHanging12a"/>
      </w:pPr>
      <w:r w:rsidRPr="004B5CAF">
        <w:t>4.</w:t>
      </w:r>
      <w:r w:rsidRPr="004B5CAF">
        <w:tab/>
        <w:t>žali zbog toga što je Europsko vijeće odlučilo da neće pristupiti Sporazumu;</w:t>
      </w:r>
    </w:p>
    <w:p w:rsidR="00754BF9" w:rsidRPr="004B5CAF" w:rsidRDefault="00754BF9" w:rsidP="00754BF9">
      <w:pPr>
        <w:pStyle w:val="NormalHanging12a"/>
        <w:rPr>
          <w:szCs w:val="24"/>
        </w:rPr>
      </w:pPr>
      <w:r w:rsidRPr="004B5CAF">
        <w:t>5.</w:t>
      </w:r>
      <w:r w:rsidRPr="004B5CAF">
        <w:tab/>
        <w:t>žali zbog nespremnosti Vijeća da proširi područje primjene Sporazuma barem na predstavnike na ministarskoj razini države članice koja predsjeda Vijećem, tvrdeći da u Ugovorima ne postoji pravna osnova za donošenje zajedničkih minimalnih standarda koji se primjenjuju na predstavnike država članica; obvezuje se da će iskoristiti prvu reviziju Sporazuma za rješavanje te pravne praznine i u međuvremenu poziva nadolazeća predsjedništva Vijeća da dobrovoljno primjenjuju njegove odredbe; smatra da bi članovi Vijeća, kao i zastupnici u Europskom parlamentu, mogli biti obvezani pravilima koja je utvrdilo Vijeće u skladu sa svojom ovlasti samoorganizacije, koja bi prevladavala u slučaju sukoba s nacionalnim pravilima; u tom kontekstu ističe da predstavnici država članica okupljeni u Vijeću djeluju u svojstvu članova Vijeća pri donošenju pravnih akata EU-a; obvezuje se da će tražiti pravno pojašnjenje o tome bi li Vijeće moglo obvezati svoje članove na temelju zajedničkih minimalnih standarda;</w:t>
      </w:r>
    </w:p>
    <w:p w:rsidR="00754BF9" w:rsidRPr="004B5CAF" w:rsidRDefault="00754BF9" w:rsidP="00754BF9">
      <w:pPr>
        <w:pStyle w:val="NormalHanging12a"/>
        <w:rPr>
          <w:szCs w:val="24"/>
        </w:rPr>
      </w:pPr>
      <w:r w:rsidRPr="004B5CAF">
        <w:t>6.</w:t>
      </w:r>
      <w:r w:rsidRPr="004B5CAF">
        <w:tab/>
        <w:t xml:space="preserve">smatra da dostupna sredstva moraju omogućiti pravilno funkcioniranje </w:t>
      </w:r>
      <w:proofErr w:type="spellStart"/>
      <w:r w:rsidR="00DC61BE">
        <w:t>međuinstitucijskog</w:t>
      </w:r>
      <w:proofErr w:type="spellEnd"/>
      <w:r w:rsidRPr="004B5CAF">
        <w:t xml:space="preserve"> tijela </w:t>
      </w:r>
      <w:r w:rsidR="00DC61BE">
        <w:t xml:space="preserve">za etičke standarde („Tijelo”) </w:t>
      </w:r>
      <w:r w:rsidRPr="004B5CAF">
        <w:t xml:space="preserve">koje se sastoji od jednog predstavnika svake stranke Sporazuma i pet neovisnih stručnjaka koji pomažu predstavnicima institucija i pridružuju se </w:t>
      </w:r>
      <w:r w:rsidR="00DC61BE">
        <w:t>T</w:t>
      </w:r>
      <w:r w:rsidRPr="004B5CAF">
        <w:t>ijelu kao promatrači, kao i svaku potrebnu potporu tom tijelu; žali zbog toga što u skladu s člankom 17. Sporazuma sve troškove koji proizlaze iz savjetovanja s neovisnim stručnjacima snosi stranka koja podnosi zahtjev jer bi to moglo dovesti do ograničenja broja takvih savjetovanja;</w:t>
      </w:r>
    </w:p>
    <w:p w:rsidR="00754BF9" w:rsidRPr="004B5CAF" w:rsidRDefault="00754BF9" w:rsidP="00754BF9">
      <w:pPr>
        <w:pStyle w:val="NormalHanging12a"/>
      </w:pPr>
      <w:r w:rsidRPr="004B5CAF">
        <w:t>7.</w:t>
      </w:r>
      <w:r w:rsidRPr="004B5CAF">
        <w:tab/>
        <w:t>smatra da neovisni stručnjaci, koji se imenuju konsenzusom stranaka Sporazuma, moraju imati stručno iskustvo, posebno u području etike, integriteta i transparentnosti, uz zahtjeve navedene u članku 5. stavku 2. Sporazuma koji se odnose na besprijekornu evidenciju profesionalnog ponašanja i iskustva na visokim funkcijama u europskim, nacionalnim ili međunarodnim javnim organizacijama;</w:t>
      </w:r>
    </w:p>
    <w:p w:rsidR="00754BF9" w:rsidRPr="004B5CAF" w:rsidRDefault="00754BF9" w:rsidP="00754BF9">
      <w:pPr>
        <w:pStyle w:val="NormalHanging12a"/>
      </w:pPr>
      <w:r w:rsidRPr="004B5CAF">
        <w:t>8.</w:t>
      </w:r>
      <w:r w:rsidRPr="004B5CAF">
        <w:tab/>
        <w:t>naglašava ključnu ulogu neovisnih stručnjaka u ispitivanju pojedinačnih slučajeva na zahtjev određene stranke Sporazuma; smatra da bi</w:t>
      </w:r>
      <w:r w:rsidR="00200D7A">
        <w:t xml:space="preserve"> </w:t>
      </w:r>
      <w:r w:rsidRPr="004B5CAF">
        <w:t>bil</w:t>
      </w:r>
      <w:r w:rsidR="00200D7A">
        <w:t>o</w:t>
      </w:r>
      <w:r w:rsidRPr="004B5CAF">
        <w:t xml:space="preserve"> vrlo korisn</w:t>
      </w:r>
      <w:r w:rsidR="00200D7A">
        <w:t>o</w:t>
      </w:r>
      <w:r w:rsidRPr="004B5CAF">
        <w:t xml:space="preserve"> za razvoj ili ažuriranje etičkog standarda</w:t>
      </w:r>
      <w:r w:rsidR="00200D7A" w:rsidRPr="00200D7A">
        <w:t xml:space="preserve"> </w:t>
      </w:r>
      <w:r w:rsidR="00200D7A">
        <w:t>kada</w:t>
      </w:r>
      <w:r w:rsidR="00200D7A" w:rsidRPr="004B5CAF">
        <w:t xml:space="preserve"> bi svaka stranka </w:t>
      </w:r>
      <w:r w:rsidR="00200D7A">
        <w:t>slala</w:t>
      </w:r>
      <w:r w:rsidR="00200D7A" w:rsidRPr="004B5CAF">
        <w:t xml:space="preserve"> mali nasumični uzorak predmeta neovisnim stručnjacima</w:t>
      </w:r>
      <w:r w:rsidRPr="004B5CAF">
        <w:t>;</w:t>
      </w:r>
    </w:p>
    <w:p w:rsidR="00754BF9" w:rsidRPr="004B5CAF" w:rsidRDefault="00754BF9" w:rsidP="00754BF9">
      <w:pPr>
        <w:pStyle w:val="NormalHanging12a"/>
        <w:rPr>
          <w:szCs w:val="24"/>
        </w:rPr>
      </w:pPr>
      <w:r w:rsidRPr="004B5CAF">
        <w:t>9.</w:t>
      </w:r>
      <w:r w:rsidRPr="004B5CAF">
        <w:tab/>
        <w:t xml:space="preserve">smatra da bi se </w:t>
      </w:r>
      <w:r w:rsidR="00DC61BE">
        <w:t>T</w:t>
      </w:r>
      <w:r w:rsidRPr="004B5CAF">
        <w:t>ijelo trebalo oslanjati na postojeće ovlasti institucija da od svojih članova zatraže informacije ili na suglasnost nacionalnih tijela za razmjenu informacija; smatra da bi neovisni stručnjaci trebali moći razmjenjivati informacije s nacionalnim tijelima kada je to potrebno za obavljanje njihovih zadaća, pri čemu bi s takvim informacijama trebali postupati s razinom povjerljivosti jednakoj onoj koja se zahtijeva od tijela koje ih pruža; u tom pogledu naglašava da bi neovisni stručnjaci trebali imati pristup administrativnim dokumentima uključenih strana, posebno stranke koja se s njima savjetuje o predmetu, kako bi im se omogućilo provođenje dobro obrazloženih i dobro dokumentiranih procjena;</w:t>
      </w:r>
    </w:p>
    <w:p w:rsidR="00754BF9" w:rsidRPr="004B5CAF" w:rsidRDefault="00754BF9" w:rsidP="00754BF9">
      <w:pPr>
        <w:pStyle w:val="NormalHanging12a"/>
      </w:pPr>
      <w:r w:rsidRPr="004B5CAF">
        <w:t>10.</w:t>
      </w:r>
      <w:r w:rsidRPr="004B5CAF">
        <w:tab/>
        <w:t xml:space="preserve">napominje da neovisni stručnjaci među sobom imenuju </w:t>
      </w:r>
      <w:r w:rsidR="00200D7A">
        <w:t>glasno</w:t>
      </w:r>
      <w:r w:rsidRPr="004B5CAF">
        <w:t>govornika; smatra da bi neovisni stručnjaci trebali imati potpunu autonomiju u organizaciji svojeg rada, kao i u sazivanju vlastitih sastanaka;</w:t>
      </w:r>
    </w:p>
    <w:p w:rsidR="00754BF9" w:rsidRPr="004B5CAF" w:rsidRDefault="00754BF9" w:rsidP="00754BF9">
      <w:pPr>
        <w:pStyle w:val="NormalHanging12a"/>
      </w:pPr>
      <w:r w:rsidRPr="004B5CAF">
        <w:t>11.</w:t>
      </w:r>
      <w:r w:rsidRPr="004B5CAF">
        <w:tab/>
        <w:t xml:space="preserve">smatra da bi institucija ili </w:t>
      </w:r>
      <w:r w:rsidR="00DC61BE">
        <w:t xml:space="preserve">savjetodavno </w:t>
      </w:r>
      <w:r w:rsidRPr="004B5CAF">
        <w:t>tijelo trebali objaviti obrazloženu preporuku neovisnih stručnjaka, ne dovodeći u pitanje Opću uredbu o zaštiti podataka i osobna prava, zajedno s odlukom nadležnog tijela, koje bi trebalo dati objašnjenje ako se preporuke ne slijede u potpunosti;</w:t>
      </w:r>
    </w:p>
    <w:p w:rsidR="00754BF9" w:rsidRPr="004B5CAF" w:rsidRDefault="00754BF9" w:rsidP="00754BF9">
      <w:pPr>
        <w:pStyle w:val="NormalHanging12a"/>
        <w:rPr>
          <w:szCs w:val="24"/>
        </w:rPr>
      </w:pPr>
      <w:r w:rsidRPr="004B5CAF">
        <w:t>12.</w:t>
      </w:r>
      <w:r w:rsidRPr="004B5CAF">
        <w:tab/>
        <w:t xml:space="preserve">poziva </w:t>
      </w:r>
      <w:r w:rsidR="00DC61BE">
        <w:t>T</w:t>
      </w:r>
      <w:r w:rsidRPr="004B5CAF">
        <w:t xml:space="preserve">ijelo da bude primjer u pogledu transparentnosti objavljivanjem svih preporuka, godišnjih izvješća, odluka i evidencija o potrošnji u strojno čitljivom formatu otvorenih podataka koji je dostupan svim građanima i u skladu s primjenjivim pravilima o zaštiti podataka, uključujući, među ostalim, pisano mišljenje neovisnih stručnjaka o </w:t>
      </w:r>
      <w:proofErr w:type="spellStart"/>
      <w:r w:rsidRPr="004B5CAF">
        <w:t>samoprocjenama</w:t>
      </w:r>
      <w:proofErr w:type="spellEnd"/>
      <w:r w:rsidRPr="004B5CAF">
        <w:t xml:space="preserve"> institucija u skladu s člankom 10. </w:t>
      </w:r>
      <w:r w:rsidR="00DC61BE">
        <w:t xml:space="preserve">Sporazuma </w:t>
      </w:r>
      <w:r w:rsidRPr="004B5CAF">
        <w:t xml:space="preserve">te </w:t>
      </w:r>
      <w:proofErr w:type="spellStart"/>
      <w:r w:rsidRPr="004B5CAF">
        <w:t>anonimizirani</w:t>
      </w:r>
      <w:proofErr w:type="spellEnd"/>
      <w:r w:rsidRPr="004B5CAF">
        <w:t xml:space="preserve"> i zbirni godišnji financijski izvještaj za svaku godinu u kojem se u zbirnom i </w:t>
      </w:r>
      <w:proofErr w:type="spellStart"/>
      <w:r w:rsidRPr="004B5CAF">
        <w:t>anonimiziranom</w:t>
      </w:r>
      <w:proofErr w:type="spellEnd"/>
      <w:r w:rsidRPr="004B5CAF">
        <w:t xml:space="preserve"> obliku sažimaju savjetovanja i pitanja koja su stranke podnijele te mjere za daljnje postupanje u skladu s člankom 7. stavkom 4.</w:t>
      </w:r>
      <w:r w:rsidR="00DC61BE">
        <w:t xml:space="preserve"> Sporazuma</w:t>
      </w:r>
      <w:r w:rsidRPr="004B5CAF">
        <w:t>; naglašava važnost odgovarajuće zaštite privatnosti dotičnih pojedinaca i pretpostavke nedužnosti; poziva stranke Sporazuma da izrade zajedničke smjernice za savjetovanje s neovisnim stručnjacima i objavljivanje njihovih preporuka;</w:t>
      </w:r>
    </w:p>
    <w:p w:rsidR="00754BF9" w:rsidRDefault="00754BF9" w:rsidP="00754BF9">
      <w:pPr>
        <w:pStyle w:val="NormalHanging12a"/>
      </w:pPr>
      <w:r w:rsidRPr="004B5CAF">
        <w:t>13.</w:t>
      </w:r>
      <w:r w:rsidRPr="004B5CAF">
        <w:tab/>
        <w:t xml:space="preserve">smatra da bi, kako bi bilo potpuno učinkovito, </w:t>
      </w:r>
      <w:r w:rsidR="00DC61BE">
        <w:t>T</w:t>
      </w:r>
      <w:r w:rsidRPr="004B5CAF">
        <w:t>ijelo trebalo kombinirati funkcije postojećih tijela odgovornih za etiku te da bi se stoga, u slučajevima u kojima je potrebno posebno razmatranje ili u svrhu razvoja ili ažuriranja etičkog standarda, svaka stranka sudionica trebala savjetovati s neovisnim stručnjacima;</w:t>
      </w:r>
    </w:p>
    <w:p w:rsidR="00F75B03" w:rsidRPr="00F75B03" w:rsidRDefault="00F75B03" w:rsidP="00754BF9">
      <w:pPr>
        <w:pStyle w:val="NormalHanging12a"/>
      </w:pPr>
      <w:r w:rsidRPr="00F75B03">
        <w:t>14.</w:t>
      </w:r>
      <w:r w:rsidRPr="00B37186">
        <w:tab/>
      </w:r>
      <w:r w:rsidR="00AB564C">
        <w:t>n</w:t>
      </w:r>
      <w:r w:rsidRPr="00B37186">
        <w:t xml:space="preserve">aglašava da postoji potreba za utvrđivanjem načina na koji će se odrediti mandat potpredsjednika koji </w:t>
      </w:r>
      <w:r w:rsidR="00AB564C" w:rsidRPr="00AB564C">
        <w:t xml:space="preserve">predstavlja Parlament u </w:t>
      </w:r>
      <w:r w:rsidR="00AB564C">
        <w:t>T</w:t>
      </w:r>
      <w:r w:rsidRPr="00B37186">
        <w:t>ijelu i uspostavljanje odgovarajućih mehanizama odgovornosti;</w:t>
      </w:r>
    </w:p>
    <w:p w:rsidR="00F75B03" w:rsidRPr="00F75B03" w:rsidRDefault="00F75B03" w:rsidP="00754BF9">
      <w:pPr>
        <w:pStyle w:val="NormalHanging12a"/>
      </w:pPr>
      <w:r w:rsidRPr="00F75B03">
        <w:t>15.</w:t>
      </w:r>
      <w:r w:rsidRPr="00B37186">
        <w:tab/>
      </w:r>
      <w:r w:rsidR="00AB564C">
        <w:t>s</w:t>
      </w:r>
      <w:r w:rsidRPr="00B37186">
        <w:t>matra da je potrebno razjasniti tko bi bio zamjensk</w:t>
      </w:r>
      <w:r w:rsidR="00AB564C">
        <w:t xml:space="preserve">i predstavnik Parlamenta u </w:t>
      </w:r>
      <w:r w:rsidR="00AB564C" w:rsidRPr="00AB564C">
        <w:t>T</w:t>
      </w:r>
      <w:r w:rsidRPr="00B37186">
        <w:t>ijelu</w:t>
      </w:r>
      <w:r w:rsidRPr="00F75B03">
        <w:t>;</w:t>
      </w:r>
    </w:p>
    <w:p w:rsidR="00F75B03" w:rsidRPr="00F75B03" w:rsidRDefault="00F75B03" w:rsidP="00754BF9">
      <w:pPr>
        <w:pStyle w:val="NormalHanging12a"/>
        <w:rPr>
          <w:szCs w:val="24"/>
        </w:rPr>
      </w:pPr>
      <w:r w:rsidRPr="00F75B03">
        <w:t>16.</w:t>
      </w:r>
      <w:r w:rsidRPr="00B37186">
        <w:tab/>
      </w:r>
      <w:r w:rsidR="00AB564C">
        <w:t>s</w:t>
      </w:r>
      <w:r w:rsidRPr="00B37186">
        <w:t>matra da bi Odbor za ustavna pitanja trebao igrati ulogu u određivanju mandata potpredsjednika ko</w:t>
      </w:r>
      <w:r w:rsidR="00AB564C">
        <w:t>ji predstavlja Parlament u</w:t>
      </w:r>
      <w:r w:rsidR="00AB564C" w:rsidRPr="00AB564C">
        <w:t xml:space="preserve"> T</w:t>
      </w:r>
      <w:r w:rsidRPr="00B37186">
        <w:t>ijelu; kao i pozivanje na odgovornost potpredsjednika i zamjenika; smatra da je najvažnije da zastupnici u Parlamentu imaju mišljenje o razvoju standarda koji će za njih biti obvezujući;</w:t>
      </w:r>
    </w:p>
    <w:p w:rsidR="00754BF9" w:rsidRPr="004B5CAF" w:rsidRDefault="00754BF9" w:rsidP="00754BF9">
      <w:pPr>
        <w:pStyle w:val="NormalHanging12a"/>
      </w:pPr>
      <w:r w:rsidRPr="004B5CAF">
        <w:t>1</w:t>
      </w:r>
      <w:r w:rsidR="00742318">
        <w:t>7</w:t>
      </w:r>
      <w:r w:rsidRPr="004B5CAF">
        <w:t>.</w:t>
      </w:r>
      <w:r w:rsidRPr="004B5CAF">
        <w:tab/>
      </w:r>
      <w:r w:rsidR="00200D7A">
        <w:t>ostaje</w:t>
      </w:r>
      <w:r w:rsidRPr="004B5CAF">
        <w:t xml:space="preserve"> predan konstruktivnom sudjelovanju u reviziji Sporazuma koja će se provesti tri godine nakon njegova stupanja na snagu kako bi se poboljšalo i unaprijedilo </w:t>
      </w:r>
      <w:r w:rsidR="00DC61BE">
        <w:t>T</w:t>
      </w:r>
      <w:r w:rsidRPr="004B5CAF">
        <w:t>ijelo, kako je predviđeno člankom 21. Sporazuma;</w:t>
      </w:r>
    </w:p>
    <w:p w:rsidR="00754BF9" w:rsidRPr="004B5CAF" w:rsidRDefault="00754BF9" w:rsidP="00754BF9">
      <w:pPr>
        <w:pStyle w:val="NormalHanging12a"/>
      </w:pPr>
      <w:r w:rsidRPr="004B5CAF">
        <w:t>1</w:t>
      </w:r>
      <w:r w:rsidR="00742318">
        <w:t>8</w:t>
      </w:r>
      <w:r w:rsidRPr="004B5CAF">
        <w:t>.</w:t>
      </w:r>
      <w:r w:rsidRPr="004B5CAF">
        <w:tab/>
        <w:t xml:space="preserve">podsjeća na svoje stajalište da bi </w:t>
      </w:r>
      <w:r w:rsidR="00DC61BE">
        <w:t>T</w:t>
      </w:r>
      <w:r w:rsidRPr="004B5CAF">
        <w:t>ijelo trebalo moći na vlastitu inicijativu istraživati navodna kršenja etičkih pravila od strane dužnosnika i osoblja institucija EU-a te provoditi istrage na licu mjesta i na temelju evidencije koristeći se informacijama koje je prikupilo ili koje je primilo od trećih strana;</w:t>
      </w:r>
    </w:p>
    <w:p w:rsidR="00754BF9" w:rsidRPr="004B5CAF" w:rsidRDefault="00754BF9" w:rsidP="00754BF9">
      <w:pPr>
        <w:pStyle w:val="NormalHanging12a"/>
      </w:pPr>
      <w:r w:rsidRPr="004B5CAF">
        <w:t>1</w:t>
      </w:r>
      <w:r w:rsidR="00742318">
        <w:t>9</w:t>
      </w:r>
      <w:r w:rsidRPr="004B5CAF">
        <w:t>.</w:t>
      </w:r>
      <w:r w:rsidRPr="004B5CAF">
        <w:tab/>
        <w:t>odobrava sklapanje Sporazuma u prilogu;</w:t>
      </w:r>
    </w:p>
    <w:p w:rsidR="00754BF9" w:rsidRPr="004B5CAF" w:rsidRDefault="00742318" w:rsidP="00754BF9">
      <w:pPr>
        <w:pStyle w:val="NormalHanging12a"/>
      </w:pPr>
      <w:r>
        <w:t>20</w:t>
      </w:r>
      <w:r w:rsidR="00754BF9" w:rsidRPr="004B5CAF">
        <w:t>.</w:t>
      </w:r>
      <w:r w:rsidR="00754BF9" w:rsidRPr="004B5CAF">
        <w:tab/>
        <w:t>nalaže svojoj predsjednici da potpiše Sporazum zajedno s predsjednikom Vijeća, predsjednikom Komisije, predsjednikom Suda Europske unije, predsjednicom Europske središnje banke, predsjednikom Revizorskog suda, predsjednikom Europskog</w:t>
      </w:r>
      <w:r w:rsidR="00200D7A">
        <w:t>a</w:t>
      </w:r>
      <w:r w:rsidR="00754BF9" w:rsidRPr="004B5CAF">
        <w:t xml:space="preserve"> gospodarskog i socijalnog odbora i predsjednikom Odbora regija te da ga da na objavu u </w:t>
      </w:r>
      <w:r w:rsidR="00754BF9" w:rsidRPr="004B5CAF">
        <w:rPr>
          <w:i/>
        </w:rPr>
        <w:t>Službenom listu Europske unije</w:t>
      </w:r>
      <w:r w:rsidR="00754BF9" w:rsidRPr="004B5CAF">
        <w:t>;</w:t>
      </w:r>
    </w:p>
    <w:p w:rsidR="00754BF9" w:rsidRPr="004B5CAF" w:rsidRDefault="00742318" w:rsidP="00754BF9">
      <w:pPr>
        <w:pStyle w:val="NormalHanging12a"/>
      </w:pPr>
      <w:r>
        <w:t>21</w:t>
      </w:r>
      <w:r w:rsidR="00754BF9" w:rsidRPr="004B5CAF">
        <w:t>.</w:t>
      </w:r>
      <w:r w:rsidR="00754BF9" w:rsidRPr="004B5CAF">
        <w:tab/>
        <w:t>nalaže svojoj predsjednici da ovu Odluku, zajedno s njezinim prilogom, proslijedi svim strankama Sporazuma radi obavijesti.</w:t>
      </w:r>
    </w:p>
    <w:p w:rsidR="00754BF9" w:rsidRPr="004B5CAF" w:rsidRDefault="00754BF9" w:rsidP="00754BF9">
      <w:bookmarkStart w:id="8" w:name="_Toc72735704"/>
    </w:p>
    <w:p w:rsidR="00754BF9" w:rsidRPr="004B5CAF" w:rsidRDefault="00754BF9" w:rsidP="00754BF9">
      <w:pPr>
        <w:sectPr w:rsidR="00754BF9" w:rsidRPr="004B5CAF" w:rsidSect="00190F11">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7371E" w:rsidRPr="0047493E" w:rsidRDefault="0007371E" w:rsidP="0007371E">
      <w:pPr>
        <w:pStyle w:val="PageHeading"/>
        <w:jc w:val="right"/>
        <w:rPr>
          <w:rFonts w:ascii="Times New Roman" w:hAnsi="Times New Roman" w:cs="Times New Roman"/>
        </w:rPr>
      </w:pPr>
      <w:bookmarkStart w:id="9" w:name="_Toc164791500"/>
      <w:bookmarkEnd w:id="8"/>
      <w:r w:rsidRPr="0047493E">
        <w:rPr>
          <w:rFonts w:ascii="Times New Roman" w:hAnsi="Times New Roman" w:cs="Times New Roman"/>
        </w:rPr>
        <w:t>PRILOG</w:t>
      </w:r>
    </w:p>
    <w:p w:rsidR="00754BF9" w:rsidRPr="0007371E" w:rsidRDefault="00754BF9" w:rsidP="0007371E">
      <w:pPr>
        <w:pStyle w:val="PageHeading"/>
        <w:rPr>
          <w:rFonts w:ascii="Times New Roman" w:hAnsi="Times New Roman" w:cs="Times New Roman"/>
        </w:rPr>
      </w:pPr>
      <w:r w:rsidRPr="0007371E">
        <w:rPr>
          <w:rFonts w:ascii="Times New Roman" w:hAnsi="Times New Roman" w:cs="Times New Roman"/>
        </w:rPr>
        <w:t>SPORAZUM IZMEĐU EUROPSKOG PARLAMENTA, VIJEĆA</w:t>
      </w:r>
      <w:r w:rsidR="0007371E" w:rsidRPr="0007371E">
        <w:rPr>
          <w:rFonts w:ascii="Times New Roman" w:hAnsi="Times New Roman" w:cs="Times New Roman"/>
        </w:rPr>
        <w:t xml:space="preserve"> EUROPSKE UNIJE</w:t>
      </w:r>
      <w:r w:rsidRPr="0007371E">
        <w:rPr>
          <w:rFonts w:ascii="Times New Roman" w:hAnsi="Times New Roman" w:cs="Times New Roman"/>
        </w:rPr>
        <w:t xml:space="preserve">, EUROPSKE KOMISIJE, SUDA EUROPSKE UNIJE, EUROPSKE SREDIŠNJE BANKE, EUROPSKOG REVIZORSKOG SUDA, EUROPSKOG GOSPODARSKOG I SOCIJALNOG ODBORA I EUROPSKOG ODBORA REGIJA O OSNIVANJU MEĐUINSTITUCIJSKOG TIJELA ZA ETIČKE STANDARDE ZA ČLANOVE INSTITUCIJA </w:t>
      </w:r>
      <w:r w:rsidR="0007371E" w:rsidRPr="0007371E">
        <w:rPr>
          <w:rFonts w:ascii="Times New Roman" w:hAnsi="Times New Roman" w:cs="Times New Roman"/>
        </w:rPr>
        <w:t>I SAVJETODAVNIH TIJELA IZ ČLANKA</w:t>
      </w:r>
      <w:r w:rsidRPr="0007371E">
        <w:rPr>
          <w:rFonts w:ascii="Times New Roman" w:hAnsi="Times New Roman" w:cs="Times New Roman"/>
        </w:rPr>
        <w:t> 13. UGOVORA O EUROPSKOJ UNIJI</w:t>
      </w:r>
      <w:bookmarkEnd w:id="9"/>
    </w:p>
    <w:p w:rsidR="00754BF9" w:rsidRPr="004B5CAF" w:rsidRDefault="0047493E" w:rsidP="00754BF9">
      <w:r>
        <w:rPr>
          <w:i/>
        </w:rPr>
        <w:t>(</w:t>
      </w:r>
      <w:r>
        <w:rPr>
          <w:i/>
        </w:rPr>
        <w:t xml:space="preserve">Tekst ovog priloga nije naveden ovdje budući da odgovara međuinstitucionalnom sporazumu objavljenom u SL L </w:t>
      </w:r>
      <w:r w:rsidRPr="0014481D">
        <w:rPr>
          <w:i/>
        </w:rPr>
        <w:t xml:space="preserve">2024/1365, 17.5.2024, ELI: </w:t>
      </w:r>
      <w:hyperlink r:id="rId11" w:history="1">
        <w:r w:rsidRPr="0014481D">
          <w:rPr>
            <w:rStyle w:val="Hyperlink"/>
            <w:i/>
          </w:rPr>
          <w:t>http://data.europa.eu/eli/agree_interinstit/2024/1365/oj</w:t>
        </w:r>
      </w:hyperlink>
      <w:r w:rsidRPr="0014481D">
        <w:rPr>
          <w:i/>
        </w:rPr>
        <w:t>.</w:t>
      </w:r>
      <w:r w:rsidRPr="0047493E">
        <w:t>)</w:t>
      </w:r>
      <w:bookmarkStart w:id="10" w:name="_GoBack"/>
      <w:bookmarkEnd w:id="10"/>
    </w:p>
    <w:sectPr w:rsidR="00754BF9" w:rsidRPr="004B5CAF" w:rsidSect="00190F11">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7058" w:rsidRPr="00190F11" w:rsidRDefault="00E27058">
      <w:r w:rsidRPr="00190F11">
        <w:separator/>
      </w:r>
    </w:p>
  </w:endnote>
  <w:endnote w:type="continuationSeparator" w:id="0">
    <w:p w:rsidR="00E27058" w:rsidRPr="00190F11" w:rsidRDefault="00E27058">
      <w:r w:rsidRPr="00190F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Roboto">
    <w:altName w:val="Times New Roman"/>
    <w:charset w:val="00"/>
    <w:family w:val="auto"/>
    <w:pitch w:val="variable"/>
    <w:sig w:usb0="E0000AFF" w:usb1="5000217F" w:usb2="00000021" w:usb3="00000000" w:csb0="0000019F" w:csb1="00000000"/>
  </w:font>
  <w:font w:name="DengXian Light">
    <w:altName w:val="等线 Light"/>
    <w:panose1 w:val="00000000000000000000"/>
    <w:charset w:val="86"/>
    <w:family w:val="roman"/>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4BF9" w:rsidRPr="00190F11" w:rsidRDefault="00754BF9" w:rsidP="00B12071">
    <w:pPr>
      <w:pStyle w:val="EPFooter"/>
    </w:pPr>
    <w:r w:rsidRPr="00190F11">
      <w:t>PE</w:t>
    </w:r>
    <w:r w:rsidRPr="00190F11">
      <w:rPr>
        <w:rStyle w:val="HideTWBExt"/>
      </w:rPr>
      <w:t>&lt;</w:t>
    </w:r>
    <w:proofErr w:type="spellStart"/>
    <w:r w:rsidRPr="00190F11">
      <w:rPr>
        <w:rStyle w:val="HideTWBExt"/>
      </w:rPr>
      <w:t>NoPE</w:t>
    </w:r>
    <w:proofErr w:type="spellEnd"/>
    <w:r w:rsidRPr="00190F11">
      <w:rPr>
        <w:rStyle w:val="HideTWBExt"/>
      </w:rPr>
      <w:t>&gt;</w:t>
    </w:r>
    <w:r w:rsidRPr="00190F11">
      <w:t>759.998</w:t>
    </w:r>
    <w:r w:rsidRPr="00190F11">
      <w:rPr>
        <w:rStyle w:val="HideTWBExt"/>
      </w:rPr>
      <w:t>&lt;/</w:t>
    </w:r>
    <w:proofErr w:type="spellStart"/>
    <w:r w:rsidRPr="00190F11">
      <w:rPr>
        <w:rStyle w:val="HideTWBExt"/>
      </w:rPr>
      <w:t>NoPE</w:t>
    </w:r>
    <w:proofErr w:type="spellEnd"/>
    <w:r w:rsidRPr="00190F11">
      <w:rPr>
        <w:rStyle w:val="HideTWBExt"/>
      </w:rPr>
      <w:t>&gt;&lt;Version&gt;</w:t>
    </w:r>
    <w:r w:rsidRPr="00190F11">
      <w:t>v02-00</w:t>
    </w:r>
    <w:r w:rsidRPr="00190F11">
      <w:rPr>
        <w:rStyle w:val="HideTWBExt"/>
      </w:rPr>
      <w:t>&lt;/</w:t>
    </w:r>
    <w:proofErr w:type="spellStart"/>
    <w:r w:rsidRPr="00190F11">
      <w:rPr>
        <w:rStyle w:val="HideTWBExt"/>
      </w:rPr>
      <w:t>Version</w:t>
    </w:r>
    <w:proofErr w:type="spellEnd"/>
    <w:r w:rsidRPr="00190F11">
      <w:rPr>
        <w:rStyle w:val="HideTWBExt"/>
      </w:rPr>
      <w:t>&gt;</w:t>
    </w:r>
    <w:r w:rsidRPr="00190F11">
      <w:tab/>
    </w:r>
    <w:r w:rsidRPr="00190F11">
      <w:fldChar w:fldCharType="begin"/>
    </w:r>
    <w:r w:rsidRPr="00190F11">
      <w:instrText xml:space="preserve"> PAGE  \* MERGEFORMAT </w:instrText>
    </w:r>
    <w:r w:rsidRPr="00190F11">
      <w:fldChar w:fldCharType="separate"/>
    </w:r>
    <w:r w:rsidRPr="00190F11">
      <w:rPr>
        <w:noProof/>
      </w:rPr>
      <w:t>4</w:t>
    </w:r>
    <w:r w:rsidRPr="00190F11">
      <w:fldChar w:fldCharType="end"/>
    </w:r>
    <w:r w:rsidRPr="00190F11">
      <w:t>/</w:t>
    </w:r>
    <w:fldSimple w:instr=" NUMPAGES  \* MERGEFORMAT ">
      <w:r w:rsidRPr="00190F11">
        <w:rPr>
          <w:noProof/>
        </w:rPr>
        <w:t>4</w:t>
      </w:r>
    </w:fldSimple>
    <w:r w:rsidRPr="00190F11">
      <w:tab/>
    </w:r>
    <w:r w:rsidRPr="00190F11">
      <w:rPr>
        <w:rStyle w:val="HideTWBExt"/>
      </w:rPr>
      <w:t>&lt;PathFdR&gt;</w:t>
    </w:r>
    <w:r w:rsidRPr="00190F11">
      <w:t>RR\1301643HR.docx</w:t>
    </w:r>
    <w:r w:rsidRPr="00190F11">
      <w:rPr>
        <w:rStyle w:val="HideTWBExt"/>
      </w:rPr>
      <w:t>&lt;/</w:t>
    </w:r>
    <w:proofErr w:type="spellStart"/>
    <w:r w:rsidRPr="00190F11">
      <w:rPr>
        <w:rStyle w:val="HideTWBExt"/>
      </w:rPr>
      <w:t>PathFdR</w:t>
    </w:r>
    <w:proofErr w:type="spellEnd"/>
    <w:r w:rsidRPr="00190F11">
      <w:rPr>
        <w:rStyle w:val="HideTWBExt"/>
      </w:rPr>
      <w:t>&gt;</w:t>
    </w:r>
  </w:p>
  <w:p w:rsidR="00754BF9" w:rsidRPr="00190F11" w:rsidRDefault="00754BF9" w:rsidP="00B12071">
    <w:pPr>
      <w:pStyle w:val="EPFooter2"/>
    </w:pPr>
    <w:r w:rsidRPr="00190F11">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4BF9" w:rsidRPr="00190F11" w:rsidRDefault="00754BF9" w:rsidP="00B12071">
    <w:pPr>
      <w:pStyle w:val="EPFooter"/>
    </w:pPr>
    <w:r w:rsidRPr="00190F11">
      <w:rPr>
        <w:rStyle w:val="HideTWBExt"/>
      </w:rPr>
      <w:t>&lt;PathFdR&gt;</w:t>
    </w:r>
    <w:r w:rsidRPr="00190F11">
      <w:t>RR\1301643HR.docx</w:t>
    </w:r>
    <w:r w:rsidRPr="00190F11">
      <w:rPr>
        <w:rStyle w:val="HideTWBExt"/>
      </w:rPr>
      <w:t>&lt;/</w:t>
    </w:r>
    <w:proofErr w:type="spellStart"/>
    <w:r w:rsidRPr="00190F11">
      <w:rPr>
        <w:rStyle w:val="HideTWBExt"/>
      </w:rPr>
      <w:t>PathFdR</w:t>
    </w:r>
    <w:proofErr w:type="spellEnd"/>
    <w:r w:rsidRPr="00190F11">
      <w:rPr>
        <w:rStyle w:val="HideTWBExt"/>
      </w:rPr>
      <w:t>&gt;</w:t>
    </w:r>
    <w:r w:rsidRPr="00190F11">
      <w:tab/>
    </w:r>
    <w:r w:rsidRPr="00190F11">
      <w:tab/>
      <w:t>PE</w:t>
    </w:r>
    <w:r w:rsidRPr="00190F11">
      <w:rPr>
        <w:rStyle w:val="HideTWBExt"/>
      </w:rPr>
      <w:t>&lt;</w:t>
    </w:r>
    <w:proofErr w:type="spellStart"/>
    <w:r w:rsidRPr="00190F11">
      <w:rPr>
        <w:rStyle w:val="HideTWBExt"/>
      </w:rPr>
      <w:t>NoPE</w:t>
    </w:r>
    <w:proofErr w:type="spellEnd"/>
    <w:r w:rsidRPr="00190F11">
      <w:rPr>
        <w:rStyle w:val="HideTWBExt"/>
      </w:rPr>
      <w:t>&gt;</w:t>
    </w:r>
    <w:r w:rsidRPr="00190F11">
      <w:t>759.998</w:t>
    </w:r>
    <w:r w:rsidRPr="00190F11">
      <w:rPr>
        <w:rStyle w:val="HideTWBExt"/>
      </w:rPr>
      <w:t>&lt;/</w:t>
    </w:r>
    <w:proofErr w:type="spellStart"/>
    <w:r w:rsidRPr="00190F11">
      <w:rPr>
        <w:rStyle w:val="HideTWBExt"/>
      </w:rPr>
      <w:t>NoPE</w:t>
    </w:r>
    <w:proofErr w:type="spellEnd"/>
    <w:r w:rsidRPr="00190F11">
      <w:rPr>
        <w:rStyle w:val="HideTWBExt"/>
      </w:rPr>
      <w:t>&gt;&lt;Version&gt;</w:t>
    </w:r>
    <w:r w:rsidRPr="00190F11">
      <w:t>v02-00</w:t>
    </w:r>
    <w:r w:rsidRPr="00190F11">
      <w:rPr>
        <w:rStyle w:val="HideTWBExt"/>
      </w:rPr>
      <w:t>&lt;/</w:t>
    </w:r>
    <w:proofErr w:type="spellStart"/>
    <w:r w:rsidRPr="00190F11">
      <w:rPr>
        <w:rStyle w:val="HideTWBExt"/>
      </w:rPr>
      <w:t>Version</w:t>
    </w:r>
    <w:proofErr w:type="spellEnd"/>
    <w:r w:rsidRPr="00190F11">
      <w:rPr>
        <w:rStyle w:val="HideTWBExt"/>
      </w:rPr>
      <w:t>&gt;</w:t>
    </w:r>
  </w:p>
  <w:p w:rsidR="00754BF9" w:rsidRPr="00190F11" w:rsidRDefault="00754BF9" w:rsidP="00B12071">
    <w:pPr>
      <w:pStyle w:val="EPFooter2"/>
    </w:pPr>
    <w:r w:rsidRPr="00190F11">
      <w:t>HR</w:t>
    </w:r>
    <w:r w:rsidRPr="00190F11">
      <w:tab/>
    </w:r>
    <w:r w:rsidRPr="00190F11">
      <w:rPr>
        <w:b w:val="0"/>
        <w:i/>
        <w:color w:val="C0C0C0"/>
        <w:sz w:val="22"/>
      </w:rPr>
      <w:t>Ujedinjena u raznolikosti</w:t>
    </w:r>
    <w:r w:rsidRPr="00190F11">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0F11"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0F1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0F1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7058" w:rsidRPr="00190F11" w:rsidRDefault="00E27058">
      <w:r w:rsidRPr="00190F11">
        <w:separator/>
      </w:r>
    </w:p>
  </w:footnote>
  <w:footnote w:type="continuationSeparator" w:id="0">
    <w:p w:rsidR="00E27058" w:rsidRPr="00190F11" w:rsidRDefault="00E27058">
      <w:r w:rsidRPr="00190F11">
        <w:continuationSeparator/>
      </w:r>
    </w:p>
  </w:footnote>
  <w:footnote w:id="1">
    <w:p w:rsidR="00754BF9" w:rsidRPr="00190F11" w:rsidRDefault="00754BF9" w:rsidP="004B5CAF">
      <w:pPr>
        <w:pStyle w:val="FootnoteText"/>
        <w:ind w:left="567" w:hanging="567"/>
        <w:rPr>
          <w:sz w:val="24"/>
          <w:lang w:val="hr-HR"/>
        </w:rPr>
      </w:pPr>
      <w:r w:rsidRPr="00190F11">
        <w:rPr>
          <w:rStyle w:val="FootnoteReference"/>
          <w:sz w:val="24"/>
          <w:lang w:val="hr-HR"/>
        </w:rPr>
        <w:footnoteRef/>
      </w:r>
      <w:r w:rsidR="00190F11" w:rsidRPr="00190F11">
        <w:rPr>
          <w:sz w:val="24"/>
          <w:lang w:val="hr-HR"/>
        </w:rPr>
        <w:t xml:space="preserve"> </w:t>
      </w:r>
      <w:r w:rsidR="00190F11" w:rsidRPr="00190F11">
        <w:rPr>
          <w:sz w:val="24"/>
          <w:lang w:val="hr-HR"/>
        </w:rPr>
        <w:tab/>
      </w:r>
      <w:r w:rsidRPr="00190F11">
        <w:rPr>
          <w:sz w:val="24"/>
          <w:lang w:val="hr-HR"/>
        </w:rPr>
        <w:t>SL C 117, 11.3.2022., str. 159.</w:t>
      </w:r>
    </w:p>
  </w:footnote>
  <w:footnote w:id="2">
    <w:p w:rsidR="00754BF9" w:rsidRPr="00190F11" w:rsidRDefault="00754BF9" w:rsidP="004B5CAF">
      <w:pPr>
        <w:pStyle w:val="FootnoteText"/>
        <w:ind w:left="567" w:hanging="567"/>
        <w:rPr>
          <w:sz w:val="24"/>
          <w:lang w:val="hr-HR"/>
        </w:rPr>
      </w:pPr>
      <w:r w:rsidRPr="00190F11">
        <w:rPr>
          <w:rStyle w:val="FootnoteReference"/>
          <w:sz w:val="24"/>
          <w:lang w:val="hr-HR"/>
        </w:rPr>
        <w:footnoteRef/>
      </w:r>
      <w:r w:rsidR="00190F11" w:rsidRPr="00190F11">
        <w:rPr>
          <w:sz w:val="24"/>
          <w:lang w:val="hr-HR"/>
        </w:rPr>
        <w:t xml:space="preserve"> </w:t>
      </w:r>
      <w:r w:rsidR="00190F11" w:rsidRPr="00190F11">
        <w:rPr>
          <w:sz w:val="24"/>
          <w:lang w:val="hr-HR"/>
        </w:rPr>
        <w:tab/>
      </w:r>
      <w:r w:rsidRPr="00190F11">
        <w:rPr>
          <w:sz w:val="24"/>
          <w:lang w:val="hr-HR"/>
        </w:rPr>
        <w:t>SL C 177, 17.5.2023., str. 109.</w:t>
      </w:r>
    </w:p>
  </w:footnote>
  <w:footnote w:id="3">
    <w:p w:rsidR="00754BF9" w:rsidRPr="00190F11" w:rsidRDefault="00754BF9" w:rsidP="004B5CAF">
      <w:pPr>
        <w:pStyle w:val="FootnoteText"/>
        <w:ind w:left="567" w:hanging="567"/>
        <w:rPr>
          <w:sz w:val="24"/>
          <w:lang w:val="hr-HR"/>
        </w:rPr>
      </w:pPr>
      <w:r w:rsidRPr="00190F11">
        <w:rPr>
          <w:rStyle w:val="FootnoteReference"/>
          <w:sz w:val="24"/>
          <w:lang w:val="hr-HR"/>
        </w:rPr>
        <w:footnoteRef/>
      </w:r>
      <w:r w:rsidR="00190F11" w:rsidRPr="00190F11">
        <w:rPr>
          <w:snapToGrid w:val="0"/>
          <w:sz w:val="24"/>
          <w:shd w:val="clear" w:color="auto" w:fill="FFFFFF"/>
          <w:lang w:val="hr-HR"/>
        </w:rPr>
        <w:t xml:space="preserve"> </w:t>
      </w:r>
      <w:r w:rsidR="00190F11" w:rsidRPr="00190F11">
        <w:rPr>
          <w:snapToGrid w:val="0"/>
          <w:sz w:val="24"/>
          <w:shd w:val="clear" w:color="auto" w:fill="FFFFFF"/>
          <w:lang w:val="hr-HR"/>
        </w:rPr>
        <w:tab/>
      </w:r>
      <w:r w:rsidRPr="00190F11">
        <w:rPr>
          <w:snapToGrid w:val="0"/>
          <w:sz w:val="24"/>
          <w:shd w:val="clear" w:color="auto" w:fill="FFFFFF"/>
          <w:lang w:val="hr-HR"/>
        </w:rPr>
        <w:t>SL C 283, 11.8.2023</w:t>
      </w:r>
      <w:r w:rsidR="004B5CAF">
        <w:rPr>
          <w:snapToGrid w:val="0"/>
          <w:sz w:val="24"/>
          <w:shd w:val="clear" w:color="auto" w:fill="FFFFFF"/>
          <w:lang w:val="hr-HR"/>
        </w:rPr>
        <w:t>.</w:t>
      </w:r>
      <w:r w:rsidRPr="00190F11">
        <w:rPr>
          <w:snapToGrid w:val="0"/>
          <w:sz w:val="24"/>
          <w:shd w:val="clear" w:color="auto" w:fill="FFFFFF"/>
          <w:lang w:val="hr-HR"/>
        </w:rPr>
        <w:t>, str. 31.</w:t>
      </w:r>
    </w:p>
  </w:footnote>
  <w:footnote w:id="4">
    <w:p w:rsidR="00754BF9" w:rsidRPr="00190F11" w:rsidRDefault="00754BF9" w:rsidP="004B5CAF">
      <w:pPr>
        <w:pStyle w:val="FootnoteText"/>
        <w:ind w:left="567" w:hanging="567"/>
        <w:rPr>
          <w:sz w:val="24"/>
          <w:lang w:val="hr-HR"/>
        </w:rPr>
      </w:pPr>
      <w:r w:rsidRPr="00190F11">
        <w:rPr>
          <w:rStyle w:val="FootnoteReference"/>
          <w:sz w:val="24"/>
          <w:lang w:val="hr-HR"/>
        </w:rPr>
        <w:footnoteRef/>
      </w:r>
      <w:r w:rsidR="00190F11" w:rsidRPr="00190F11">
        <w:rPr>
          <w:sz w:val="24"/>
          <w:lang w:val="hr-HR"/>
        </w:rPr>
        <w:t xml:space="preserve"> </w:t>
      </w:r>
      <w:r w:rsidR="00190F11" w:rsidRPr="00190F11">
        <w:rPr>
          <w:sz w:val="24"/>
          <w:lang w:val="hr-HR"/>
        </w:rPr>
        <w:tab/>
      </w:r>
      <w:r w:rsidRPr="00190F11">
        <w:rPr>
          <w:sz w:val="24"/>
          <w:lang w:val="hr-HR"/>
        </w:rPr>
        <w:t>SL C 283, 11.8.2023</w:t>
      </w:r>
      <w:r w:rsidR="004B5CAF">
        <w:rPr>
          <w:sz w:val="24"/>
          <w:lang w:val="hr-HR"/>
        </w:rPr>
        <w:t>.</w:t>
      </w:r>
      <w:r w:rsidRPr="00190F11">
        <w:rPr>
          <w:sz w:val="24"/>
          <w:lang w:val="hr-HR"/>
        </w:rPr>
        <w:t>, str. 27.</w:t>
      </w:r>
    </w:p>
  </w:footnote>
  <w:footnote w:id="5">
    <w:p w:rsidR="00754BF9" w:rsidRPr="00190F11" w:rsidRDefault="00754BF9" w:rsidP="004B5CAF">
      <w:pPr>
        <w:pStyle w:val="FootnoteText"/>
        <w:ind w:left="567" w:hanging="567"/>
        <w:rPr>
          <w:sz w:val="24"/>
          <w:lang w:val="hr-HR"/>
        </w:rPr>
      </w:pPr>
      <w:r w:rsidRPr="00190F11">
        <w:rPr>
          <w:rStyle w:val="FootnoteReference"/>
          <w:sz w:val="24"/>
          <w:lang w:val="hr-HR"/>
        </w:rPr>
        <w:footnoteRef/>
      </w:r>
      <w:r w:rsidR="00190F11" w:rsidRPr="00190F11">
        <w:rPr>
          <w:snapToGrid w:val="0"/>
          <w:sz w:val="24"/>
          <w:lang w:val="hr-HR"/>
        </w:rPr>
        <w:t xml:space="preserve"> </w:t>
      </w:r>
      <w:r w:rsidR="00190F11" w:rsidRPr="00190F11">
        <w:rPr>
          <w:snapToGrid w:val="0"/>
          <w:sz w:val="24"/>
          <w:lang w:val="hr-HR"/>
        </w:rPr>
        <w:tab/>
      </w:r>
      <w:r w:rsidRPr="00190F11">
        <w:rPr>
          <w:snapToGrid w:val="0"/>
          <w:sz w:val="24"/>
          <w:lang w:val="hr-HR"/>
        </w:rPr>
        <w:t>Usvojeni tekstovi, P9_TA(2023)0281.</w:t>
      </w:r>
    </w:p>
  </w:footnote>
  <w:footnote w:id="6">
    <w:p w:rsidR="00754BF9" w:rsidRPr="00190F11" w:rsidRDefault="00754BF9" w:rsidP="004B5CAF">
      <w:pPr>
        <w:pStyle w:val="FootnoteText"/>
        <w:ind w:left="567" w:hanging="567"/>
        <w:rPr>
          <w:sz w:val="24"/>
          <w:lang w:val="hr-HR"/>
        </w:rPr>
      </w:pPr>
      <w:r w:rsidRPr="00190F11">
        <w:rPr>
          <w:rStyle w:val="FootnoteReference"/>
          <w:sz w:val="24"/>
          <w:lang w:val="hr-HR"/>
        </w:rPr>
        <w:footnoteRef/>
      </w:r>
      <w:r w:rsidR="00190F11" w:rsidRPr="00190F11">
        <w:rPr>
          <w:sz w:val="24"/>
          <w:lang w:val="hr-HR"/>
        </w:rPr>
        <w:t xml:space="preserve"> </w:t>
      </w:r>
      <w:r w:rsidR="00190F11" w:rsidRPr="00190F11">
        <w:rPr>
          <w:sz w:val="24"/>
          <w:lang w:val="hr-HR"/>
        </w:rPr>
        <w:tab/>
      </w:r>
      <w:r w:rsidRPr="00190F11">
        <w:rPr>
          <w:sz w:val="24"/>
          <w:lang w:val="hr-HR"/>
        </w:rPr>
        <w:t>Usvojeni tekstovi, P9_TA(2023)0292.</w:t>
      </w:r>
    </w:p>
  </w:footnote>
  <w:footnote w:id="7">
    <w:p w:rsidR="004B5CAF" w:rsidRPr="0079285B" w:rsidRDefault="004B5CAF" w:rsidP="004B5CAF">
      <w:pPr>
        <w:pStyle w:val="FootnoteText"/>
        <w:ind w:left="567" w:hanging="567"/>
        <w:rPr>
          <w:lang w:val="hr-HR"/>
        </w:rPr>
      </w:pPr>
      <w:r>
        <w:rPr>
          <w:rStyle w:val="FootnoteReference"/>
        </w:rPr>
        <w:footnoteRef/>
      </w:r>
      <w:r w:rsidRPr="0079285B">
        <w:rPr>
          <w:lang w:val="hr-HR"/>
        </w:rPr>
        <w:t xml:space="preserve"> </w:t>
      </w:r>
      <w:r w:rsidRPr="0079285B">
        <w:rPr>
          <w:lang w:val="hr-HR"/>
        </w:rPr>
        <w:tab/>
      </w:r>
      <w:r>
        <w:rPr>
          <w:sz w:val="24"/>
          <w:lang w:val="hr-HR"/>
        </w:rPr>
        <w:t>SL</w:t>
      </w:r>
      <w:r w:rsidRPr="0079285B">
        <w:rPr>
          <w:sz w:val="24"/>
          <w:lang w:val="hr-HR"/>
        </w:rPr>
        <w:t xml:space="preserve"> C 117, 11.3.2022</w:t>
      </w:r>
      <w:r>
        <w:rPr>
          <w:sz w:val="24"/>
          <w:lang w:val="hr-HR"/>
        </w:rPr>
        <w:t>.</w:t>
      </w:r>
      <w:r w:rsidRPr="004B5CAF">
        <w:rPr>
          <w:sz w:val="24"/>
          <w:lang w:val="hr-HR"/>
        </w:rPr>
        <w:t>, str</w:t>
      </w:r>
      <w:r w:rsidRPr="0079285B">
        <w:rPr>
          <w:sz w:val="24"/>
          <w:lang w:val="hr-HR"/>
        </w:rPr>
        <w:t>. 159.</w:t>
      </w:r>
    </w:p>
  </w:footnote>
  <w:footnote w:id="8">
    <w:p w:rsidR="004B5CAF" w:rsidRPr="0079285B" w:rsidRDefault="004B5CAF" w:rsidP="004B5CAF">
      <w:pPr>
        <w:pStyle w:val="FootnoteText"/>
        <w:ind w:left="567" w:hanging="567"/>
        <w:rPr>
          <w:lang w:val="hr-HR"/>
        </w:rPr>
      </w:pPr>
      <w:r>
        <w:rPr>
          <w:rStyle w:val="FootnoteReference"/>
        </w:rPr>
        <w:footnoteRef/>
      </w:r>
      <w:r w:rsidRPr="0079285B">
        <w:rPr>
          <w:lang w:val="hr-HR"/>
        </w:rPr>
        <w:t xml:space="preserve"> </w:t>
      </w:r>
      <w:r w:rsidRPr="0079285B">
        <w:rPr>
          <w:lang w:val="hr-HR"/>
        </w:rPr>
        <w:tab/>
      </w:r>
      <w:r>
        <w:rPr>
          <w:iCs/>
          <w:snapToGrid w:val="0"/>
          <w:sz w:val="24"/>
          <w:shd w:val="clear" w:color="auto" w:fill="FFFFFF"/>
          <w:lang w:val="hr-HR"/>
        </w:rPr>
        <w:t>SL</w:t>
      </w:r>
      <w:r w:rsidRPr="0079285B">
        <w:rPr>
          <w:iCs/>
          <w:snapToGrid w:val="0"/>
          <w:sz w:val="24"/>
          <w:shd w:val="clear" w:color="auto" w:fill="FFFFFF"/>
          <w:lang w:val="hr-HR"/>
        </w:rPr>
        <w:t xml:space="preserve"> C 283, 11.8.2023</w:t>
      </w:r>
      <w:r>
        <w:rPr>
          <w:iCs/>
          <w:snapToGrid w:val="0"/>
          <w:sz w:val="24"/>
          <w:shd w:val="clear" w:color="auto" w:fill="FFFFFF"/>
          <w:lang w:val="hr-HR"/>
        </w:rPr>
        <w:t>.</w:t>
      </w:r>
      <w:r w:rsidRPr="004B5CAF">
        <w:rPr>
          <w:iCs/>
          <w:snapToGrid w:val="0"/>
          <w:sz w:val="24"/>
          <w:shd w:val="clear" w:color="auto" w:fill="FFFFFF"/>
          <w:lang w:val="hr-HR"/>
        </w:rPr>
        <w:t>, str</w:t>
      </w:r>
      <w:r w:rsidRPr="0079285B">
        <w:rPr>
          <w:iCs/>
          <w:snapToGrid w:val="0"/>
          <w:sz w:val="24"/>
          <w:shd w:val="clear" w:color="auto" w:fill="FFFFFF"/>
          <w:lang w:val="hr-HR"/>
        </w:rPr>
        <w:t>. 31.</w:t>
      </w:r>
    </w:p>
  </w:footnote>
  <w:footnote w:id="9">
    <w:p w:rsidR="004B5CAF" w:rsidRPr="0079285B" w:rsidRDefault="004B5CAF" w:rsidP="004B5CAF">
      <w:pPr>
        <w:pStyle w:val="FootnoteText"/>
        <w:ind w:left="567" w:hanging="567"/>
        <w:rPr>
          <w:lang w:val="hr-HR"/>
        </w:rPr>
      </w:pPr>
      <w:r>
        <w:rPr>
          <w:rStyle w:val="FootnoteReference"/>
        </w:rPr>
        <w:footnoteRef/>
      </w:r>
      <w:r w:rsidRPr="0079285B">
        <w:rPr>
          <w:lang w:val="hr-HR"/>
        </w:rPr>
        <w:t xml:space="preserve"> </w:t>
      </w:r>
      <w:r>
        <w:rPr>
          <w:lang w:val="hr-HR"/>
        </w:rPr>
        <w:tab/>
      </w:r>
      <w:r w:rsidRPr="00190F11">
        <w:rPr>
          <w:sz w:val="24"/>
          <w:lang w:val="hr-HR"/>
        </w:rPr>
        <w:t>Us</w:t>
      </w:r>
      <w:r>
        <w:rPr>
          <w:sz w:val="24"/>
          <w:lang w:val="hr-HR"/>
        </w:rPr>
        <w:t>vojeni tekstovi, P9_TA(2023)0281</w:t>
      </w:r>
      <w:r w:rsidRPr="00190F11">
        <w:rPr>
          <w:sz w:val="24"/>
          <w:lang w:val="hr-HR"/>
        </w:rPr>
        <w:t>.</w:t>
      </w:r>
    </w:p>
  </w:footnote>
  <w:footnote w:id="10">
    <w:p w:rsidR="00754BF9" w:rsidRPr="00190F11" w:rsidRDefault="00754BF9" w:rsidP="004B5CAF">
      <w:pPr>
        <w:pStyle w:val="FootnoteText"/>
        <w:ind w:left="567" w:hanging="567"/>
        <w:rPr>
          <w:sz w:val="24"/>
          <w:lang w:val="hr-HR"/>
        </w:rPr>
      </w:pPr>
      <w:r w:rsidRPr="00190F11">
        <w:rPr>
          <w:rStyle w:val="FootnoteReference"/>
          <w:sz w:val="24"/>
          <w:lang w:val="hr-HR"/>
        </w:rPr>
        <w:footnoteRef/>
      </w:r>
      <w:r w:rsidR="00190F11" w:rsidRPr="00190F11">
        <w:rPr>
          <w:snapToGrid w:val="0"/>
          <w:sz w:val="24"/>
          <w:shd w:val="clear" w:color="auto" w:fill="FFFFFF"/>
          <w:lang w:val="hr-HR"/>
        </w:rPr>
        <w:t xml:space="preserve"> </w:t>
      </w:r>
      <w:r w:rsidR="00190F11" w:rsidRPr="00190F11">
        <w:rPr>
          <w:snapToGrid w:val="0"/>
          <w:sz w:val="24"/>
          <w:shd w:val="clear" w:color="auto" w:fill="FFFFFF"/>
          <w:lang w:val="hr-HR"/>
        </w:rPr>
        <w:tab/>
      </w:r>
      <w:r w:rsidRPr="00190F11">
        <w:rPr>
          <w:snapToGrid w:val="0"/>
          <w:sz w:val="24"/>
          <w:shd w:val="clear" w:color="auto" w:fill="FFFFFF"/>
          <w:lang w:val="hr-HR"/>
        </w:rPr>
        <w:t>SL C 283, 11.8.2023</w:t>
      </w:r>
      <w:r w:rsidR="004B5CAF">
        <w:rPr>
          <w:snapToGrid w:val="0"/>
          <w:sz w:val="24"/>
          <w:shd w:val="clear" w:color="auto" w:fill="FFFFFF"/>
          <w:lang w:val="hr-HR"/>
        </w:rPr>
        <w:t>.</w:t>
      </w:r>
      <w:r w:rsidRPr="00190F11">
        <w:rPr>
          <w:snapToGrid w:val="0"/>
          <w:sz w:val="24"/>
          <w:shd w:val="clear" w:color="auto" w:fill="FFFFFF"/>
          <w:lang w:val="hr-HR"/>
        </w:rPr>
        <w:t>, str.</w:t>
      </w:r>
      <w:r w:rsidR="00543904" w:rsidRPr="00190F11">
        <w:rPr>
          <w:snapToGrid w:val="0"/>
          <w:sz w:val="24"/>
          <w:shd w:val="clear" w:color="auto" w:fill="FFFFFF"/>
          <w:lang w:val="hr-HR"/>
        </w:rPr>
        <w:t> </w:t>
      </w:r>
      <w:r w:rsidR="00543904">
        <w:rPr>
          <w:snapToGrid w:val="0"/>
          <w:sz w:val="24"/>
          <w:shd w:val="clear" w:color="auto" w:fill="FFFFFF"/>
          <w:lang w:val="hr-HR"/>
        </w:rPr>
        <w:t>27. i str.</w:t>
      </w:r>
      <w:r w:rsidRPr="00190F11">
        <w:rPr>
          <w:snapToGrid w:val="0"/>
          <w:sz w:val="24"/>
          <w:shd w:val="clear" w:color="auto" w:fill="FFFFFF"/>
          <w:lang w:val="hr-HR"/>
        </w:rPr>
        <w:t> 31.</w:t>
      </w:r>
    </w:p>
  </w:footnote>
  <w:footnote w:id="11">
    <w:p w:rsidR="00754BF9" w:rsidRPr="00190F11" w:rsidRDefault="00754BF9" w:rsidP="004B5CAF">
      <w:pPr>
        <w:pStyle w:val="FootnoteText"/>
        <w:ind w:left="567" w:hanging="567"/>
        <w:rPr>
          <w:sz w:val="24"/>
          <w:lang w:val="hr-HR"/>
        </w:rPr>
      </w:pPr>
      <w:r w:rsidRPr="00190F11">
        <w:rPr>
          <w:rStyle w:val="FootnoteReference"/>
          <w:sz w:val="24"/>
          <w:lang w:val="hr-HR"/>
        </w:rPr>
        <w:footnoteRef/>
      </w:r>
      <w:r w:rsidR="00190F11" w:rsidRPr="00190F11">
        <w:rPr>
          <w:snapToGrid w:val="0"/>
          <w:sz w:val="24"/>
          <w:lang w:val="hr-HR"/>
        </w:rPr>
        <w:t xml:space="preserve"> </w:t>
      </w:r>
      <w:r w:rsidR="00190F11" w:rsidRPr="00190F11">
        <w:rPr>
          <w:snapToGrid w:val="0"/>
          <w:sz w:val="24"/>
          <w:lang w:val="hr-HR"/>
        </w:rPr>
        <w:tab/>
      </w:r>
      <w:r w:rsidRPr="00190F11">
        <w:rPr>
          <w:snapToGrid w:val="0"/>
          <w:sz w:val="24"/>
          <w:lang w:val="hr-HR"/>
        </w:rPr>
        <w:t>Usvojeni tekstovi, P9_TA(2023)0281.</w:t>
      </w:r>
    </w:p>
  </w:footnote>
  <w:footnote w:id="12">
    <w:p w:rsidR="00754BF9" w:rsidRPr="00190F11" w:rsidRDefault="00754BF9" w:rsidP="004B5CAF">
      <w:pPr>
        <w:pStyle w:val="FootnoteText"/>
        <w:ind w:left="567" w:hanging="567"/>
        <w:rPr>
          <w:sz w:val="24"/>
          <w:lang w:val="hr-HR"/>
        </w:rPr>
      </w:pPr>
      <w:r w:rsidRPr="00190F11">
        <w:rPr>
          <w:rStyle w:val="FootnoteReference"/>
          <w:sz w:val="24"/>
          <w:lang w:val="hr-HR"/>
        </w:rPr>
        <w:footnoteRef/>
      </w:r>
      <w:r w:rsidR="00190F11" w:rsidRPr="00190F11">
        <w:rPr>
          <w:sz w:val="24"/>
          <w:lang w:val="hr-HR"/>
        </w:rPr>
        <w:t xml:space="preserve"> </w:t>
      </w:r>
      <w:r w:rsidR="00190F11" w:rsidRPr="00190F11">
        <w:rPr>
          <w:sz w:val="24"/>
          <w:lang w:val="hr-HR"/>
        </w:rPr>
        <w:tab/>
      </w:r>
      <w:r w:rsidRPr="00190F11">
        <w:rPr>
          <w:sz w:val="24"/>
          <w:lang w:val="hr-HR"/>
        </w:rPr>
        <w:t>SL C 117, 11.3.2022., str. 159.</w:t>
      </w:r>
    </w:p>
  </w:footnote>
  <w:footnote w:id="13">
    <w:p w:rsidR="00754BF9" w:rsidRPr="00190F11" w:rsidRDefault="00754BF9" w:rsidP="004B5CAF">
      <w:pPr>
        <w:pStyle w:val="FootnoteText"/>
        <w:ind w:left="567" w:hanging="567"/>
        <w:rPr>
          <w:sz w:val="24"/>
          <w:lang w:val="hr-HR"/>
        </w:rPr>
      </w:pPr>
      <w:r w:rsidRPr="00190F11">
        <w:rPr>
          <w:rStyle w:val="FootnoteReference"/>
          <w:sz w:val="24"/>
          <w:lang w:val="hr-HR"/>
        </w:rPr>
        <w:footnoteRef/>
      </w:r>
      <w:r w:rsidR="00190F11" w:rsidRPr="00190F11">
        <w:rPr>
          <w:snapToGrid w:val="0"/>
          <w:sz w:val="24"/>
          <w:shd w:val="clear" w:color="auto" w:fill="FFFFFF"/>
          <w:lang w:val="hr-HR"/>
        </w:rPr>
        <w:t xml:space="preserve"> </w:t>
      </w:r>
      <w:r w:rsidR="00190F11" w:rsidRPr="00190F11">
        <w:rPr>
          <w:snapToGrid w:val="0"/>
          <w:sz w:val="24"/>
          <w:shd w:val="clear" w:color="auto" w:fill="FFFFFF"/>
          <w:lang w:val="hr-HR"/>
        </w:rPr>
        <w:tab/>
      </w:r>
      <w:r w:rsidRPr="00190F11">
        <w:rPr>
          <w:snapToGrid w:val="0"/>
          <w:sz w:val="24"/>
          <w:shd w:val="clear" w:color="auto" w:fill="FFFFFF"/>
          <w:lang w:val="hr-HR"/>
        </w:rPr>
        <w:t>SL C 283, 11.8.2023</w:t>
      </w:r>
      <w:r w:rsidR="004B5CAF">
        <w:rPr>
          <w:snapToGrid w:val="0"/>
          <w:sz w:val="24"/>
          <w:shd w:val="clear" w:color="auto" w:fill="FFFFFF"/>
          <w:lang w:val="hr-HR"/>
        </w:rPr>
        <w:t>.</w:t>
      </w:r>
      <w:r w:rsidRPr="00190F11">
        <w:rPr>
          <w:snapToGrid w:val="0"/>
          <w:sz w:val="24"/>
          <w:shd w:val="clear" w:color="auto" w:fill="FFFFFF"/>
          <w:lang w:val="hr-HR"/>
        </w:rPr>
        <w:t>, str. 31.</w:t>
      </w:r>
    </w:p>
  </w:footnote>
  <w:footnote w:id="14">
    <w:p w:rsidR="00754BF9" w:rsidRPr="00190F11" w:rsidRDefault="00754BF9" w:rsidP="004B5CAF">
      <w:pPr>
        <w:pStyle w:val="FootnoteText"/>
        <w:ind w:left="567" w:hanging="567"/>
        <w:rPr>
          <w:sz w:val="24"/>
          <w:lang w:val="hr-HR"/>
        </w:rPr>
      </w:pPr>
      <w:r w:rsidRPr="00190F11">
        <w:rPr>
          <w:rStyle w:val="FootnoteReference"/>
          <w:sz w:val="24"/>
          <w:lang w:val="hr-HR"/>
        </w:rPr>
        <w:footnoteRef/>
      </w:r>
      <w:r w:rsidR="00190F11" w:rsidRPr="00190F11">
        <w:rPr>
          <w:sz w:val="24"/>
          <w:lang w:val="hr-HR"/>
        </w:rPr>
        <w:t xml:space="preserve"> </w:t>
      </w:r>
      <w:r w:rsidR="00190F11" w:rsidRPr="00190F11">
        <w:rPr>
          <w:sz w:val="24"/>
          <w:lang w:val="hr-HR"/>
        </w:rPr>
        <w:tab/>
      </w:r>
      <w:r w:rsidRPr="00190F11">
        <w:rPr>
          <w:sz w:val="24"/>
          <w:lang w:val="hr-HR"/>
        </w:rPr>
        <w:t>Usvojeni tekstovi, P9_TA(2023)0281.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0F1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0F1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0F1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5436D"/>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F9E4E93"/>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1D695C"/>
    <w:multiLevelType w:val="hybridMultilevel"/>
    <w:tmpl w:val="3CF29F48"/>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4E26705"/>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D784E97"/>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F537990"/>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8422C15"/>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9350A4E"/>
    <w:multiLevelType w:val="hybridMultilevel"/>
    <w:tmpl w:val="C8DC24DC"/>
    <w:lvl w:ilvl="0" w:tplc="8258F812">
      <w:start w:val="1"/>
      <w:numFmt w:val="decimal"/>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BE52560"/>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C8D6A5E"/>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CF14796"/>
    <w:multiLevelType w:val="hybridMultilevel"/>
    <w:tmpl w:val="F3AEEE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FA61EF6"/>
    <w:multiLevelType w:val="hybridMultilevel"/>
    <w:tmpl w:val="D6482E3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094532A"/>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20A73F9"/>
    <w:multiLevelType w:val="hybridMultilevel"/>
    <w:tmpl w:val="F3AEEE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4289455D"/>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31E14B2"/>
    <w:multiLevelType w:val="hybridMultilevel"/>
    <w:tmpl w:val="64F0C990"/>
    <w:lvl w:ilvl="0" w:tplc="42ECD73A">
      <w:start w:val="1"/>
      <w:numFmt w:val="decimal"/>
      <w:lvlText w:val="%1."/>
      <w:lvlJc w:val="left"/>
      <w:pPr>
        <w:ind w:left="720" w:hanging="360"/>
      </w:pPr>
      <w:rPr>
        <w:rFonts w:hint="default"/>
        <w:i w:val="0"/>
        <w:i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BA11AD3"/>
    <w:multiLevelType w:val="hybridMultilevel"/>
    <w:tmpl w:val="F3AEEE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21B1483"/>
    <w:multiLevelType w:val="hybridMultilevel"/>
    <w:tmpl w:val="8C8A0E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AD72350"/>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67F679F"/>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6D133CF"/>
    <w:multiLevelType w:val="hybridMultilevel"/>
    <w:tmpl w:val="366E6F10"/>
    <w:lvl w:ilvl="0" w:tplc="1809000F">
      <w:start w:val="1"/>
      <w:numFmt w:val="decimal"/>
      <w:lvlText w:val="%1."/>
      <w:lvlJc w:val="left"/>
      <w:pPr>
        <w:ind w:left="785" w:hanging="360"/>
      </w:pPr>
      <w:rPr>
        <w:rFonts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A871C81"/>
    <w:multiLevelType w:val="hybridMultilevel"/>
    <w:tmpl w:val="806C1192"/>
    <w:lvl w:ilvl="0" w:tplc="FFFFFFFF">
      <w:start w:val="1"/>
      <w:numFmt w:val="decimal"/>
      <w:lvlText w:val="%1."/>
      <w:lvlJc w:val="left"/>
      <w:pPr>
        <w:ind w:left="720" w:hanging="360"/>
      </w:pPr>
      <w:rPr>
        <w:rFonts w:ascii="Times New Roman" w:hAnsi="Times New Roman" w:cs="Times New Roman" w:hint="default"/>
        <w:sz w:val="24"/>
        <w:szCs w:val="24"/>
      </w:rPr>
    </w:lvl>
    <w:lvl w:ilvl="1" w:tplc="58422D1E">
      <w:start w:val="1"/>
      <w:numFmt w:val="lowerLetter"/>
      <w:lvlText w:val="(%2)"/>
      <w:lvlJc w:val="left"/>
      <w:pPr>
        <w:ind w:left="1440" w:hanging="360"/>
      </w:pPr>
      <w:rPr>
        <w:rFonts w:ascii="Times New Roman" w:hAnsi="Times New Roman" w:cs="Times New Roman" w:hint="default"/>
        <w:sz w:val="24"/>
        <w:szCs w:val="24"/>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12D2873"/>
    <w:multiLevelType w:val="hybridMultilevel"/>
    <w:tmpl w:val="CC4C1F56"/>
    <w:lvl w:ilvl="0" w:tplc="FFFFFFFF">
      <w:start w:val="1"/>
      <w:numFmt w:val="decimal"/>
      <w:lvlText w:val="%1."/>
      <w:lvlJc w:val="left"/>
      <w:pPr>
        <w:ind w:left="785"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443020D"/>
    <w:multiLevelType w:val="hybridMultilevel"/>
    <w:tmpl w:val="06A2B00C"/>
    <w:lvl w:ilvl="0" w:tplc="58422D1E">
      <w:start w:val="1"/>
      <w:numFmt w:val="lowerLetter"/>
      <w:lvlText w:val="(%1)"/>
      <w:lvlJc w:val="left"/>
      <w:pPr>
        <w:ind w:left="1495" w:hanging="360"/>
      </w:pPr>
      <w:rPr>
        <w:rFonts w:ascii="Times New Roman" w:hAnsi="Times New Roman" w:cs="Times New Roman" w:hint="default"/>
        <w:sz w:val="24"/>
        <w:szCs w:val="24"/>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CBE4812"/>
    <w:multiLevelType w:val="singleLevel"/>
    <w:tmpl w:val="83109EEC"/>
    <w:lvl w:ilvl="0">
      <w:start w:val="1"/>
      <w:numFmt w:val="decimal"/>
      <w:lvlRestart w:val="0"/>
      <w:pStyle w:val="Considrant"/>
      <w:lvlText w:val="(%1)"/>
      <w:lvlJc w:val="left"/>
      <w:pPr>
        <w:tabs>
          <w:tab w:val="num" w:pos="1276"/>
        </w:tabs>
        <w:ind w:left="1276" w:hanging="709"/>
      </w:pPr>
      <w:rPr>
        <w:b w:val="0"/>
        <w:bCs w:val="0"/>
        <w:i w:val="0"/>
        <w:iCs w:val="0"/>
      </w:rPr>
    </w:lvl>
  </w:abstractNum>
  <w:abstractNum w:abstractNumId="27" w15:restartNumberingAfterBreak="0">
    <w:nsid w:val="7E9443DB"/>
    <w:multiLevelType w:val="hybridMultilevel"/>
    <w:tmpl w:val="5680DA56"/>
    <w:lvl w:ilvl="0" w:tplc="C91CD94A">
      <w:start w:val="1"/>
      <w:numFmt w:val="decimal"/>
      <w:lvlText w:val="%1."/>
      <w:lvlJc w:val="left"/>
      <w:pPr>
        <w:ind w:left="720" w:hanging="360"/>
      </w:pPr>
      <w:rPr>
        <w:rFonts w:ascii="Times New Roman" w:hAnsi="Times New Roman"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FCA33BB"/>
    <w:multiLevelType w:val="hybridMultilevel"/>
    <w:tmpl w:val="F4D8B60E"/>
    <w:lvl w:ilvl="0" w:tplc="FFFFFFFF">
      <w:start w:val="1"/>
      <w:numFmt w:val="decimal"/>
      <w:lvlText w:val="%1."/>
      <w:lvlJc w:val="left"/>
      <w:pPr>
        <w:ind w:left="720" w:hanging="360"/>
      </w:pPr>
      <w:rPr>
        <w:rFonts w:ascii="Times New Roman" w:hAnsi="Times New Roman" w:cs="Times New Roman" w:hint="default"/>
        <w:i w:val="0"/>
        <w:i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15"/>
  </w:num>
  <w:num w:numId="3">
    <w:abstractNumId w:val="25"/>
  </w:num>
  <w:num w:numId="4">
    <w:abstractNumId w:val="9"/>
  </w:num>
  <w:num w:numId="5">
    <w:abstractNumId w:val="6"/>
  </w:num>
  <w:num w:numId="6">
    <w:abstractNumId w:val="27"/>
  </w:num>
  <w:num w:numId="7">
    <w:abstractNumId w:val="11"/>
  </w:num>
  <w:num w:numId="8">
    <w:abstractNumId w:val="14"/>
  </w:num>
  <w:num w:numId="9">
    <w:abstractNumId w:val="8"/>
  </w:num>
  <w:num w:numId="10">
    <w:abstractNumId w:val="23"/>
  </w:num>
  <w:num w:numId="11">
    <w:abstractNumId w:val="3"/>
  </w:num>
  <w:num w:numId="12">
    <w:abstractNumId w:val="7"/>
  </w:num>
  <w:num w:numId="13">
    <w:abstractNumId w:val="26"/>
  </w:num>
  <w:num w:numId="14">
    <w:abstractNumId w:val="4"/>
  </w:num>
  <w:num w:numId="15">
    <w:abstractNumId w:val="28"/>
  </w:num>
  <w:num w:numId="16">
    <w:abstractNumId w:val="20"/>
  </w:num>
  <w:num w:numId="17">
    <w:abstractNumId w:val="19"/>
  </w:num>
  <w:num w:numId="18">
    <w:abstractNumId w:val="5"/>
  </w:num>
  <w:num w:numId="19">
    <w:abstractNumId w:val="10"/>
  </w:num>
  <w:num w:numId="20">
    <w:abstractNumId w:val="2"/>
  </w:num>
  <w:num w:numId="21">
    <w:abstractNumId w:val="0"/>
  </w:num>
  <w:num w:numId="22">
    <w:abstractNumId w:val="24"/>
  </w:num>
  <w:num w:numId="23">
    <w:abstractNumId w:val="18"/>
  </w:num>
  <w:num w:numId="24">
    <w:abstractNumId w:val="13"/>
  </w:num>
  <w:num w:numId="25">
    <w:abstractNumId w:val="21"/>
  </w:num>
  <w:num w:numId="26">
    <w:abstractNumId w:val="16"/>
  </w:num>
  <w:num w:numId="27">
    <w:abstractNumId w:val="17"/>
  </w:num>
  <w:num w:numId="28">
    <w:abstractNumId w:val="12"/>
  </w:num>
  <w:num w:numId="29">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1/2024"/>
    <w:docVar w:name="dvlangue" w:val="HR"/>
    <w:docVar w:name="dvnumam" w:val="0"/>
    <w:docVar w:name="dvpe" w:val="759.998"/>
    <w:docVar w:name="dvrapporteur" w:val="Izvjestitelj: "/>
    <w:docVar w:name="dvtitre" w:val="Odluka Europskog parlamenta od .... 2024. o sklapanju Sporazuma između Europskog parlamenta, Vijeća, Europske komisije, Suda Europske unije, Europske središnje banke, Europskog revizorskog suda, Europskog gospodarskog i socijalnog odbora i Europskog odbora regija o osnivanju Međuinstitucijskog tijela za etičke standarde za članove institucija i savjetodavnih tijela navedenih u članku 13. Ugovora o Europskoj uniji(2024/2008(ACI))"/>
  </w:docVars>
  <w:rsids>
    <w:rsidRoot w:val="00E27058"/>
    <w:rsid w:val="00002272"/>
    <w:rsid w:val="00064002"/>
    <w:rsid w:val="000677B9"/>
    <w:rsid w:val="0007371E"/>
    <w:rsid w:val="000831BA"/>
    <w:rsid w:val="000A42CC"/>
    <w:rsid w:val="000E7DD9"/>
    <w:rsid w:val="0010095E"/>
    <w:rsid w:val="00125B37"/>
    <w:rsid w:val="00187494"/>
    <w:rsid w:val="00190F11"/>
    <w:rsid w:val="001F32AE"/>
    <w:rsid w:val="00200D7A"/>
    <w:rsid w:val="002767FF"/>
    <w:rsid w:val="002B18FE"/>
    <w:rsid w:val="002B5493"/>
    <w:rsid w:val="00343214"/>
    <w:rsid w:val="00361C00"/>
    <w:rsid w:val="00395FA1"/>
    <w:rsid w:val="003E15D4"/>
    <w:rsid w:val="00411CCE"/>
    <w:rsid w:val="0041666E"/>
    <w:rsid w:val="00421060"/>
    <w:rsid w:val="00471C19"/>
    <w:rsid w:val="0047493E"/>
    <w:rsid w:val="004867E3"/>
    <w:rsid w:val="00494A28"/>
    <w:rsid w:val="004B5CAF"/>
    <w:rsid w:val="004C0004"/>
    <w:rsid w:val="004C5D52"/>
    <w:rsid w:val="0050519A"/>
    <w:rsid w:val="005072A1"/>
    <w:rsid w:val="00514517"/>
    <w:rsid w:val="00543904"/>
    <w:rsid w:val="00545827"/>
    <w:rsid w:val="00560270"/>
    <w:rsid w:val="005C2568"/>
    <w:rsid w:val="006037C0"/>
    <w:rsid w:val="006631B6"/>
    <w:rsid w:val="00680577"/>
    <w:rsid w:val="006F74FA"/>
    <w:rsid w:val="00731ADD"/>
    <w:rsid w:val="00734777"/>
    <w:rsid w:val="00742318"/>
    <w:rsid w:val="00747932"/>
    <w:rsid w:val="00751A4A"/>
    <w:rsid w:val="00754BF9"/>
    <w:rsid w:val="00756632"/>
    <w:rsid w:val="00762C74"/>
    <w:rsid w:val="00786EC0"/>
    <w:rsid w:val="0079285B"/>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564C"/>
    <w:rsid w:val="00AB6293"/>
    <w:rsid w:val="00AE0928"/>
    <w:rsid w:val="00AF3B82"/>
    <w:rsid w:val="00B12E95"/>
    <w:rsid w:val="00B22876"/>
    <w:rsid w:val="00B37186"/>
    <w:rsid w:val="00B558F0"/>
    <w:rsid w:val="00BD48FE"/>
    <w:rsid w:val="00BD7BD8"/>
    <w:rsid w:val="00BE6ADC"/>
    <w:rsid w:val="00C05BFE"/>
    <w:rsid w:val="00C23CD4"/>
    <w:rsid w:val="00C61C0C"/>
    <w:rsid w:val="00C941CB"/>
    <w:rsid w:val="00CC2357"/>
    <w:rsid w:val="00CF071A"/>
    <w:rsid w:val="00D058B8"/>
    <w:rsid w:val="00D365B9"/>
    <w:rsid w:val="00D56C11"/>
    <w:rsid w:val="00D834A0"/>
    <w:rsid w:val="00D872DF"/>
    <w:rsid w:val="00D91E21"/>
    <w:rsid w:val="00DA7FCD"/>
    <w:rsid w:val="00DC61BE"/>
    <w:rsid w:val="00E27058"/>
    <w:rsid w:val="00E365E1"/>
    <w:rsid w:val="00E820A4"/>
    <w:rsid w:val="00EB006A"/>
    <w:rsid w:val="00EB4772"/>
    <w:rsid w:val="00ED169E"/>
    <w:rsid w:val="00ED4235"/>
    <w:rsid w:val="00EF3383"/>
    <w:rsid w:val="00F04346"/>
    <w:rsid w:val="00F075DC"/>
    <w:rsid w:val="00F149E9"/>
    <w:rsid w:val="00F5134D"/>
    <w:rsid w:val="00F74202"/>
    <w:rsid w:val="00F75B0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6FC909"/>
  <w15:chartTrackingRefBased/>
  <w15:docId w15:val="{0A983B75-2D37-44B8-A486-142522C5C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SUPERS,Footnote symbol,(Footnote Reference),Footnote,Voetnootverwijzing,Times 10 Point,Exposant 3 Point,Footnote reference number,note TESI,Odwołanie przypisu,Footnote Reference Number,Footnote Reference_LVL6,number, BVI fnr"/>
    <w:link w:val="ftrefCharCharCharCharCharCharCharCharCha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54BF9"/>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754BF9"/>
    <w:pPr>
      <w:keepNext/>
      <w:spacing w:after="480"/>
      <w:jc w:val="center"/>
    </w:pPr>
    <w:rPr>
      <w:rFonts w:ascii="Arial" w:hAnsi="Arial" w:cs="Arial"/>
      <w:b/>
    </w:rPr>
  </w:style>
  <w:style w:type="paragraph" w:customStyle="1" w:styleId="NormalHanging12a">
    <w:name w:val="NormalHanging12a"/>
    <w:basedOn w:val="Normal"/>
    <w:rsid w:val="00754BF9"/>
    <w:pPr>
      <w:spacing w:after="240"/>
      <w:ind w:left="567" w:hanging="567"/>
    </w:pPr>
  </w:style>
  <w:style w:type="paragraph" w:styleId="Header">
    <w:name w:val="header"/>
    <w:basedOn w:val="Normal"/>
    <w:link w:val="HeaderChar"/>
    <w:rsid w:val="00754BF9"/>
    <w:pPr>
      <w:tabs>
        <w:tab w:val="center" w:pos="4513"/>
        <w:tab w:val="right" w:pos="9026"/>
      </w:tabs>
    </w:pPr>
  </w:style>
  <w:style w:type="character" w:customStyle="1" w:styleId="HeaderChar">
    <w:name w:val="Header Char"/>
    <w:basedOn w:val="DefaultParagraphFont"/>
    <w:link w:val="Header"/>
    <w:rsid w:val="00754BF9"/>
    <w:rPr>
      <w:sz w:val="24"/>
      <w:lang w:val="hr-HR"/>
    </w:rPr>
  </w:style>
  <w:style w:type="paragraph" w:customStyle="1" w:styleId="EPFooter">
    <w:name w:val="EPFooter"/>
    <w:basedOn w:val="Normal"/>
    <w:rsid w:val="00754BF9"/>
    <w:pPr>
      <w:tabs>
        <w:tab w:val="center" w:pos="4535"/>
        <w:tab w:val="right" w:pos="9071"/>
      </w:tabs>
      <w:spacing w:before="240" w:after="240"/>
    </w:pPr>
    <w:rPr>
      <w:color w:val="010000"/>
      <w:sz w:val="22"/>
    </w:rPr>
  </w:style>
  <w:style w:type="paragraph" w:customStyle="1" w:styleId="EPComma">
    <w:name w:val="EPComma"/>
    <w:basedOn w:val="Normal"/>
    <w:rsid w:val="00754BF9"/>
    <w:pPr>
      <w:spacing w:before="480" w:after="240"/>
    </w:pPr>
  </w:style>
  <w:style w:type="paragraph" w:styleId="ListParagraph">
    <w:name w:val="List Paragraph"/>
    <w:basedOn w:val="Normal"/>
    <w:uiPriority w:val="34"/>
    <w:qFormat/>
    <w:rsid w:val="00754BF9"/>
    <w:pPr>
      <w:widowControl/>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754BF9"/>
    <w:pPr>
      <w:widowControl/>
      <w:spacing w:after="160" w:line="240" w:lineRule="exact"/>
    </w:pPr>
    <w:rPr>
      <w:sz w:val="20"/>
      <w:vertAlign w:val="superscript"/>
      <w:lang w:val="en-GB"/>
    </w:rPr>
  </w:style>
  <w:style w:type="paragraph" w:customStyle="1" w:styleId="Considrant">
    <w:name w:val="Considérant"/>
    <w:basedOn w:val="Normal"/>
    <w:rsid w:val="00754BF9"/>
    <w:pPr>
      <w:widowControl/>
      <w:numPr>
        <w:numId w:val="13"/>
      </w:numPr>
      <w:spacing w:before="120" w:after="120"/>
      <w:jc w:val="both"/>
    </w:pPr>
    <w:rPr>
      <w:rFonts w:eastAsiaTheme="minorHAnsi"/>
      <w:szCs w:val="22"/>
      <w:lang w:eastAsia="en-US"/>
    </w:rPr>
  </w:style>
  <w:style w:type="character" w:customStyle="1" w:styleId="cf01">
    <w:name w:val="cf01"/>
    <w:basedOn w:val="DefaultParagraphFont"/>
    <w:rsid w:val="00754BF9"/>
    <w:rPr>
      <w:rFonts w:ascii="Segoe UI" w:hAnsi="Segoe UI" w:cs="Segoe UI" w:hint="default"/>
      <w:sz w:val="18"/>
      <w:szCs w:val="18"/>
    </w:rPr>
  </w:style>
  <w:style w:type="paragraph" w:styleId="Footer">
    <w:name w:val="footer"/>
    <w:basedOn w:val="Normal"/>
    <w:link w:val="FooterChar"/>
    <w:rsid w:val="004B5CAF"/>
    <w:pPr>
      <w:tabs>
        <w:tab w:val="center" w:pos="4513"/>
        <w:tab w:val="right" w:pos="9026"/>
      </w:tabs>
    </w:pPr>
  </w:style>
  <w:style w:type="character" w:customStyle="1" w:styleId="FooterChar">
    <w:name w:val="Footer Char"/>
    <w:basedOn w:val="DefaultParagraphFont"/>
    <w:link w:val="Footer"/>
    <w:rsid w:val="004B5CAF"/>
    <w:rPr>
      <w:sz w:val="24"/>
      <w:lang w:val="hr-HR"/>
    </w:rPr>
  </w:style>
  <w:style w:type="paragraph" w:styleId="BalloonText">
    <w:name w:val="Balloon Text"/>
    <w:basedOn w:val="Normal"/>
    <w:link w:val="BalloonTextChar"/>
    <w:rsid w:val="004B5CAF"/>
    <w:rPr>
      <w:rFonts w:ascii="Segoe UI" w:hAnsi="Segoe UI" w:cs="Segoe UI"/>
      <w:sz w:val="18"/>
      <w:szCs w:val="18"/>
    </w:rPr>
  </w:style>
  <w:style w:type="character" w:customStyle="1" w:styleId="BalloonTextChar">
    <w:name w:val="Balloon Text Char"/>
    <w:basedOn w:val="DefaultParagraphFont"/>
    <w:link w:val="BalloonText"/>
    <w:rsid w:val="004B5CAF"/>
    <w:rPr>
      <w:rFonts w:ascii="Segoe UI" w:hAnsi="Segoe UI" w:cs="Segoe UI"/>
      <w:sz w:val="18"/>
      <w:szCs w:val="18"/>
      <w:lang w:val="hr-HR"/>
    </w:rPr>
  </w:style>
  <w:style w:type="character" w:styleId="Hyperlink">
    <w:name w:val="Hyperlink"/>
    <w:basedOn w:val="DefaultParagraphFont"/>
    <w:uiPriority w:val="99"/>
    <w:rsid w:val="0047493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agree_interinstit/2024/1365/oj"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7F2A14-C23E-4001-A342-D6866C57E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1805</Words>
  <Characters>11514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ZOVKO Jadranka</cp:lastModifiedBy>
  <cp:revision>2</cp:revision>
  <cp:lastPrinted>2004-11-19T15:42:00Z</cp:lastPrinted>
  <dcterms:created xsi:type="dcterms:W3CDTF">2024-09-09T12:30:00Z</dcterms:created>
  <dcterms:modified xsi:type="dcterms:W3CDTF">2024-09-09T12:30:00Z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P9_TA(2024)0372_</vt:lpwstr>
  </property>
  <property fmtid="{D5CDD505-2E9C-101B-9397-08002B2CF9AE}" pid="4" name="&lt;Type&gt;">
    <vt:lpwstr>RR</vt:lpwstr>
  </property>
</Properties>
</file>