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0B15" w:rsidTr="0010095E">
        <w:trPr>
          <w:trHeight w:hRule="exact" w:val="1418"/>
        </w:trPr>
        <w:tc>
          <w:tcPr>
            <w:tcW w:w="6804" w:type="dxa"/>
            <w:shd w:val="clear" w:color="auto" w:fill="auto"/>
            <w:vAlign w:val="center"/>
          </w:tcPr>
          <w:p w:rsidR="00751A4A" w:rsidRPr="004C0B15" w:rsidRDefault="001D50CF" w:rsidP="0010095E">
            <w:pPr>
              <w:pStyle w:val="EPName"/>
            </w:pPr>
            <w:r w:rsidRPr="004C0B15">
              <w:t>Európsky parlament</w:t>
            </w:r>
          </w:p>
          <w:p w:rsidR="00751A4A" w:rsidRPr="004C0B15" w:rsidRDefault="00817416" w:rsidP="00756632">
            <w:pPr>
              <w:pStyle w:val="EPTerm"/>
              <w:rPr>
                <w:rStyle w:val="HideTWBExt"/>
                <w:noProof w:val="0"/>
                <w:vanish w:val="0"/>
                <w:color w:val="auto"/>
              </w:rPr>
            </w:pPr>
            <w:r w:rsidRPr="004C0B15">
              <w:t>2019-2024</w:t>
            </w:r>
          </w:p>
        </w:tc>
        <w:tc>
          <w:tcPr>
            <w:tcW w:w="2268" w:type="dxa"/>
            <w:shd w:val="clear" w:color="auto" w:fill="auto"/>
          </w:tcPr>
          <w:p w:rsidR="00751A4A" w:rsidRPr="004C0B15" w:rsidRDefault="00187494" w:rsidP="0010095E">
            <w:pPr>
              <w:pStyle w:val="EPLogo"/>
            </w:pPr>
            <w:r w:rsidRPr="004C0B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0B15" w:rsidRDefault="00D058B8" w:rsidP="004C5D52">
      <w:pPr>
        <w:pStyle w:val="LineTop"/>
      </w:pPr>
    </w:p>
    <w:p w:rsidR="00680577" w:rsidRPr="004C0B15" w:rsidRDefault="001D50CF" w:rsidP="00680577">
      <w:pPr>
        <w:pStyle w:val="EPBodyTA1"/>
      </w:pPr>
      <w:r w:rsidRPr="004C0B15">
        <w:t>PRIJATÉ TEXTY</w:t>
      </w:r>
    </w:p>
    <w:p w:rsidR="00D058B8" w:rsidRPr="004C0B15" w:rsidRDefault="00D058B8" w:rsidP="00D058B8">
      <w:pPr>
        <w:pStyle w:val="LineBottom"/>
      </w:pPr>
    </w:p>
    <w:p w:rsidR="001D50CF" w:rsidRPr="004C0B15" w:rsidRDefault="001D50CF" w:rsidP="001D50CF">
      <w:pPr>
        <w:pStyle w:val="ATHeading1"/>
      </w:pPr>
      <w:bookmarkStart w:id="0" w:name="TANumber"/>
      <w:r w:rsidRPr="004C0B15">
        <w:t>P9_TA(2024)0</w:t>
      </w:r>
      <w:r w:rsidR="002D1843" w:rsidRPr="004C0B15">
        <w:t>372</w:t>
      </w:r>
      <w:bookmarkEnd w:id="0"/>
    </w:p>
    <w:p w:rsidR="001D50CF" w:rsidRPr="004C0B15" w:rsidRDefault="001D50CF" w:rsidP="001D50CF">
      <w:pPr>
        <w:pStyle w:val="ATHeading2"/>
      </w:pPr>
      <w:bookmarkStart w:id="1" w:name="title"/>
      <w:r w:rsidRPr="004C0B15">
        <w:t>Medziinštitucionálny orgán pre etické normy</w:t>
      </w:r>
      <w:bookmarkEnd w:id="1"/>
    </w:p>
    <w:p w:rsidR="001D50CF" w:rsidRPr="004C0B15" w:rsidRDefault="001D50CF" w:rsidP="001D50CF">
      <w:pPr>
        <w:rPr>
          <w:i/>
          <w:vanish/>
        </w:rPr>
      </w:pPr>
      <w:r w:rsidRPr="004C0B15">
        <w:rPr>
          <w:i/>
        </w:rPr>
        <w:fldChar w:fldCharType="begin"/>
      </w:r>
      <w:r w:rsidRPr="004C0B15">
        <w:rPr>
          <w:i/>
        </w:rPr>
        <w:instrText xml:space="preserve"> TC"(</w:instrText>
      </w:r>
      <w:bookmarkStart w:id="2" w:name="DocNumber"/>
      <w:r w:rsidRPr="004C0B15">
        <w:rPr>
          <w:i/>
        </w:rPr>
        <w:instrText>A9-0181/2024</w:instrText>
      </w:r>
      <w:bookmarkEnd w:id="2"/>
      <w:r w:rsidRPr="004C0B15">
        <w:rPr>
          <w:i/>
        </w:rPr>
        <w:instrText xml:space="preserve"> - Spravodajca: Daniel Freund)"\l3 \n&gt; \* MERGEFORMAT </w:instrText>
      </w:r>
      <w:r w:rsidRPr="004C0B15">
        <w:rPr>
          <w:i/>
        </w:rPr>
        <w:fldChar w:fldCharType="end"/>
      </w:r>
    </w:p>
    <w:p w:rsidR="001D50CF" w:rsidRPr="004C0B15" w:rsidRDefault="001D50CF" w:rsidP="001D50CF">
      <w:pPr>
        <w:rPr>
          <w:vanish/>
        </w:rPr>
      </w:pPr>
      <w:bookmarkStart w:id="3" w:name="Commission"/>
      <w:r w:rsidRPr="004C0B15">
        <w:rPr>
          <w:vanish/>
        </w:rPr>
        <w:t>Výbor pre ústavné veci</w:t>
      </w:r>
      <w:bookmarkEnd w:id="3"/>
    </w:p>
    <w:p w:rsidR="001D50CF" w:rsidRPr="004C0B15" w:rsidRDefault="001D50CF" w:rsidP="001D50CF">
      <w:pPr>
        <w:rPr>
          <w:vanish/>
        </w:rPr>
      </w:pPr>
      <w:bookmarkStart w:id="4" w:name="PE"/>
      <w:r w:rsidRPr="004C0B15">
        <w:rPr>
          <w:vanish/>
        </w:rPr>
        <w:t>PE759.998</w:t>
      </w:r>
      <w:bookmarkEnd w:id="4"/>
    </w:p>
    <w:p w:rsidR="001D50CF" w:rsidRPr="004C0B15" w:rsidRDefault="001D50CF" w:rsidP="001D50CF">
      <w:pPr>
        <w:pStyle w:val="ATHeading3"/>
      </w:pPr>
      <w:bookmarkStart w:id="5" w:name="Sujet"/>
      <w:r w:rsidRPr="004C0B15">
        <w:t>Rozhodnutie Európskeho parlamentu z</w:t>
      </w:r>
      <w:r w:rsidR="000544F9" w:rsidRPr="004C0B15">
        <w:t> 25</w:t>
      </w:r>
      <w:r w:rsidRPr="004C0B15">
        <w:t>. apríla 2024 o uzavretí dohody medzi Európskym parlamentom, Radou, Európskou komisiou, Súdnym dvorom Európskej únie, Európskou centrálnou bankou, Európskym dvorom audítorov, Európskym hospodárskym a sociálnym výborom a Európskym výborom regiónov, ktorou sa zriaďuje medziinštitucionálny orgán pre etické normy týkajúce sa členov inštitúcií a poradných orgánov uvedených v článku 13 Zmluvy o Európskej únii</w:t>
      </w:r>
      <w:bookmarkEnd w:id="5"/>
      <w:r w:rsidRPr="004C0B15">
        <w:t xml:space="preserve"> </w:t>
      </w:r>
      <w:bookmarkStart w:id="6" w:name="References"/>
      <w:r w:rsidRPr="004C0B15">
        <w:t>(2024/2008(ACI))</w:t>
      </w:r>
      <w:bookmarkEnd w:id="6"/>
    </w:p>
    <w:p w:rsidR="00A15ED1" w:rsidRPr="004C0B15" w:rsidRDefault="00A15ED1" w:rsidP="00A15ED1">
      <w:pPr>
        <w:pStyle w:val="EPComma"/>
      </w:pPr>
      <w:bookmarkStart w:id="7" w:name="TextBodyBegin"/>
      <w:bookmarkEnd w:id="7"/>
      <w:r w:rsidRPr="004C0B15">
        <w:rPr>
          <w:i/>
          <w:iCs/>
        </w:rPr>
        <w:t>Európsky parlament</w:t>
      </w:r>
      <w:r w:rsidRPr="004C0B15">
        <w:t>,</w:t>
      </w:r>
    </w:p>
    <w:p w:rsidR="00A15ED1" w:rsidRPr="004C0B15" w:rsidRDefault="00A15ED1" w:rsidP="00A15ED1">
      <w:pPr>
        <w:pStyle w:val="NormalHanging12a"/>
      </w:pPr>
      <w:r w:rsidRPr="004C0B15">
        <w:t>–</w:t>
      </w:r>
      <w:r w:rsidRPr="004C0B15">
        <w:tab/>
        <w:t>so zreteľom na rozhodnutia Konferencie predsedov zo 14. a 19. marca 2024, ktorými sa schvaľuje návrh medziinštitucionálnej dohody, ktorou sa zriaďuje medziinštitucionálny orgán pre etické normy týkajúce sa členov inštitúcií a poradných orgánov uvedených v článku 13 Zmluvy o Európskej únii,</w:t>
      </w:r>
    </w:p>
    <w:p w:rsidR="00A15ED1" w:rsidRPr="004C0B15" w:rsidRDefault="00A15ED1" w:rsidP="00A15ED1">
      <w:pPr>
        <w:pStyle w:val="NormalHanging12a"/>
      </w:pPr>
      <w:r w:rsidRPr="004C0B15">
        <w:t>–</w:t>
      </w:r>
      <w:r w:rsidRPr="004C0B15">
        <w:tab/>
        <w:t>so zreteľom na návrh dohody medzi Európskym parlamentom, Radou, Európskou komisiou, Súdnym dvorom Európskej únie, Európskou centrálnou bankou, Európskym dvorom audítorov, Európskym hospodárskym a sociálnym výborom a Európskym výborom regiónov, ktorou sa zriaďuje medziinštitucionálny orgán pre etické normy týkajúce sa členov inštitúcií a poradných orgánov uvedených v článku 13 Zmluvy o Európskej únii (ďalej len „dohoda“),</w:t>
      </w:r>
    </w:p>
    <w:p w:rsidR="00A15ED1" w:rsidRPr="004C0B15" w:rsidRDefault="00A15ED1" w:rsidP="00A15ED1">
      <w:pPr>
        <w:pStyle w:val="NormalHanging12a"/>
      </w:pPr>
      <w:r w:rsidRPr="004C0B15">
        <w:t>–</w:t>
      </w:r>
      <w:r w:rsidRPr="004C0B15">
        <w:tab/>
        <w:t>so zreteľom na článok 13 Zmluvy o Európskej únii,</w:t>
      </w:r>
    </w:p>
    <w:p w:rsidR="00A15ED1" w:rsidRPr="004C0B15" w:rsidRDefault="00A15ED1" w:rsidP="00A15ED1">
      <w:pPr>
        <w:pStyle w:val="NormalHanging12a"/>
      </w:pPr>
      <w:r w:rsidRPr="004C0B15">
        <w:t>–</w:t>
      </w:r>
      <w:r w:rsidRPr="004C0B15">
        <w:tab/>
        <w:t>so zreteľom na článok 232 Zmluvy o fungovaní Európskej únie,</w:t>
      </w:r>
    </w:p>
    <w:p w:rsidR="00A15ED1" w:rsidRPr="004C0B15" w:rsidRDefault="00A15ED1" w:rsidP="00A15ED1">
      <w:pPr>
        <w:pStyle w:val="NormalHanging12a"/>
      </w:pPr>
      <w:r w:rsidRPr="004C0B15">
        <w:t>–</w:t>
      </w:r>
      <w:r w:rsidRPr="004C0B15">
        <w:tab/>
        <w:t>so zreteľom na oznámenie Komisie z 8. júna 2023 o návrhu na zriadenie medziinštitucionálneho etického orgánu a jeho prílohy</w:t>
      </w:r>
      <w:r w:rsidR="000544F9" w:rsidRPr="004C0B15">
        <w:t xml:space="preserve"> (COM(2023)0311)</w:t>
      </w:r>
      <w:r w:rsidRPr="004C0B15">
        <w:t>,</w:t>
      </w:r>
    </w:p>
    <w:p w:rsidR="00A15ED1" w:rsidRPr="004C0B15" w:rsidRDefault="00A15ED1" w:rsidP="00A15ED1">
      <w:pPr>
        <w:pStyle w:val="NormalHanging12a"/>
      </w:pPr>
      <w:r w:rsidRPr="004C0B15">
        <w:t>–</w:t>
      </w:r>
      <w:r w:rsidRPr="004C0B15">
        <w:tab/>
        <w:t>so zreteľom na svoje uznesenie zo 16. septembra 2021 o posilnení transparentnosti a integrity v inštitúciách EÚ zriadením nezávislého etického orgánu EÚ</w:t>
      </w:r>
      <w:r w:rsidRPr="004C0B15">
        <w:rPr>
          <w:rStyle w:val="FootnoteReference"/>
        </w:rPr>
        <w:footnoteReference w:id="1"/>
      </w:r>
      <w:r w:rsidRPr="004C0B15">
        <w:t>,</w:t>
      </w:r>
    </w:p>
    <w:p w:rsidR="00A15ED1" w:rsidRPr="004C0B15" w:rsidRDefault="00A15ED1" w:rsidP="00A15ED1">
      <w:pPr>
        <w:pStyle w:val="NormalHanging12a"/>
      </w:pPr>
      <w:r w:rsidRPr="004C0B15">
        <w:t>–</w:t>
      </w:r>
      <w:r w:rsidRPr="004C0B15">
        <w:tab/>
        <w:t xml:space="preserve">so zreteľom na svoje uznesenie z 15. decembra 2022 o podozreniach z korupcie zo strany Kataru a širšej potrebe transparentnosti a zodpovednosti v európskych </w:t>
      </w:r>
      <w:r w:rsidRPr="004C0B15">
        <w:lastRenderedPageBreak/>
        <w:t>inštitúciách</w:t>
      </w:r>
      <w:r w:rsidRPr="004C0B15">
        <w:rPr>
          <w:rStyle w:val="FootnoteReference"/>
        </w:rPr>
        <w:footnoteReference w:id="2"/>
      </w:r>
      <w:r w:rsidRPr="004C0B15">
        <w:t>,</w:t>
      </w:r>
    </w:p>
    <w:p w:rsidR="00A15ED1" w:rsidRPr="004C0B15" w:rsidRDefault="00A15ED1" w:rsidP="00A15ED1">
      <w:pPr>
        <w:pStyle w:val="NormalHanging12a"/>
      </w:pPr>
      <w:r w:rsidRPr="004C0B15">
        <w:t>–</w:t>
      </w:r>
      <w:r w:rsidRPr="004C0B15">
        <w:tab/>
        <w:t>so zreteľom na svoje uznesenie zo 16. februára 2023 o zriadení nezávislého etického orgánu EÚ</w:t>
      </w:r>
      <w:r w:rsidRPr="004C0B15">
        <w:rPr>
          <w:rStyle w:val="FootnoteReference"/>
        </w:rPr>
        <w:footnoteReference w:id="3"/>
      </w:r>
      <w:r w:rsidRPr="004C0B15">
        <w:t>,</w:t>
      </w:r>
    </w:p>
    <w:p w:rsidR="00A15ED1" w:rsidRPr="004C0B15" w:rsidRDefault="00A15ED1" w:rsidP="00A15ED1">
      <w:pPr>
        <w:pStyle w:val="NormalHanging12a"/>
      </w:pPr>
      <w:r w:rsidRPr="004C0B15">
        <w:t>–</w:t>
      </w:r>
      <w:r w:rsidRPr="004C0B15">
        <w:tab/>
        <w:t>so zreteľom na svoje uznesenie zo 16. februára 2023 o nadviazaní na opatrenia požadované Európskym parlamentom s cieľom posilniť integritu európskych inštitúcií</w:t>
      </w:r>
      <w:r w:rsidRPr="004C0B15">
        <w:rPr>
          <w:rStyle w:val="FootnoteReference"/>
        </w:rPr>
        <w:footnoteReference w:id="4"/>
      </w:r>
      <w:r w:rsidRPr="004C0B15">
        <w:t>,</w:t>
      </w:r>
    </w:p>
    <w:p w:rsidR="00A15ED1" w:rsidRPr="004C0B15" w:rsidRDefault="00A15ED1" w:rsidP="00A15ED1">
      <w:pPr>
        <w:pStyle w:val="NormalHanging12a"/>
      </w:pPr>
      <w:r w:rsidRPr="004C0B15">
        <w:t>–</w:t>
      </w:r>
      <w:r w:rsidRPr="004C0B15">
        <w:tab/>
        <w:t>so zreteľom na svoje uznesenie z 12. júla 2023 o zriadení nezávislého etického orgánu EÚ</w:t>
      </w:r>
      <w:r w:rsidRPr="004C0B15">
        <w:rPr>
          <w:rStyle w:val="FootnoteReference"/>
        </w:rPr>
        <w:footnoteReference w:id="5"/>
      </w:r>
      <w:r w:rsidRPr="004C0B15">
        <w:t>,</w:t>
      </w:r>
    </w:p>
    <w:p w:rsidR="00A15ED1" w:rsidRPr="004C0B15" w:rsidRDefault="00A15ED1" w:rsidP="00A15ED1">
      <w:pPr>
        <w:pStyle w:val="NormalHanging12a"/>
        <w:rPr>
          <w:szCs w:val="24"/>
        </w:rPr>
      </w:pPr>
      <w:r w:rsidRPr="004C0B15">
        <w:t>–</w:t>
      </w:r>
      <w:r w:rsidRPr="004C0B15">
        <w:tab/>
        <w:t>so zreteľom na</w:t>
      </w:r>
      <w:r w:rsidR="004D1129" w:rsidRPr="004C0B15">
        <w:t xml:space="preserve"> svoje</w:t>
      </w:r>
      <w:r w:rsidRPr="004C0B15">
        <w:t xml:space="preserve"> uznesenie z 13. júla 2023 o odporúčaniach na reformu pravidiel Európskeho parlamentu týkajúcich sa transparentnosti, integrity, vyvodzovania zodpovednosti a boja proti korupcii</w:t>
      </w:r>
      <w:r w:rsidRPr="004C0B15">
        <w:rPr>
          <w:vertAlign w:val="superscript"/>
        </w:rPr>
        <w:footnoteReference w:id="6"/>
      </w:r>
      <w:r w:rsidRPr="004C0B15">
        <w:t>,</w:t>
      </w:r>
    </w:p>
    <w:p w:rsidR="00A15ED1" w:rsidRPr="004C0B15" w:rsidRDefault="00A15ED1" w:rsidP="00A15ED1">
      <w:pPr>
        <w:pStyle w:val="NormalHanging12a"/>
      </w:pPr>
      <w:r w:rsidRPr="004C0B15">
        <w:t>–</w:t>
      </w:r>
      <w:r w:rsidRPr="004C0B15">
        <w:tab/>
        <w:t>so zreteľom na článok 148 ods. 1 rokovacieho poriadku,</w:t>
      </w:r>
    </w:p>
    <w:p w:rsidR="00A15ED1" w:rsidRPr="004C0B15" w:rsidRDefault="00A15ED1" w:rsidP="00A15ED1">
      <w:pPr>
        <w:pStyle w:val="NormalHanging12a"/>
      </w:pPr>
      <w:r w:rsidRPr="004C0B15">
        <w:t>–</w:t>
      </w:r>
      <w:r w:rsidRPr="004C0B15">
        <w:tab/>
        <w:t>so zreteľom na správu Výboru pre ústavné veci (A9-0181/2024),</w:t>
      </w:r>
    </w:p>
    <w:p w:rsidR="00A15ED1" w:rsidRPr="004C0B15" w:rsidRDefault="00A15ED1" w:rsidP="00A15ED1">
      <w:pPr>
        <w:pStyle w:val="NormalHanging12a"/>
        <w:rPr>
          <w:szCs w:val="24"/>
        </w:rPr>
      </w:pPr>
      <w:r w:rsidRPr="004C0B15">
        <w:t>A.</w:t>
      </w:r>
      <w:r w:rsidRPr="004C0B15">
        <w:tab/>
        <w:t>keďže nezávislosť, transparentnosť a zodpovednosť inštitúcií EÚ sú mimoriadne dôležité pre ich demokratickú legitimitu a pre posilnenie dôvery občanov;</w:t>
      </w:r>
      <w:r w:rsidRPr="004C0B15">
        <w:rPr>
          <w:b/>
        </w:rPr>
        <w:t xml:space="preserve"> </w:t>
      </w:r>
      <w:r w:rsidRPr="004C0B15">
        <w:t>keďže Európsky parlament dnes patrí medzi najtransparentnejšie zákonodarné orgány na svete;</w:t>
      </w:r>
    </w:p>
    <w:p w:rsidR="00A15ED1" w:rsidRPr="004C0B15" w:rsidRDefault="00A15ED1" w:rsidP="00A15ED1">
      <w:pPr>
        <w:pStyle w:val="NormalHanging12a"/>
      </w:pPr>
      <w:r w:rsidRPr="004C0B15">
        <w:t>B.</w:t>
      </w:r>
      <w:r w:rsidRPr="004C0B15">
        <w:tab/>
        <w:t>keďže treba riešiť nedostatky vyplývajúce zo súčasného etického rámca, ktorý je v inštitúciách, orgánoch, úradoch a agentúrach EÚ nekonzistentný, s rôznymi pravidlami, postupmi a úrovňami presadzovania;</w:t>
      </w:r>
    </w:p>
    <w:p w:rsidR="00A15ED1" w:rsidRPr="004C0B15" w:rsidRDefault="00A15ED1" w:rsidP="00A15ED1">
      <w:pPr>
        <w:pStyle w:val="NormalHanging12a"/>
      </w:pPr>
      <w:r w:rsidRPr="004C0B15">
        <w:t>C.</w:t>
      </w:r>
      <w:r w:rsidRPr="004C0B15">
        <w:tab/>
        <w:t xml:space="preserve">keďže </w:t>
      </w:r>
      <w:r w:rsidR="004D1129" w:rsidRPr="004C0B15">
        <w:t>Európsky p</w:t>
      </w:r>
      <w:r w:rsidRPr="004C0B15">
        <w:t>arlament vo svojom uznesení zo 16. septembra 2021</w:t>
      </w:r>
      <w:r w:rsidR="00074ECA" w:rsidRPr="004C0B15">
        <w:rPr>
          <w:rStyle w:val="FootnoteReference"/>
        </w:rPr>
        <w:footnoteReference w:id="7"/>
      </w:r>
      <w:r w:rsidRPr="004C0B15">
        <w:t xml:space="preserve"> a vo svojich následných uzneseniach zo 16. februára 2023</w:t>
      </w:r>
      <w:r w:rsidR="00074ECA" w:rsidRPr="004C0B15">
        <w:rPr>
          <w:rStyle w:val="FootnoteReference"/>
        </w:rPr>
        <w:footnoteReference w:id="8"/>
      </w:r>
      <w:r w:rsidRPr="004C0B15">
        <w:t xml:space="preserve"> a 12. júla 2023</w:t>
      </w:r>
      <w:r w:rsidR="00074ECA" w:rsidRPr="004C0B15">
        <w:rPr>
          <w:rStyle w:val="FootnoteReference"/>
        </w:rPr>
        <w:footnoteReference w:id="9"/>
      </w:r>
      <w:r w:rsidRPr="004C0B15">
        <w:t xml:space="preserve"> navrhol zriadiť ambiciózny, skutočný a nezávislý etický orgán;</w:t>
      </w:r>
    </w:p>
    <w:p w:rsidR="00A15ED1" w:rsidRPr="004C0B15" w:rsidRDefault="00A15ED1" w:rsidP="00A15ED1">
      <w:pPr>
        <w:pStyle w:val="NormalHanging12a"/>
        <w:rPr>
          <w:szCs w:val="24"/>
        </w:rPr>
      </w:pPr>
      <w:r w:rsidRPr="004C0B15">
        <w:t>D.</w:t>
      </w:r>
      <w:r w:rsidRPr="004C0B15">
        <w:tab/>
        <w:t xml:space="preserve">keďže Komisia 8. júna 2023 predložila svoj návrh na zriadenie medziinštitucionálneho etického orgánu, pričom navrhla normalizačný orgán; keďže </w:t>
      </w:r>
      <w:r w:rsidR="00401C18" w:rsidRPr="004C0B15">
        <w:t xml:space="preserve">uvedený </w:t>
      </w:r>
      <w:r w:rsidRPr="004C0B15">
        <w:t>návrh Komisie zďaleka nedosahuje ambície uvedené v uzneseniach Európskeho parlamentu, pričom chýba najmä kapacita na preskúmanie jednotlivých prípadov a možných porušení etických pravidiel a na odporučenie sankcií;</w:t>
      </w:r>
    </w:p>
    <w:p w:rsidR="00A15ED1" w:rsidRPr="004C0B15" w:rsidRDefault="00A15ED1" w:rsidP="00A15ED1">
      <w:pPr>
        <w:pStyle w:val="NormalHanging12a"/>
        <w:rPr>
          <w:color w:val="000000"/>
        </w:rPr>
      </w:pPr>
      <w:r w:rsidRPr="004C0B15">
        <w:t>E.</w:t>
      </w:r>
      <w:r w:rsidRPr="004C0B15">
        <w:tab/>
        <w:t>keďže uznesenia Európskeho parlamentu zo 16. februára 2023</w:t>
      </w:r>
      <w:r w:rsidRPr="004C0B15">
        <w:rPr>
          <w:rStyle w:val="FootnoteReference"/>
        </w:rPr>
        <w:footnoteReference w:id="10"/>
      </w:r>
      <w:r w:rsidRPr="004C0B15">
        <w:t xml:space="preserve"> a z 12. júla 2023</w:t>
      </w:r>
      <w:r w:rsidRPr="004C0B15">
        <w:rPr>
          <w:rStyle w:val="FootnoteReference"/>
          <w:color w:val="000000"/>
        </w:rPr>
        <w:footnoteReference w:id="11"/>
      </w:r>
      <w:r w:rsidRPr="004C0B15">
        <w:t xml:space="preserve"> slúžili ako mandát</w:t>
      </w:r>
      <w:r w:rsidR="004D1129" w:rsidRPr="004C0B15">
        <w:t xml:space="preserve"> Európskeho p</w:t>
      </w:r>
      <w:r w:rsidRPr="004C0B15">
        <w:t>arlamentu na rokovania;</w:t>
      </w:r>
    </w:p>
    <w:p w:rsidR="00A15ED1" w:rsidRPr="004C0B15" w:rsidRDefault="00A15ED1" w:rsidP="00A15ED1">
      <w:pPr>
        <w:pStyle w:val="NormalHanging12a"/>
      </w:pPr>
      <w:r w:rsidRPr="004C0B15">
        <w:t>F.</w:t>
      </w:r>
      <w:r w:rsidRPr="004C0B15">
        <w:tab/>
      </w:r>
      <w:r w:rsidRPr="004C0B15">
        <w:rPr>
          <w:color w:val="000000"/>
        </w:rPr>
        <w:t xml:space="preserve">keďže medziinštitucionálny etický orgán prispeje k posilneniu dôvery v inštitúcie </w:t>
      </w:r>
      <w:r w:rsidR="004D1129" w:rsidRPr="004C0B15">
        <w:rPr>
          <w:color w:val="000000"/>
        </w:rPr>
        <w:t>E</w:t>
      </w:r>
      <w:r w:rsidRPr="004C0B15">
        <w:rPr>
          <w:color w:val="000000"/>
        </w:rPr>
        <w:t xml:space="preserve">Ú a ich demokratickej legitimity, ako aj k budovaniu inštitucionálnej kultúry založenej na </w:t>
      </w:r>
      <w:r w:rsidRPr="004C0B15">
        <w:rPr>
          <w:color w:val="000000"/>
        </w:rPr>
        <w:lastRenderedPageBreak/>
        <w:t>najvyšších etických normách;</w:t>
      </w:r>
    </w:p>
    <w:p w:rsidR="00A15ED1" w:rsidRPr="004C0B15" w:rsidRDefault="00A15ED1" w:rsidP="00A15ED1">
      <w:pPr>
        <w:pStyle w:val="NormalHanging12a"/>
      </w:pPr>
      <w:r w:rsidRPr="004C0B15">
        <w:t>G.</w:t>
      </w:r>
      <w:r w:rsidRPr="004C0B15">
        <w:tab/>
        <w:t xml:space="preserve">keďže súčasné etické pravidlá </w:t>
      </w:r>
      <w:r w:rsidR="004D1129" w:rsidRPr="004C0B15">
        <w:t>Európskeho p</w:t>
      </w:r>
      <w:r w:rsidRPr="004C0B15">
        <w:t>arlamentu v jeho rokovacom poriadku stanovujú mnoho štandardizovaných písomných vyhlásení vrátane vyhlásení o súkromných záujmoch, majetkových priznaní, vyhlásení o vedomí o konflikte záujmov pre funkcionárov, spravodajcov, tieňových spravodajcov a účastníkov oficiálnej delegácie alebo medziinštitucionálnych rokovaní, vyhlásení o plánovaných stretnutiach so zástupcami záujmových skupín, a to aj v prípadoch, keď sú delegované na ich asistentov, vyhlásení o príspevkoch spravodajcov k ich spisom, vyhlásení o účasti na podujatiach organizovaných tretími stranami, vyhlásení o daroch a vyhlásení medziskupín alebo ne</w:t>
      </w:r>
      <w:r w:rsidR="00F60C33" w:rsidRPr="004C0B15">
        <w:t>oficiálnych</w:t>
      </w:r>
      <w:r w:rsidRPr="004C0B15">
        <w:t xml:space="preserve"> zoskupení o vonkajšej finančnej podpore;</w:t>
      </w:r>
    </w:p>
    <w:p w:rsidR="00A15ED1" w:rsidRPr="004C0B15" w:rsidRDefault="00A15ED1" w:rsidP="00A15ED1">
      <w:pPr>
        <w:pStyle w:val="NormalHanging12a"/>
        <w:rPr>
          <w:szCs w:val="24"/>
        </w:rPr>
      </w:pPr>
      <w:r w:rsidRPr="004C0B15">
        <w:t>1.</w:t>
      </w:r>
      <w:r w:rsidRPr="004C0B15">
        <w:tab/>
        <w:t>víta dohodu, ktorá umožňuje vypracovanie prísnych spoločných etických noriem a výmenu najlepších postupov, ako aj preskúmanie jednotlivých prípadov nezávislými expertmi na žiadosť inštitúcie alebo poradného orgánu, ktorý je zmluvnou stranou dohody v súvislosti s akýmkoľvek vyhlásením ich členov;</w:t>
      </w:r>
    </w:p>
    <w:p w:rsidR="00A15ED1" w:rsidRPr="004C0B15" w:rsidRDefault="00A15ED1" w:rsidP="00A15ED1">
      <w:pPr>
        <w:pStyle w:val="NormalHanging12a"/>
        <w:rPr>
          <w:szCs w:val="24"/>
        </w:rPr>
      </w:pPr>
      <w:r w:rsidRPr="004C0B15">
        <w:t>2.</w:t>
      </w:r>
      <w:r w:rsidRPr="004C0B15">
        <w:tab/>
        <w:t>zdôrazňuje skutočnosť, že konečnú rozhodovaciu právomoc v oblasti vykonávania majú aj naďalej príslušné orgány inštitúcií alebo orgánov; konštatuje, že každá konzultácia s nezávislými expertmi o konkrétnom prípade sa v súvislosti s jej vlastnými členmi začína žiadosťou</w:t>
      </w:r>
      <w:r w:rsidR="00A17516" w:rsidRPr="004C0B15">
        <w:t xml:space="preserve"> zmluvnej</w:t>
      </w:r>
      <w:r w:rsidRPr="004C0B15">
        <w:t xml:space="preserve"> strany dohody v súlade s jej vnútornými pravidlami; zdôrazňuje, že vyhlásenia o finančných záujmoch dezignovaných komisárov by sa ako prípady na vysokej úrovni presahujúce záujmy dotknutej inštitúcie mali spravidla podrobiť skúmaniu nezávislých expertov; </w:t>
      </w:r>
    </w:p>
    <w:p w:rsidR="00A15ED1" w:rsidRPr="004C0B15" w:rsidRDefault="00A15ED1" w:rsidP="00A15ED1">
      <w:pPr>
        <w:pStyle w:val="NormalHanging12a"/>
        <w:rPr>
          <w:szCs w:val="24"/>
        </w:rPr>
      </w:pPr>
      <w:r w:rsidRPr="004C0B15">
        <w:t>3.</w:t>
      </w:r>
      <w:r w:rsidRPr="004C0B15">
        <w:tab/>
        <w:t xml:space="preserve">opätovne však pripomína, že </w:t>
      </w:r>
      <w:r w:rsidR="004D1129" w:rsidRPr="004C0B15">
        <w:t>Európsky p</w:t>
      </w:r>
      <w:r w:rsidRPr="004C0B15">
        <w:t xml:space="preserve">arlament je aj naďalej plne odhodlaný vytvoriť nezávislý etický orgán, ktorý by bol schopný vykonávať vyšetrovania z vlastnej iniciatívy a vydávať odporúčania týkajúce sa sankcií pre zodpovedné orgány zúčastnených inštitúcií alebo orgánov, zložený z nezávislých odborníkov ako riadnych členov, ktorý by sa vzťahoval na členov inštitúcií a orgánov EÚ pred, počas a po skončení ich funkčného obdobia alebo služby, ako aj na zamestnancov, ako sa predpokladá v uznesení </w:t>
      </w:r>
      <w:r w:rsidR="004D1129" w:rsidRPr="004C0B15">
        <w:t>Európskeho p</w:t>
      </w:r>
      <w:r w:rsidRPr="004C0B15">
        <w:t>arlamentu zo 16. septembra 2021</w:t>
      </w:r>
      <w:r w:rsidRPr="004C0B15">
        <w:rPr>
          <w:vertAlign w:val="superscript"/>
        </w:rPr>
        <w:footnoteReference w:id="12"/>
      </w:r>
      <w:r w:rsidRPr="004C0B15">
        <w:t xml:space="preserve"> a ako sa opakuje v jeho uzneseniach zo 16. februára 2023</w:t>
      </w:r>
      <w:r w:rsidRPr="004C0B15">
        <w:rPr>
          <w:vertAlign w:val="superscript"/>
        </w:rPr>
        <w:footnoteReference w:id="13"/>
      </w:r>
      <w:r w:rsidRPr="004C0B15">
        <w:t xml:space="preserve"> a z 12. júla 2023</w:t>
      </w:r>
      <w:r w:rsidRPr="004C0B15">
        <w:rPr>
          <w:vertAlign w:val="superscript"/>
        </w:rPr>
        <w:footnoteReference w:id="14"/>
      </w:r>
      <w:r w:rsidRPr="004C0B15">
        <w:t>;</w:t>
      </w:r>
    </w:p>
    <w:p w:rsidR="00A15ED1" w:rsidRPr="004C0B15" w:rsidRDefault="00A15ED1" w:rsidP="00A15ED1">
      <w:pPr>
        <w:pStyle w:val="NormalHanging12a"/>
      </w:pPr>
      <w:r w:rsidRPr="004C0B15">
        <w:t>4.</w:t>
      </w:r>
      <w:r w:rsidRPr="004C0B15">
        <w:tab/>
        <w:t>vyjadruje poľutovanie nad tým, že Európska rada sa rozhodla nepristúpiť k dohode;</w:t>
      </w:r>
    </w:p>
    <w:p w:rsidR="00A15ED1" w:rsidRPr="004C0B15" w:rsidRDefault="00A15ED1" w:rsidP="00A15ED1">
      <w:pPr>
        <w:pStyle w:val="NormalHanging12a"/>
        <w:rPr>
          <w:szCs w:val="24"/>
        </w:rPr>
      </w:pPr>
      <w:r w:rsidRPr="004C0B15">
        <w:t>5.</w:t>
      </w:r>
      <w:r w:rsidRPr="004C0B15">
        <w:tab/>
        <w:t xml:space="preserve">vyjadruje poľutovanie nad neochotou Rady rozšíriť rozsah pôsobnosti dohody aspoň na zástupcov na ministerskej úrovni členského štátu, ktorý predsedá Rade, čo zdôvodňuje tým, že v zmluvách neexistuje právny základ na prijatie spoločných minimálnych noriem vzťahujúcich sa na zástupcov členských štátov; zaväzuje sa využiť prvé preskúmanie dohody na odstránenie tejto právnej medzery a medzitým vyzýva nadchádzajúce predsedníctva Rady, aby dobrovoľne uplatňovali jej ustanovenia; zastáva názor, že členovia Rady, podobne ako poslanci Európskeho parlamentu, by mohli byť viazaní pravidlami stanovenými Radou na základe jej právomoci samoorganizácie, ktoré by boli v prípade rozporu s vnútroštátnymi pravidlami rozhodujúce; v tejto súvislosti zdôrazňuje, že zástupcovia členských štátov zhromaždení v Rade konajú pri prijímaní právnych aktov EÚ ako členovia Rady; zaväzuje sa požiadať o právne vysvetlenie, či by Rada mohla zaväzovať svojich členov na základe spoločných </w:t>
      </w:r>
      <w:r w:rsidRPr="004C0B15">
        <w:lastRenderedPageBreak/>
        <w:t>minimálnych noriem;</w:t>
      </w:r>
    </w:p>
    <w:p w:rsidR="00A15ED1" w:rsidRPr="004C0B15" w:rsidRDefault="00A15ED1" w:rsidP="00A15ED1">
      <w:pPr>
        <w:pStyle w:val="NormalHanging12a"/>
        <w:rPr>
          <w:szCs w:val="24"/>
        </w:rPr>
      </w:pPr>
      <w:r w:rsidRPr="004C0B15">
        <w:t>6.</w:t>
      </w:r>
      <w:r w:rsidRPr="004C0B15">
        <w:tab/>
        <w:t xml:space="preserve">zastáva názor, že poskytnuté zdroje musia umožniť riadne fungovanie </w:t>
      </w:r>
      <w:r w:rsidR="00CB00C8" w:rsidRPr="004C0B15">
        <w:t xml:space="preserve">samotného </w:t>
      </w:r>
      <w:r w:rsidR="009D48A1" w:rsidRPr="004C0B15">
        <w:t xml:space="preserve">medziinštitucionálneho </w:t>
      </w:r>
      <w:r w:rsidRPr="004C0B15">
        <w:t xml:space="preserve">orgánu </w:t>
      </w:r>
      <w:r w:rsidR="009D48A1" w:rsidRPr="004C0B15">
        <w:t>pre etické normy (ďalej len „orgán</w:t>
      </w:r>
      <w:r w:rsidR="004D1129" w:rsidRPr="004C0B15">
        <w:t xml:space="preserve"> pre etické normy</w:t>
      </w:r>
      <w:r w:rsidR="009D48A1" w:rsidRPr="004C0B15">
        <w:t xml:space="preserve">“) </w:t>
      </w:r>
      <w:r w:rsidRPr="004C0B15">
        <w:t>zloženého z jedného zástupcu každej zmluvnej strany dohody a piatich nezávislých expertov, ktorí pomáhajú inštitucionálnym zástupcom a pripájajú sa k</w:t>
      </w:r>
      <w:r w:rsidR="004D1129" w:rsidRPr="004C0B15">
        <w:t> </w:t>
      </w:r>
      <w:r w:rsidRPr="004C0B15">
        <w:t>orgánu</w:t>
      </w:r>
      <w:r w:rsidR="004D1129" w:rsidRPr="004C0B15">
        <w:t xml:space="preserve"> pre etické normy</w:t>
      </w:r>
      <w:r w:rsidRPr="004C0B15">
        <w:t xml:space="preserve"> ako pozorovatelia a musia im zabezpečiť všetku potrebnú podporu; vyjadruje poľutovanie nad tým, že podľa článku 17 dohody má všetky náklady vyplývajúce z konzultácií s nezávislými expertmi hradiť žiadajúca strana, keďže by to mohlo viesť k obmedzeniu počtu takýchto konzultácií;</w:t>
      </w:r>
    </w:p>
    <w:p w:rsidR="00A15ED1" w:rsidRPr="004C0B15" w:rsidRDefault="00A15ED1" w:rsidP="00A15ED1">
      <w:pPr>
        <w:pStyle w:val="NormalHanging12a"/>
      </w:pPr>
      <w:r w:rsidRPr="004C0B15">
        <w:t>7.</w:t>
      </w:r>
      <w:r w:rsidRPr="004C0B15">
        <w:tab/>
        <w:t xml:space="preserve">domnieva sa, že nezávislí experti, ktorí </w:t>
      </w:r>
      <w:r w:rsidR="00CB00C8" w:rsidRPr="004C0B15">
        <w:t xml:space="preserve">majú byť </w:t>
      </w:r>
      <w:r w:rsidRPr="004C0B15">
        <w:t xml:space="preserve">menovaní na základe konsenzu </w:t>
      </w:r>
      <w:r w:rsidR="00401C18" w:rsidRPr="004C0B15">
        <w:t xml:space="preserve">zmluvných </w:t>
      </w:r>
      <w:r w:rsidRPr="004C0B15">
        <w:t>strán dohody, musia mať odborné skúsenosti najmä v oblasti etiky, integrity a transparentnosti a musia spĺňať požiadavky uvedené v článku 5 ods. 2 dohody, pokiaľ ide o bezchybné profesionálne správanie a odborné skúsenosti vo vysokých funkciách v európskych, vnútroštátnych alebo medzinárodných verejných organizáciách;</w:t>
      </w:r>
    </w:p>
    <w:p w:rsidR="00A15ED1" w:rsidRPr="004C0B15" w:rsidRDefault="00A15ED1" w:rsidP="00A15ED1">
      <w:pPr>
        <w:pStyle w:val="NormalHanging12a"/>
      </w:pPr>
      <w:r w:rsidRPr="004C0B15">
        <w:t>8.</w:t>
      </w:r>
      <w:r w:rsidRPr="004C0B15">
        <w:tab/>
        <w:t xml:space="preserve">zdôrazňuje, že nezávislí experti plnia zásadnú úlohu pri skúmaní jednotlivých prípadov na žiadosť </w:t>
      </w:r>
      <w:r w:rsidR="00A17516" w:rsidRPr="004C0B15">
        <w:t xml:space="preserve">zmluvnej </w:t>
      </w:r>
      <w:r w:rsidRPr="004C0B15">
        <w:t>strany dohody; domnieva sa, že na účely vypracovania alebo aktualizácie etických noriem by bolo veľmi prospešné, keby každá strana zaslala nezávislým expertom malú náhodnú vzorku prípadov;</w:t>
      </w:r>
    </w:p>
    <w:p w:rsidR="00A15ED1" w:rsidRPr="004C0B15" w:rsidRDefault="00A15ED1" w:rsidP="00A15ED1">
      <w:pPr>
        <w:pStyle w:val="NormalHanging12a"/>
        <w:rPr>
          <w:szCs w:val="24"/>
        </w:rPr>
      </w:pPr>
      <w:r w:rsidRPr="004C0B15">
        <w:t>9.</w:t>
      </w:r>
      <w:r w:rsidRPr="004C0B15">
        <w:tab/>
        <w:t xml:space="preserve">domnieva sa, že orgán </w:t>
      </w:r>
      <w:r w:rsidR="004D1129" w:rsidRPr="004C0B15">
        <w:t xml:space="preserve">pre etické normy </w:t>
      </w:r>
      <w:r w:rsidRPr="004C0B15">
        <w:t>by sa mal opierať o existujúce právomoci inštitúcií žiadať svojich členov o informácie alebo o súhlas vnútroštátnych orgánov s poskytovaním informácií; domnieva sa, že nezávislí experti by mali mať možnosť vymieňať si informácie s vnútroštátnymi orgánmi, ak to potrebujú na plnenie svojich úloh, pričom by mali s týmito informáciami zaobchádzať rovnako dôverne ako orgán, ktorý ich poskytol; v tejto súvislosti zdôrazňuje, že nezávislí experti by mali mať prístup k administratívnym dokumentom zúčastnených strán, najmä strany, ktorá s nimi prípad konzultuje, aby mohli vykonať riadne odôvodnené a zdokumentované posúdenie;</w:t>
      </w:r>
    </w:p>
    <w:p w:rsidR="00A15ED1" w:rsidRPr="004C0B15" w:rsidRDefault="00A15ED1" w:rsidP="00A15ED1">
      <w:pPr>
        <w:pStyle w:val="NormalHanging12a"/>
      </w:pPr>
      <w:r w:rsidRPr="004C0B15">
        <w:t>10.</w:t>
      </w:r>
      <w:r w:rsidRPr="004C0B15">
        <w:tab/>
        <w:t>poznamenáva, že nezávislí experti by mali zo svojich radov vymenovať predsedu; zastáva názor, že nezávislí experti by mali mať pri organizovaní svojej práce, ako aj pri zvolávaní svojich vlastných schôdzí úplnú autonómnosť;</w:t>
      </w:r>
    </w:p>
    <w:p w:rsidR="00A15ED1" w:rsidRPr="004C0B15" w:rsidRDefault="00A15ED1" w:rsidP="00A15ED1">
      <w:pPr>
        <w:pStyle w:val="NormalHanging12a"/>
      </w:pPr>
      <w:r w:rsidRPr="004C0B15">
        <w:t>11.</w:t>
      </w:r>
      <w:r w:rsidRPr="004C0B15">
        <w:tab/>
        <w:t xml:space="preserve">domnieva sa, že inštitúcia alebo </w:t>
      </w:r>
      <w:r w:rsidR="00CB00C8" w:rsidRPr="004C0B15">
        <w:t xml:space="preserve">poradný </w:t>
      </w:r>
      <w:r w:rsidRPr="004C0B15">
        <w:t>orgán by mali zverejniť odôvodnené odporúčanie nezávislých expertov bez toho, aby boli dotknuté všeobecné nariadenie o ochrane údajov a osobné práva, spolu s rozhodnutím príslušného orgánu, ktorý by mal poskytnúť vysvetlenie, ak sa odporúčania nedodržia v plnom rozsahu;</w:t>
      </w:r>
    </w:p>
    <w:p w:rsidR="00A15ED1" w:rsidRPr="004C0B15" w:rsidRDefault="00A15ED1" w:rsidP="00A15ED1">
      <w:pPr>
        <w:pStyle w:val="NormalHanging12a"/>
        <w:rPr>
          <w:szCs w:val="24"/>
        </w:rPr>
      </w:pPr>
      <w:r w:rsidRPr="004C0B15">
        <w:t>12.</w:t>
      </w:r>
      <w:r w:rsidRPr="004C0B15">
        <w:tab/>
        <w:t>vyzýva orgán</w:t>
      </w:r>
      <w:r w:rsidR="00401C18" w:rsidRPr="004C0B15">
        <w:t xml:space="preserve"> pre etické normy</w:t>
      </w:r>
      <w:r w:rsidRPr="004C0B15">
        <w:t xml:space="preserve">, aby išiel príkladom v oblasti transparentnosti tým, že bude zverejňovať všetky odporúčania, výročné správy, rozhodnutia a záznamy o výdavkoch v strojovo čitateľnom otvorenom formáte, aby boli k dispozícii všetkým občanom, a to v súlade s platnými pravidlami ochrany údajov, a to vrátane písomného stanoviska nezávislých expertov k vlastnému posúdeniu inštitúcií v súlade s článkom 10 </w:t>
      </w:r>
      <w:r w:rsidR="00CB00C8" w:rsidRPr="004C0B15">
        <w:t xml:space="preserve">dohody </w:t>
      </w:r>
      <w:r w:rsidRPr="004C0B15">
        <w:t>a anonymizovaného a súhrnného ročného vyúčtovania za každý rok, v ktorom v súhrnnej a anonymizovanej forme zhrnie konzultácie a otázky predložené stranami a opatrenia prijaté v nadväznosti na ne v súlade s článkom 7 ods. 4</w:t>
      </w:r>
      <w:r w:rsidR="00CB00C8" w:rsidRPr="004C0B15">
        <w:t xml:space="preserve"> dohody</w:t>
      </w:r>
      <w:r w:rsidRPr="004C0B15">
        <w:t>; zdôrazňuje význam primeranej ochrany súkromia dotknutých osôb a prezumpcie neviny; vyzýva zmluvné strany dohody, aby vypracovali spoločné usmernenia pre konzultácie s nezávislými expertmi a zverejňovanie ich odporúčaní;</w:t>
      </w:r>
    </w:p>
    <w:p w:rsidR="00A15ED1" w:rsidRPr="004C0B15" w:rsidRDefault="00A15ED1" w:rsidP="00A15ED1">
      <w:pPr>
        <w:pStyle w:val="NormalHanging12a"/>
      </w:pPr>
      <w:r w:rsidRPr="004C0B15">
        <w:lastRenderedPageBreak/>
        <w:t>13.</w:t>
      </w:r>
      <w:r w:rsidRPr="004C0B15">
        <w:tab/>
        <w:t>domnieva sa, že na to, aby bol orgán</w:t>
      </w:r>
      <w:r w:rsidR="00401C18" w:rsidRPr="004C0B15">
        <w:t xml:space="preserve"> pre etické normy</w:t>
      </w:r>
      <w:r w:rsidRPr="004C0B15">
        <w:t xml:space="preserve"> plne </w:t>
      </w:r>
      <w:r w:rsidR="00401C18" w:rsidRPr="004C0B15">
        <w:t>efektívny</w:t>
      </w:r>
      <w:r w:rsidRPr="004C0B15">
        <w:t>, by mal spájať funkcie existujúcich orgánov zodpovedných za etiku, a preto by sa v prípadoch, ktoré si vyžadujú osobitné posúdenie, alebo na účely vypracovania či aktualizácie etickej normy mala každá zúčastnená strana poradiť s nezávislými expertmi;</w:t>
      </w:r>
    </w:p>
    <w:p w:rsidR="008F2B2F" w:rsidRPr="004C0B15" w:rsidRDefault="008F2B2F" w:rsidP="00A15ED1">
      <w:pPr>
        <w:pStyle w:val="NormalHanging12a"/>
        <w:rPr>
          <w:szCs w:val="24"/>
        </w:rPr>
      </w:pPr>
      <w:r w:rsidRPr="004C0B15">
        <w:rPr>
          <w:szCs w:val="24"/>
        </w:rPr>
        <w:t>14.</w:t>
      </w:r>
      <w:r w:rsidRPr="004C0B15">
        <w:rPr>
          <w:szCs w:val="24"/>
        </w:rPr>
        <w:tab/>
        <w:t xml:space="preserve">zdôrazňuje, že je potrebné vymedziť, ako sa určí mandát podpredsedu zastupujúceho </w:t>
      </w:r>
      <w:r w:rsidRPr="004C0B15">
        <w:t>Európsky p</w:t>
      </w:r>
      <w:r w:rsidRPr="004C0B15">
        <w:rPr>
          <w:szCs w:val="24"/>
        </w:rPr>
        <w:t>arlament v</w:t>
      </w:r>
      <w:r w:rsidR="00F60C33" w:rsidRPr="004C0B15">
        <w:rPr>
          <w:szCs w:val="24"/>
        </w:rPr>
        <w:t> </w:t>
      </w:r>
      <w:r w:rsidRPr="004C0B15">
        <w:rPr>
          <w:szCs w:val="24"/>
        </w:rPr>
        <w:t>orgáne</w:t>
      </w:r>
      <w:r w:rsidR="00F60C33" w:rsidRPr="004C0B15">
        <w:rPr>
          <w:szCs w:val="24"/>
        </w:rPr>
        <w:t xml:space="preserve"> pre etické normy</w:t>
      </w:r>
      <w:r w:rsidRPr="004C0B15">
        <w:rPr>
          <w:szCs w:val="24"/>
        </w:rPr>
        <w:t>, a zaviesť príslušné mechanizmy zodpovednosti;</w:t>
      </w:r>
    </w:p>
    <w:p w:rsidR="008F2B2F" w:rsidRPr="004C0B15" w:rsidRDefault="008F2B2F" w:rsidP="00A15ED1">
      <w:pPr>
        <w:pStyle w:val="NormalHanging12a"/>
        <w:rPr>
          <w:szCs w:val="24"/>
        </w:rPr>
      </w:pPr>
      <w:r w:rsidRPr="004C0B15">
        <w:rPr>
          <w:szCs w:val="24"/>
        </w:rPr>
        <w:t>15.</w:t>
      </w:r>
      <w:r w:rsidRPr="004C0B15">
        <w:rPr>
          <w:szCs w:val="24"/>
        </w:rPr>
        <w:tab/>
        <w:t xml:space="preserve">považuje za potrebné objasniť, kto bude náhradníkom </w:t>
      </w:r>
      <w:r w:rsidRPr="004C0B15">
        <w:t>Európskeho p</w:t>
      </w:r>
      <w:r w:rsidRPr="004C0B15">
        <w:rPr>
          <w:szCs w:val="24"/>
        </w:rPr>
        <w:t>arlamentu v</w:t>
      </w:r>
      <w:r w:rsidR="00F60C33" w:rsidRPr="004C0B15">
        <w:rPr>
          <w:szCs w:val="24"/>
        </w:rPr>
        <w:t> </w:t>
      </w:r>
      <w:r w:rsidRPr="004C0B15">
        <w:rPr>
          <w:szCs w:val="24"/>
        </w:rPr>
        <w:t>orgáne</w:t>
      </w:r>
      <w:r w:rsidR="00F60C33" w:rsidRPr="004C0B15">
        <w:rPr>
          <w:szCs w:val="24"/>
        </w:rPr>
        <w:t xml:space="preserve"> pre etické normy</w:t>
      </w:r>
      <w:r w:rsidRPr="004C0B15">
        <w:rPr>
          <w:szCs w:val="24"/>
        </w:rPr>
        <w:t>;</w:t>
      </w:r>
    </w:p>
    <w:p w:rsidR="008F2B2F" w:rsidRPr="004C0B15" w:rsidRDefault="008F2B2F" w:rsidP="00A15ED1">
      <w:pPr>
        <w:pStyle w:val="NormalHanging12a"/>
        <w:rPr>
          <w:szCs w:val="24"/>
        </w:rPr>
      </w:pPr>
      <w:r w:rsidRPr="004C0B15">
        <w:rPr>
          <w:szCs w:val="24"/>
        </w:rPr>
        <w:t>16.</w:t>
      </w:r>
      <w:r w:rsidRPr="004C0B15">
        <w:rPr>
          <w:szCs w:val="24"/>
        </w:rPr>
        <w:tab/>
        <w:t xml:space="preserve">domnieva sa, že Výbor pre ústavné veci by mal zohrávať úlohu pri určovaní mandátu podpredsedu zastupujúceho </w:t>
      </w:r>
      <w:r w:rsidRPr="004C0B15">
        <w:t>Európsky p</w:t>
      </w:r>
      <w:r w:rsidRPr="004C0B15">
        <w:rPr>
          <w:szCs w:val="24"/>
        </w:rPr>
        <w:t>arlament v</w:t>
      </w:r>
      <w:r w:rsidR="00F60C33" w:rsidRPr="004C0B15">
        <w:rPr>
          <w:szCs w:val="24"/>
        </w:rPr>
        <w:t> </w:t>
      </w:r>
      <w:r w:rsidRPr="004C0B15">
        <w:rPr>
          <w:szCs w:val="24"/>
        </w:rPr>
        <w:t>orgáne</w:t>
      </w:r>
      <w:r w:rsidR="00F60C33" w:rsidRPr="004C0B15">
        <w:rPr>
          <w:szCs w:val="24"/>
        </w:rPr>
        <w:t xml:space="preserve"> pre etické normy</w:t>
      </w:r>
      <w:r w:rsidRPr="004C0B15">
        <w:rPr>
          <w:szCs w:val="24"/>
        </w:rPr>
        <w:t>, ako aj pri braní na zodpovednosť podpredsedu a náhradníka; považuje za mimoriadne dôležité, aby poslanci Európskeho parlamentu mali možnosť vyjadriť sa k vypracovaniu noriem, ktoré budú pre nich záväzné;</w:t>
      </w:r>
    </w:p>
    <w:p w:rsidR="00A15ED1" w:rsidRPr="004C0B15" w:rsidRDefault="008F2B2F" w:rsidP="00A15ED1">
      <w:pPr>
        <w:pStyle w:val="NormalHanging12a"/>
      </w:pPr>
      <w:r w:rsidRPr="004C0B15">
        <w:t>17</w:t>
      </w:r>
      <w:r w:rsidR="00A15ED1" w:rsidRPr="004C0B15">
        <w:t>.</w:t>
      </w:r>
      <w:r w:rsidR="00A15ED1" w:rsidRPr="004C0B15">
        <w:tab/>
        <w:t>je naďalej odhodlaný konštruktívne sa zapájať do preskúmania dohody, ktoré sa má vykonať tri roky po nadobudnutí jej platnosti s cieľom zlepšiť a posilniť orgán</w:t>
      </w:r>
      <w:r w:rsidR="00401C18" w:rsidRPr="004C0B15">
        <w:t xml:space="preserve"> pre etické normy</w:t>
      </w:r>
      <w:r w:rsidR="00A15ED1" w:rsidRPr="004C0B15">
        <w:t>, ako sa stanovuje v článku 21 dohody;</w:t>
      </w:r>
    </w:p>
    <w:p w:rsidR="00A15ED1" w:rsidRPr="004C0B15" w:rsidRDefault="008F2B2F" w:rsidP="00A15ED1">
      <w:pPr>
        <w:pStyle w:val="NormalHanging12a"/>
        <w:rPr>
          <w:szCs w:val="24"/>
        </w:rPr>
      </w:pPr>
      <w:r w:rsidRPr="004C0B15">
        <w:t>18</w:t>
      </w:r>
      <w:r w:rsidR="00A15ED1" w:rsidRPr="004C0B15">
        <w:t>.</w:t>
      </w:r>
      <w:r w:rsidR="00A15ED1" w:rsidRPr="004C0B15">
        <w:tab/>
        <w:t xml:space="preserve">pripomína svoje stanovisko, že orgán </w:t>
      </w:r>
      <w:r w:rsidR="00401C18" w:rsidRPr="004C0B15">
        <w:t xml:space="preserve">pre etické normy </w:t>
      </w:r>
      <w:r w:rsidR="00A15ED1" w:rsidRPr="004C0B15">
        <w:t>by mal mať možnosť z vlastnej iniciatívy vyšetrovať údajné porušenia etických pravidiel úradníkmi a zamestnancami inštitúcií EÚ a vykonávať vyšetrovania na mieste a na základe záznamov s využitím informácií, ktoré zhromaždil alebo ktoré získal od tretích strán;</w:t>
      </w:r>
    </w:p>
    <w:p w:rsidR="00A15ED1" w:rsidRPr="004C0B15" w:rsidRDefault="008F2B2F" w:rsidP="00A15ED1">
      <w:pPr>
        <w:pStyle w:val="NormalHanging12a"/>
      </w:pPr>
      <w:r w:rsidRPr="004C0B15">
        <w:t>19</w:t>
      </w:r>
      <w:r w:rsidR="00A15ED1" w:rsidRPr="004C0B15">
        <w:t>.</w:t>
      </w:r>
      <w:r w:rsidR="00A15ED1" w:rsidRPr="004C0B15">
        <w:tab/>
        <w:t>schvaľuje uzavretie dohody uvedenej v prílohe;</w:t>
      </w:r>
    </w:p>
    <w:p w:rsidR="00A15ED1" w:rsidRPr="004C0B15" w:rsidRDefault="008F2B2F" w:rsidP="00A15ED1">
      <w:pPr>
        <w:pStyle w:val="NormalHanging12a"/>
      </w:pPr>
      <w:r w:rsidRPr="004C0B15">
        <w:t>20</w:t>
      </w:r>
      <w:r w:rsidR="00A15ED1" w:rsidRPr="004C0B15">
        <w:t>.</w:t>
      </w:r>
      <w:r w:rsidR="00A15ED1" w:rsidRPr="004C0B15">
        <w:tab/>
        <w:t>poveruje svoju predsedníčku, aby podpísala dohodu s</w:t>
      </w:r>
      <w:r w:rsidR="00401C18" w:rsidRPr="004C0B15">
        <w:t>polu s</w:t>
      </w:r>
      <w:r w:rsidR="00A15ED1" w:rsidRPr="004C0B15">
        <w:t> predsedom Rady, predsedom Komisie, predsedom Súdneho dvora Európskej únie, prezidentom Európskej centrálnej banky, predsedom Dvora audítorov, predsedom Európskeho hospodárskeho a sociálneho výboru a predsedom Výboru regiónov a aby zabezpečila jej uverejnenie v </w:t>
      </w:r>
      <w:r w:rsidR="00A15ED1" w:rsidRPr="004C0B15">
        <w:rPr>
          <w:i/>
          <w:iCs/>
        </w:rPr>
        <w:t>Úradnom vestníku Európskej únie</w:t>
      </w:r>
      <w:r w:rsidR="00A15ED1" w:rsidRPr="004C0B15">
        <w:t>;</w:t>
      </w:r>
    </w:p>
    <w:p w:rsidR="00A15ED1" w:rsidRPr="004C0B15" w:rsidRDefault="008F2B2F" w:rsidP="00A15ED1">
      <w:pPr>
        <w:ind w:left="567" w:hanging="567"/>
      </w:pPr>
      <w:r w:rsidRPr="004C0B15">
        <w:t>21</w:t>
      </w:r>
      <w:r w:rsidR="00A15ED1" w:rsidRPr="004C0B15">
        <w:t>.</w:t>
      </w:r>
      <w:r w:rsidR="00A15ED1" w:rsidRPr="004C0B15">
        <w:tab/>
        <w:t>poveruje svoju predsedníčku, aby postúpila toto rozhodnutie vrátane jeho prílohy všetkým</w:t>
      </w:r>
      <w:r w:rsidR="00A17516" w:rsidRPr="004C0B15">
        <w:t xml:space="preserve"> zmluvným</w:t>
      </w:r>
      <w:r w:rsidR="00A15ED1" w:rsidRPr="004C0B15">
        <w:t xml:space="preserve"> stranám dohody pre informáciu.</w:t>
      </w:r>
    </w:p>
    <w:p w:rsidR="00A15ED1" w:rsidRPr="004C0B15" w:rsidRDefault="00A15ED1" w:rsidP="00A15ED1">
      <w:bookmarkStart w:id="8" w:name="_Toc72735704"/>
    </w:p>
    <w:p w:rsidR="00A15ED1" w:rsidRPr="004C0B15" w:rsidRDefault="00A15ED1" w:rsidP="00A15ED1">
      <w:pPr>
        <w:sectPr w:rsidR="00A15ED1" w:rsidRPr="004C0B15" w:rsidSect="00B0182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666F4" w:rsidRDefault="00A15ED1" w:rsidP="00B666F4">
      <w:pPr>
        <w:pStyle w:val="PageHeading"/>
        <w:jc w:val="right"/>
        <w:rPr>
          <w:rFonts w:ascii="Times New Roman" w:hAnsi="Times New Roman" w:cs="Times New Roman"/>
        </w:rPr>
      </w:pPr>
      <w:bookmarkStart w:id="9" w:name="_Toc164849696"/>
      <w:bookmarkEnd w:id="8"/>
      <w:r w:rsidRPr="004C0B15">
        <w:rPr>
          <w:rFonts w:ascii="Times New Roman" w:hAnsi="Times New Roman" w:cs="Times New Roman"/>
        </w:rPr>
        <w:lastRenderedPageBreak/>
        <w:t>PRÍLOHA</w:t>
      </w:r>
    </w:p>
    <w:p w:rsidR="00A15ED1" w:rsidRDefault="00A15ED1" w:rsidP="00A15ED1">
      <w:pPr>
        <w:pStyle w:val="PageHeading"/>
        <w:rPr>
          <w:rFonts w:ascii="Times New Roman" w:hAnsi="Times New Roman" w:cs="Times New Roman"/>
        </w:rPr>
      </w:pPr>
      <w:r w:rsidRPr="004C0B15">
        <w:rPr>
          <w:rFonts w:ascii="Times New Roman" w:hAnsi="Times New Roman" w:cs="Times New Roman"/>
        </w:rPr>
        <w:t>DOHODA MEDZI EURÓPSKYM PARLAMENTOM, RADOU EURÓPSKEJ ÚNIE, EURÓPSKOU KOMISIOU, SÚDNYM DVOROM EURÓPSKEJ ÚNIE, EURÓPSKOU CENTRÁLNOU BANKOU, EURÓPSKYM DVOROM AUDÍTOROV, EURÓPSKYM HOSPODÁRSKYM A SOCIÁLNYM VÝBOROM A EURÓPSKYM VÝBOROM REGIÓNOV, KTOROU SA ZRIAĎUJE MEDZIINŠTITUCIONÁLNY ORGÁN PRE ETICKÉ NORMY TÝKAJÚCE SA ČLENOV INŠTITÚCIÍ A PORADNÝCH ORGÁNOV UVEDENÝCH V ČLÁNKU 13 ZMLUVY O EURÓPSKEJ ÚNII</w:t>
      </w:r>
      <w:bookmarkEnd w:id="9"/>
    </w:p>
    <w:p w:rsidR="00B666F4" w:rsidRDefault="00B666F4" w:rsidP="00A15ED1">
      <w:pPr>
        <w:pStyle w:val="PageHeading"/>
        <w:rPr>
          <w:rFonts w:ascii="Times New Roman" w:hAnsi="Times New Roman" w:cs="Times New Roman"/>
        </w:rPr>
      </w:pPr>
    </w:p>
    <w:p w:rsidR="00B666F4" w:rsidRPr="00731EF8" w:rsidRDefault="00B666F4" w:rsidP="00B666F4">
      <w:pPr>
        <w:rPr>
          <w:i/>
          <w:iCs/>
        </w:rPr>
      </w:pPr>
      <w:r w:rsidRPr="00B666F4">
        <w:rPr>
          <w:bCs/>
          <w:i/>
          <w:iCs/>
        </w:rPr>
        <w:t xml:space="preserve">(Znenie tejto prílohy sa neuvádza, pretože zodpovedá </w:t>
      </w:r>
      <w:r>
        <w:rPr>
          <w:bCs/>
          <w:i/>
          <w:iCs/>
        </w:rPr>
        <w:t xml:space="preserve">medziinštitucionálnej dohode </w:t>
      </w:r>
      <w:r w:rsidRPr="00B666F4">
        <w:rPr>
          <w:bCs/>
          <w:i/>
          <w:iCs/>
        </w:rPr>
        <w:t>uverejnenej v Ú. v. EÚ L 2024/1365, 17.5.2024, ELI: http://data.europa.eu/eli/agree_interinstit/2024/1365/oj</w:t>
      </w:r>
      <w:r w:rsidRPr="00B666F4">
        <w:rPr>
          <w:bCs/>
          <w:i/>
          <w:iCs/>
        </w:rPr>
        <w:t>.)</w:t>
      </w:r>
    </w:p>
    <w:p w:rsidR="00B666F4" w:rsidRDefault="00B666F4" w:rsidP="00A15ED1">
      <w:pPr>
        <w:pStyle w:val="PageHeading"/>
        <w:rPr>
          <w:rFonts w:ascii="Times New Roman" w:hAnsi="Times New Roman" w:cs="Times New Roman"/>
        </w:rPr>
      </w:pPr>
      <w:bookmarkStart w:id="10" w:name="_GoBack"/>
      <w:bookmarkEnd w:id="10"/>
    </w:p>
    <w:sectPr w:rsidR="00B666F4" w:rsidSect="00B0182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107" w:rsidRPr="00B01820" w:rsidRDefault="00457107">
      <w:r w:rsidRPr="00B01820">
        <w:separator/>
      </w:r>
    </w:p>
  </w:endnote>
  <w:endnote w:type="continuationSeparator" w:id="0">
    <w:p w:rsidR="00457107" w:rsidRPr="00B01820" w:rsidRDefault="00457107">
      <w:r w:rsidRPr="00B018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ED1" w:rsidRPr="00B01820" w:rsidRDefault="00A15ED1" w:rsidP="00D620ED">
    <w:pPr>
      <w:pStyle w:val="EPFooter"/>
    </w:pPr>
    <w:r w:rsidRPr="00B01820">
      <w:t>PE</w:t>
    </w:r>
    <w:r w:rsidRPr="00B01820">
      <w:rPr>
        <w:rStyle w:val="HideTWBExt"/>
      </w:rPr>
      <w:t>&lt;NoPE&gt;</w:t>
    </w:r>
    <w:r w:rsidRPr="00B01820">
      <w:t>759.998</w:t>
    </w:r>
    <w:r w:rsidRPr="00B01820">
      <w:rPr>
        <w:rStyle w:val="HideTWBExt"/>
      </w:rPr>
      <w:t>&lt;/NoPE&gt;&lt;Version&gt;</w:t>
    </w:r>
    <w:r w:rsidRPr="00B01820">
      <w:t>v02-00</w:t>
    </w:r>
    <w:r w:rsidRPr="00B01820">
      <w:rPr>
        <w:rStyle w:val="HideTWBExt"/>
      </w:rPr>
      <w:t>&lt;/Version&gt;</w:t>
    </w:r>
    <w:r w:rsidRPr="00B01820">
      <w:tab/>
    </w:r>
    <w:r w:rsidRPr="00B01820">
      <w:fldChar w:fldCharType="begin"/>
    </w:r>
    <w:r w:rsidRPr="00B01820">
      <w:instrText xml:space="preserve"> PAGE  \* MERGEFORMAT </w:instrText>
    </w:r>
    <w:r w:rsidRPr="00B01820">
      <w:fldChar w:fldCharType="separate"/>
    </w:r>
    <w:r w:rsidR="00B01820" w:rsidRPr="00B01820">
      <w:rPr>
        <w:noProof/>
      </w:rPr>
      <w:t>2</w:t>
    </w:r>
    <w:r w:rsidRPr="00B01820">
      <w:fldChar w:fldCharType="end"/>
    </w:r>
    <w:r w:rsidRPr="00B01820">
      <w:t>/</w:t>
    </w:r>
    <w:fldSimple w:instr=" NUMPAGES  \* MERGEFORMAT ">
      <w:r w:rsidR="00B01820" w:rsidRPr="00B01820">
        <w:rPr>
          <w:noProof/>
        </w:rPr>
        <w:t>4</w:t>
      </w:r>
    </w:fldSimple>
    <w:r w:rsidRPr="00B01820">
      <w:tab/>
    </w:r>
    <w:r w:rsidRPr="00B01820">
      <w:rPr>
        <w:rStyle w:val="HideTWBExt"/>
      </w:rPr>
      <w:t>&lt;PathFdR&gt;</w:t>
    </w:r>
    <w:r w:rsidRPr="00B01820">
      <w:t>RR\1301643SK.docx</w:t>
    </w:r>
    <w:r w:rsidRPr="00B01820">
      <w:rPr>
        <w:rStyle w:val="HideTWBExt"/>
      </w:rPr>
      <w:t>&lt;/PathFdR&gt;</w:t>
    </w:r>
  </w:p>
  <w:p w:rsidR="00A15ED1" w:rsidRPr="00B01820" w:rsidRDefault="00A15ED1" w:rsidP="00D620ED">
    <w:pPr>
      <w:pStyle w:val="EPFooter2"/>
    </w:pPr>
    <w:r w:rsidRPr="00B01820">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ED1" w:rsidRPr="00B01820" w:rsidRDefault="00A15ED1" w:rsidP="00D620ED">
    <w:pPr>
      <w:pStyle w:val="EPFooter"/>
    </w:pPr>
    <w:r w:rsidRPr="00B01820">
      <w:rPr>
        <w:rStyle w:val="HideTWBExt"/>
      </w:rPr>
      <w:t>&lt;PathFdR&gt;</w:t>
    </w:r>
    <w:r w:rsidRPr="00B01820">
      <w:t>RR\1301643SK.docx</w:t>
    </w:r>
    <w:r w:rsidRPr="00B01820">
      <w:rPr>
        <w:rStyle w:val="HideTWBExt"/>
      </w:rPr>
      <w:t>&lt;/PathFdR&gt;</w:t>
    </w:r>
    <w:r w:rsidRPr="00B01820">
      <w:tab/>
    </w:r>
    <w:r w:rsidRPr="00B01820">
      <w:tab/>
      <w:t>PE</w:t>
    </w:r>
    <w:r w:rsidRPr="00B01820">
      <w:rPr>
        <w:rStyle w:val="HideTWBExt"/>
      </w:rPr>
      <w:t>&lt;NoPE&gt;</w:t>
    </w:r>
    <w:r w:rsidRPr="00B01820">
      <w:t>759.998</w:t>
    </w:r>
    <w:r w:rsidRPr="00B01820">
      <w:rPr>
        <w:rStyle w:val="HideTWBExt"/>
      </w:rPr>
      <w:t>&lt;/NoPE&gt;&lt;Version&gt;</w:t>
    </w:r>
    <w:r w:rsidRPr="00B01820">
      <w:t>v02-00</w:t>
    </w:r>
    <w:r w:rsidRPr="00B01820">
      <w:rPr>
        <w:rStyle w:val="HideTWBExt"/>
      </w:rPr>
      <w:t>&lt;/Version&gt;</w:t>
    </w:r>
  </w:p>
  <w:p w:rsidR="00A15ED1" w:rsidRPr="00B01820" w:rsidRDefault="00A15ED1" w:rsidP="00D620ED">
    <w:pPr>
      <w:pStyle w:val="EPFooter2"/>
    </w:pPr>
    <w:r w:rsidRPr="00B01820">
      <w:t>SK</w:t>
    </w:r>
    <w:r w:rsidRPr="00B01820">
      <w:tab/>
    </w:r>
    <w:r w:rsidRPr="00B01820">
      <w:rPr>
        <w:b w:val="0"/>
        <w:i/>
        <w:color w:val="C0C0C0"/>
        <w:sz w:val="22"/>
      </w:rPr>
      <w:t>Zjednotení v rozmanitosti</w:t>
    </w:r>
    <w:r w:rsidRPr="00B01820">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182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182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18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107" w:rsidRPr="00B01820" w:rsidRDefault="00457107">
      <w:r w:rsidRPr="00B01820">
        <w:separator/>
      </w:r>
    </w:p>
  </w:footnote>
  <w:footnote w:type="continuationSeparator" w:id="0">
    <w:p w:rsidR="00457107" w:rsidRPr="00B01820" w:rsidRDefault="00457107">
      <w:r w:rsidRPr="00B01820">
        <w:continuationSeparator/>
      </w:r>
    </w:p>
  </w:footnote>
  <w:footnote w:id="1">
    <w:p w:rsidR="00A15ED1" w:rsidRPr="00B01820" w:rsidRDefault="00A15ED1" w:rsidP="00B01820">
      <w:pPr>
        <w:pStyle w:val="FootnoteText"/>
        <w:ind w:left="567" w:hanging="567"/>
        <w:rPr>
          <w:sz w:val="24"/>
          <w:lang w:val="sk-SK"/>
        </w:rPr>
      </w:pPr>
      <w:r w:rsidRPr="00B01820">
        <w:rPr>
          <w:rStyle w:val="FootnoteReference"/>
          <w:sz w:val="24"/>
          <w:lang w:val="sk-SK"/>
        </w:rPr>
        <w:footnoteRef/>
      </w:r>
      <w:r w:rsidR="00B01820" w:rsidRPr="00B01820">
        <w:rPr>
          <w:sz w:val="24"/>
          <w:lang w:val="sk-SK"/>
        </w:rPr>
        <w:t xml:space="preserve"> </w:t>
      </w:r>
      <w:r w:rsidR="00B01820" w:rsidRPr="00B01820">
        <w:rPr>
          <w:sz w:val="24"/>
          <w:lang w:val="sk-SK"/>
        </w:rPr>
        <w:tab/>
      </w:r>
      <w:r w:rsidRPr="00B01820">
        <w:rPr>
          <w:sz w:val="24"/>
          <w:lang w:val="sk-SK"/>
        </w:rPr>
        <w:t>Ú. v. EÚ C 117, 11.3.2022, s. 159.</w:t>
      </w:r>
    </w:p>
  </w:footnote>
  <w:footnote w:id="2">
    <w:p w:rsidR="00A15ED1" w:rsidRPr="00B01820" w:rsidRDefault="00A15ED1" w:rsidP="00B01820">
      <w:pPr>
        <w:pStyle w:val="FootnoteText"/>
        <w:ind w:left="567" w:hanging="567"/>
        <w:rPr>
          <w:sz w:val="24"/>
          <w:lang w:val="sk-SK"/>
        </w:rPr>
      </w:pPr>
      <w:r w:rsidRPr="00B01820">
        <w:rPr>
          <w:rStyle w:val="FootnoteReference"/>
          <w:sz w:val="24"/>
          <w:lang w:val="sk-SK"/>
        </w:rPr>
        <w:footnoteRef/>
      </w:r>
      <w:r w:rsidR="00B01820" w:rsidRPr="00B01820">
        <w:rPr>
          <w:sz w:val="24"/>
          <w:lang w:val="sk-SK"/>
        </w:rPr>
        <w:t xml:space="preserve"> </w:t>
      </w:r>
      <w:r w:rsidR="00B01820" w:rsidRPr="00B01820">
        <w:rPr>
          <w:sz w:val="24"/>
          <w:lang w:val="sk-SK"/>
        </w:rPr>
        <w:tab/>
      </w:r>
      <w:r w:rsidRPr="00B01820">
        <w:rPr>
          <w:sz w:val="24"/>
          <w:lang w:val="sk-SK"/>
        </w:rPr>
        <w:t>Ú. v. EÚ C 177, 17.5.2023, s. 109.</w:t>
      </w:r>
    </w:p>
  </w:footnote>
  <w:footnote w:id="3">
    <w:p w:rsidR="00A15ED1" w:rsidRPr="00B01820" w:rsidRDefault="00A15ED1" w:rsidP="00B01820">
      <w:pPr>
        <w:pStyle w:val="FootnoteText"/>
        <w:ind w:left="567" w:hanging="567"/>
        <w:rPr>
          <w:sz w:val="24"/>
          <w:lang w:val="sk-SK"/>
        </w:rPr>
      </w:pPr>
      <w:r w:rsidRPr="00B01820">
        <w:rPr>
          <w:rStyle w:val="FootnoteReference"/>
          <w:sz w:val="24"/>
          <w:lang w:val="sk-SK"/>
        </w:rPr>
        <w:footnoteRef/>
      </w:r>
      <w:r w:rsidR="00B01820" w:rsidRPr="00B01820">
        <w:rPr>
          <w:snapToGrid w:val="0"/>
          <w:sz w:val="24"/>
          <w:shd w:val="clear" w:color="auto" w:fill="FFFFFF"/>
          <w:lang w:val="sk-SK"/>
        </w:rPr>
        <w:t xml:space="preserve"> </w:t>
      </w:r>
      <w:r w:rsidR="00B01820" w:rsidRPr="00B01820">
        <w:rPr>
          <w:snapToGrid w:val="0"/>
          <w:sz w:val="24"/>
          <w:shd w:val="clear" w:color="auto" w:fill="FFFFFF"/>
          <w:lang w:val="sk-SK"/>
        </w:rPr>
        <w:tab/>
      </w:r>
      <w:r w:rsidRPr="00B01820">
        <w:rPr>
          <w:snapToGrid w:val="0"/>
          <w:sz w:val="24"/>
          <w:shd w:val="clear" w:color="auto" w:fill="FFFFFF"/>
          <w:lang w:val="sk-SK"/>
        </w:rPr>
        <w:t>Ú. v. EÚ C 283, 11.8.2023, s. 31.</w:t>
      </w:r>
    </w:p>
  </w:footnote>
  <w:footnote w:id="4">
    <w:p w:rsidR="00A15ED1" w:rsidRPr="00B01820" w:rsidRDefault="00A15ED1" w:rsidP="00B01820">
      <w:pPr>
        <w:pStyle w:val="FootnoteText"/>
        <w:ind w:left="567" w:hanging="567"/>
        <w:rPr>
          <w:sz w:val="24"/>
          <w:lang w:val="sk-SK"/>
        </w:rPr>
      </w:pPr>
      <w:r w:rsidRPr="00B01820">
        <w:rPr>
          <w:rStyle w:val="FootnoteReference"/>
          <w:sz w:val="24"/>
          <w:lang w:val="sk-SK"/>
        </w:rPr>
        <w:footnoteRef/>
      </w:r>
      <w:r w:rsidR="00B01820" w:rsidRPr="00B01820">
        <w:rPr>
          <w:sz w:val="24"/>
          <w:lang w:val="sk-SK"/>
        </w:rPr>
        <w:t xml:space="preserve"> </w:t>
      </w:r>
      <w:r w:rsidR="00B01820" w:rsidRPr="00B01820">
        <w:rPr>
          <w:sz w:val="24"/>
          <w:lang w:val="sk-SK"/>
        </w:rPr>
        <w:tab/>
      </w:r>
      <w:r w:rsidRPr="00B01820">
        <w:rPr>
          <w:sz w:val="24"/>
          <w:lang w:val="sk-SK"/>
        </w:rPr>
        <w:t>Ú. v. EÚ C 283, 11.8.2023, s. 27.</w:t>
      </w:r>
    </w:p>
  </w:footnote>
  <w:footnote w:id="5">
    <w:p w:rsidR="00A15ED1" w:rsidRPr="00B01820" w:rsidRDefault="00A15ED1" w:rsidP="00B01820">
      <w:pPr>
        <w:pStyle w:val="FootnoteText"/>
        <w:ind w:left="567" w:hanging="567"/>
        <w:rPr>
          <w:sz w:val="24"/>
          <w:lang w:val="sk-SK"/>
        </w:rPr>
      </w:pPr>
      <w:r w:rsidRPr="00B01820">
        <w:rPr>
          <w:rStyle w:val="FootnoteReference"/>
          <w:sz w:val="24"/>
          <w:lang w:val="sk-SK"/>
        </w:rPr>
        <w:footnoteRef/>
      </w:r>
      <w:r w:rsidR="00B01820" w:rsidRPr="00B01820">
        <w:rPr>
          <w:snapToGrid w:val="0"/>
          <w:sz w:val="24"/>
          <w:lang w:val="sk-SK"/>
        </w:rPr>
        <w:t xml:space="preserve"> </w:t>
      </w:r>
      <w:r w:rsidR="00B01820" w:rsidRPr="00B01820">
        <w:rPr>
          <w:snapToGrid w:val="0"/>
          <w:sz w:val="24"/>
          <w:lang w:val="sk-SK"/>
        </w:rPr>
        <w:tab/>
      </w:r>
      <w:r w:rsidRPr="00B01820">
        <w:rPr>
          <w:snapToGrid w:val="0"/>
          <w:sz w:val="24"/>
          <w:lang w:val="sk-SK"/>
        </w:rPr>
        <w:t>Prijaté texty, P9_TA(2023)0281.</w:t>
      </w:r>
    </w:p>
  </w:footnote>
  <w:footnote w:id="6">
    <w:p w:rsidR="00A15ED1" w:rsidRPr="00B01820" w:rsidRDefault="00A15ED1" w:rsidP="00B01820">
      <w:pPr>
        <w:pStyle w:val="FootnoteText"/>
        <w:ind w:left="567" w:hanging="567"/>
        <w:rPr>
          <w:sz w:val="24"/>
          <w:lang w:val="sk-SK"/>
        </w:rPr>
      </w:pPr>
      <w:r w:rsidRPr="00B01820">
        <w:rPr>
          <w:rStyle w:val="FootnoteReference"/>
          <w:sz w:val="24"/>
          <w:lang w:val="sk-SK"/>
        </w:rPr>
        <w:footnoteRef/>
      </w:r>
      <w:r w:rsidR="00B01820" w:rsidRPr="00B01820">
        <w:rPr>
          <w:sz w:val="24"/>
          <w:lang w:val="sk-SK"/>
        </w:rPr>
        <w:t xml:space="preserve"> </w:t>
      </w:r>
      <w:r w:rsidR="00B01820" w:rsidRPr="00B01820">
        <w:rPr>
          <w:sz w:val="24"/>
          <w:lang w:val="sk-SK"/>
        </w:rPr>
        <w:tab/>
      </w:r>
      <w:r w:rsidRPr="00B01820">
        <w:rPr>
          <w:sz w:val="24"/>
          <w:lang w:val="sk-SK"/>
        </w:rPr>
        <w:t>Prijaté texty, P9_TA(2023)0292.</w:t>
      </w:r>
    </w:p>
  </w:footnote>
  <w:footnote w:id="7">
    <w:p w:rsidR="00074ECA" w:rsidRPr="002D1843" w:rsidRDefault="00074ECA" w:rsidP="00074ECA">
      <w:pPr>
        <w:pStyle w:val="FootnoteText"/>
        <w:ind w:left="567" w:hanging="567"/>
        <w:rPr>
          <w:lang w:val="sk-SK"/>
        </w:rPr>
      </w:pPr>
      <w:r>
        <w:rPr>
          <w:rStyle w:val="FootnoteReference"/>
        </w:rPr>
        <w:footnoteRef/>
      </w:r>
      <w:r w:rsidRPr="002D1843">
        <w:rPr>
          <w:lang w:val="sk-SK"/>
        </w:rPr>
        <w:t xml:space="preserve"> </w:t>
      </w:r>
      <w:r w:rsidRPr="002D1843">
        <w:rPr>
          <w:lang w:val="sk-SK"/>
        </w:rPr>
        <w:tab/>
      </w:r>
      <w:r w:rsidRPr="00B01820">
        <w:rPr>
          <w:sz w:val="24"/>
          <w:lang w:val="sk-SK"/>
        </w:rPr>
        <w:t>Ú. v. EÚ </w:t>
      </w:r>
      <w:r w:rsidRPr="002D1843">
        <w:rPr>
          <w:sz w:val="24"/>
          <w:lang w:val="sk-SK"/>
        </w:rPr>
        <w:t>C 117, 11.3.2022, s. 159.</w:t>
      </w:r>
    </w:p>
  </w:footnote>
  <w:footnote w:id="8">
    <w:p w:rsidR="00074ECA" w:rsidRPr="002D1843" w:rsidRDefault="00074ECA" w:rsidP="00074ECA">
      <w:pPr>
        <w:pStyle w:val="FootnoteText"/>
        <w:ind w:left="567" w:hanging="567"/>
        <w:rPr>
          <w:lang w:val="sk-SK"/>
        </w:rPr>
      </w:pPr>
      <w:r>
        <w:rPr>
          <w:rStyle w:val="FootnoteReference"/>
        </w:rPr>
        <w:footnoteRef/>
      </w:r>
      <w:r w:rsidRPr="002D1843">
        <w:rPr>
          <w:lang w:val="sk-SK"/>
        </w:rPr>
        <w:t xml:space="preserve"> </w:t>
      </w:r>
      <w:r w:rsidRPr="002D1843">
        <w:rPr>
          <w:lang w:val="sk-SK"/>
        </w:rPr>
        <w:tab/>
      </w:r>
      <w:r w:rsidRPr="00B01820">
        <w:rPr>
          <w:sz w:val="24"/>
          <w:lang w:val="sk-SK"/>
        </w:rPr>
        <w:t>Ú. v. EÚ </w:t>
      </w:r>
      <w:r w:rsidRPr="002D1843">
        <w:rPr>
          <w:iCs/>
          <w:snapToGrid w:val="0"/>
          <w:sz w:val="24"/>
          <w:shd w:val="clear" w:color="auto" w:fill="FFFFFF"/>
          <w:lang w:val="sk-SK"/>
        </w:rPr>
        <w:t>C 283, 11.8.2023, s. 31.</w:t>
      </w:r>
    </w:p>
  </w:footnote>
  <w:footnote w:id="9">
    <w:p w:rsidR="00074ECA" w:rsidRPr="002D1843" w:rsidRDefault="00074ECA" w:rsidP="00074ECA">
      <w:pPr>
        <w:pStyle w:val="FootnoteText"/>
        <w:ind w:left="567" w:hanging="567"/>
        <w:rPr>
          <w:lang w:val="pt-PT"/>
        </w:rPr>
      </w:pPr>
      <w:r>
        <w:rPr>
          <w:rStyle w:val="FootnoteReference"/>
        </w:rPr>
        <w:footnoteRef/>
      </w:r>
      <w:r w:rsidRPr="002D1843">
        <w:rPr>
          <w:lang w:val="pt-PT"/>
        </w:rPr>
        <w:t xml:space="preserve"> </w:t>
      </w:r>
      <w:r w:rsidRPr="002D1843">
        <w:rPr>
          <w:lang w:val="pt-PT"/>
        </w:rPr>
        <w:tab/>
      </w:r>
      <w:r w:rsidRPr="00B01820">
        <w:rPr>
          <w:sz w:val="24"/>
          <w:lang w:val="sk-SK"/>
        </w:rPr>
        <w:t>Prijaté texty</w:t>
      </w:r>
      <w:r w:rsidRPr="002D1843">
        <w:rPr>
          <w:snapToGrid w:val="0"/>
          <w:sz w:val="24"/>
          <w:lang w:val="pt-PT"/>
        </w:rPr>
        <w:t>, P9</w:t>
      </w:r>
      <w:r w:rsidRPr="002D1843">
        <w:rPr>
          <w:sz w:val="24"/>
          <w:lang w:val="pt-PT"/>
        </w:rPr>
        <w:t>_</w:t>
      </w:r>
      <w:r w:rsidRPr="002D1843">
        <w:rPr>
          <w:snapToGrid w:val="0"/>
          <w:sz w:val="24"/>
          <w:lang w:val="pt-PT"/>
        </w:rPr>
        <w:t>TA(2023)0281.</w:t>
      </w:r>
    </w:p>
  </w:footnote>
  <w:footnote w:id="10">
    <w:p w:rsidR="00A15ED1" w:rsidRPr="00B01820" w:rsidRDefault="00A15ED1" w:rsidP="00B01820">
      <w:pPr>
        <w:pStyle w:val="FootnoteText"/>
        <w:ind w:left="567" w:hanging="567"/>
        <w:rPr>
          <w:sz w:val="24"/>
          <w:lang w:val="sk-SK"/>
        </w:rPr>
      </w:pPr>
      <w:r w:rsidRPr="00B01820">
        <w:rPr>
          <w:rStyle w:val="FootnoteReference"/>
          <w:sz w:val="24"/>
          <w:lang w:val="sk-SK"/>
        </w:rPr>
        <w:footnoteRef/>
      </w:r>
      <w:r w:rsidR="00B01820" w:rsidRPr="00B01820">
        <w:rPr>
          <w:snapToGrid w:val="0"/>
          <w:sz w:val="24"/>
          <w:shd w:val="clear" w:color="auto" w:fill="FFFFFF"/>
          <w:lang w:val="sk-SK"/>
        </w:rPr>
        <w:t xml:space="preserve"> </w:t>
      </w:r>
      <w:r w:rsidR="00B01820" w:rsidRPr="00B01820">
        <w:rPr>
          <w:snapToGrid w:val="0"/>
          <w:sz w:val="24"/>
          <w:shd w:val="clear" w:color="auto" w:fill="FFFFFF"/>
          <w:lang w:val="sk-SK"/>
        </w:rPr>
        <w:tab/>
      </w:r>
      <w:r w:rsidRPr="00B01820">
        <w:rPr>
          <w:snapToGrid w:val="0"/>
          <w:sz w:val="24"/>
          <w:shd w:val="clear" w:color="auto" w:fill="FFFFFF"/>
          <w:lang w:val="sk-SK"/>
        </w:rPr>
        <w:t>Ú. v. EÚ C 283, 11.8.2023, s. </w:t>
      </w:r>
      <w:r w:rsidR="002D1843">
        <w:rPr>
          <w:snapToGrid w:val="0"/>
          <w:sz w:val="24"/>
          <w:shd w:val="clear" w:color="auto" w:fill="FFFFFF"/>
          <w:lang w:val="sk-SK"/>
        </w:rPr>
        <w:t>27 a</w:t>
      </w:r>
      <w:r w:rsidR="0060558D">
        <w:rPr>
          <w:snapToGrid w:val="0"/>
          <w:sz w:val="24"/>
          <w:shd w:val="clear" w:color="auto" w:fill="FFFFFF"/>
          <w:lang w:val="sk-SK"/>
        </w:rPr>
        <w:t xml:space="preserve"> </w:t>
      </w:r>
      <w:r w:rsidRPr="00B01820">
        <w:rPr>
          <w:snapToGrid w:val="0"/>
          <w:sz w:val="24"/>
          <w:shd w:val="clear" w:color="auto" w:fill="FFFFFF"/>
          <w:lang w:val="sk-SK"/>
        </w:rPr>
        <w:t>31.</w:t>
      </w:r>
    </w:p>
  </w:footnote>
  <w:footnote w:id="11">
    <w:p w:rsidR="00A15ED1" w:rsidRPr="00B01820" w:rsidRDefault="00A15ED1" w:rsidP="00B01820">
      <w:pPr>
        <w:pStyle w:val="FootnoteText"/>
        <w:ind w:left="567" w:hanging="567"/>
        <w:rPr>
          <w:sz w:val="24"/>
          <w:lang w:val="sk-SK"/>
        </w:rPr>
      </w:pPr>
      <w:r w:rsidRPr="00B01820">
        <w:rPr>
          <w:rStyle w:val="FootnoteReference"/>
          <w:sz w:val="24"/>
          <w:lang w:val="sk-SK"/>
        </w:rPr>
        <w:footnoteRef/>
      </w:r>
      <w:r w:rsidR="00B01820" w:rsidRPr="00B01820">
        <w:rPr>
          <w:snapToGrid w:val="0"/>
          <w:sz w:val="24"/>
          <w:lang w:val="sk-SK"/>
        </w:rPr>
        <w:t xml:space="preserve"> </w:t>
      </w:r>
      <w:r w:rsidR="00B01820" w:rsidRPr="00B01820">
        <w:rPr>
          <w:snapToGrid w:val="0"/>
          <w:sz w:val="24"/>
          <w:lang w:val="sk-SK"/>
        </w:rPr>
        <w:tab/>
      </w:r>
      <w:r w:rsidRPr="00B01820">
        <w:rPr>
          <w:snapToGrid w:val="0"/>
          <w:sz w:val="24"/>
          <w:lang w:val="sk-SK"/>
        </w:rPr>
        <w:t>Prijaté texty, P9_TA(2023)0281.</w:t>
      </w:r>
    </w:p>
  </w:footnote>
  <w:footnote w:id="12">
    <w:p w:rsidR="00A15ED1" w:rsidRPr="00B01820" w:rsidRDefault="00A15ED1" w:rsidP="00B01820">
      <w:pPr>
        <w:pStyle w:val="FootnoteText"/>
        <w:ind w:left="567" w:hanging="567"/>
        <w:rPr>
          <w:sz w:val="24"/>
          <w:lang w:val="sk-SK"/>
        </w:rPr>
      </w:pPr>
      <w:r w:rsidRPr="00B01820">
        <w:rPr>
          <w:rStyle w:val="FootnoteReference"/>
          <w:sz w:val="24"/>
          <w:lang w:val="sk-SK"/>
        </w:rPr>
        <w:footnoteRef/>
      </w:r>
      <w:r w:rsidR="00B01820" w:rsidRPr="00B01820">
        <w:rPr>
          <w:sz w:val="24"/>
          <w:lang w:val="sk-SK"/>
        </w:rPr>
        <w:t xml:space="preserve"> </w:t>
      </w:r>
      <w:r w:rsidR="00B01820" w:rsidRPr="00B01820">
        <w:rPr>
          <w:sz w:val="24"/>
          <w:lang w:val="sk-SK"/>
        </w:rPr>
        <w:tab/>
      </w:r>
      <w:r w:rsidRPr="00B01820">
        <w:rPr>
          <w:sz w:val="24"/>
          <w:lang w:val="sk-SK"/>
        </w:rPr>
        <w:t>Ú. v. EÚ C 117, 11.3.2022, s. 159.</w:t>
      </w:r>
    </w:p>
  </w:footnote>
  <w:footnote w:id="13">
    <w:p w:rsidR="00A15ED1" w:rsidRPr="00B01820" w:rsidRDefault="00A15ED1" w:rsidP="00B01820">
      <w:pPr>
        <w:pStyle w:val="FootnoteText"/>
        <w:ind w:left="567" w:hanging="567"/>
        <w:rPr>
          <w:sz w:val="24"/>
          <w:lang w:val="sk-SK"/>
        </w:rPr>
      </w:pPr>
      <w:r w:rsidRPr="00B01820">
        <w:rPr>
          <w:rStyle w:val="FootnoteReference"/>
          <w:sz w:val="24"/>
          <w:lang w:val="sk-SK"/>
        </w:rPr>
        <w:footnoteRef/>
      </w:r>
      <w:r w:rsidR="00B01820" w:rsidRPr="00B01820">
        <w:rPr>
          <w:sz w:val="24"/>
          <w:lang w:val="sk-SK"/>
        </w:rPr>
        <w:t xml:space="preserve"> </w:t>
      </w:r>
      <w:r w:rsidR="00B01820" w:rsidRPr="00B01820">
        <w:rPr>
          <w:sz w:val="24"/>
          <w:lang w:val="sk-SK"/>
        </w:rPr>
        <w:tab/>
      </w:r>
      <w:r w:rsidRPr="00B01820">
        <w:rPr>
          <w:sz w:val="24"/>
          <w:lang w:val="sk-SK"/>
        </w:rPr>
        <w:t>Ú. v. EÚ C 283, 11.8.2023, s. 31.</w:t>
      </w:r>
    </w:p>
  </w:footnote>
  <w:footnote w:id="14">
    <w:p w:rsidR="00A15ED1" w:rsidRPr="00B01820" w:rsidRDefault="00A15ED1" w:rsidP="00B01820">
      <w:pPr>
        <w:pStyle w:val="FootnoteText"/>
        <w:ind w:left="567" w:hanging="567"/>
        <w:rPr>
          <w:sz w:val="24"/>
          <w:lang w:val="sk-SK"/>
        </w:rPr>
      </w:pPr>
      <w:r w:rsidRPr="00B01820">
        <w:rPr>
          <w:rStyle w:val="FootnoteReference"/>
          <w:sz w:val="24"/>
          <w:lang w:val="sk-SK"/>
        </w:rPr>
        <w:footnoteRef/>
      </w:r>
      <w:r w:rsidR="00B01820" w:rsidRPr="00B01820">
        <w:rPr>
          <w:sz w:val="24"/>
          <w:lang w:val="sk-SK"/>
        </w:rPr>
        <w:t xml:space="preserve"> </w:t>
      </w:r>
      <w:r w:rsidR="00B01820" w:rsidRPr="00B01820">
        <w:rPr>
          <w:sz w:val="24"/>
          <w:lang w:val="sk-SK"/>
        </w:rPr>
        <w:tab/>
      </w:r>
      <w:r w:rsidRPr="00B01820">
        <w:rPr>
          <w:sz w:val="24"/>
          <w:lang w:val="sk-SK"/>
        </w:rPr>
        <w:t>Prijaté texty,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182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182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18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31D695C"/>
    <w:multiLevelType w:val="hybridMultilevel"/>
    <w:tmpl w:val="DA14D94A"/>
    <w:lvl w:ilvl="0" w:tplc="069615AC">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4E2670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D784E97"/>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F537990"/>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8422C1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9350A4E"/>
    <w:multiLevelType w:val="hybridMultilevel"/>
    <w:tmpl w:val="C8DC24DC"/>
    <w:lvl w:ilvl="0" w:tplc="8258F812">
      <w:start w:val="1"/>
      <w:numFmt w:val="decimal"/>
      <w:lvlText w:val="%1."/>
      <w:lvlJc w:val="left"/>
      <w:pPr>
        <w:ind w:left="72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BE52560"/>
    <w:multiLevelType w:val="hybridMultilevel"/>
    <w:tmpl w:val="8C7C0760"/>
    <w:lvl w:ilvl="0" w:tplc="FFFFFFFF">
      <w:start w:val="1"/>
      <w:numFmt w:val="lowerLetter"/>
      <w:lvlText w:val="(%1)"/>
      <w:lvlJc w:val="left"/>
      <w:pPr>
        <w:ind w:left="1309" w:hanging="360"/>
      </w:pPr>
      <w:rPr>
        <w:rFonts w:ascii="Times New Roman" w:hAnsi="Times New Roman" w:cs="Times New Roman" w:hint="default"/>
        <w:sz w:val="24"/>
        <w:szCs w:val="24"/>
      </w:rPr>
    </w:lvl>
    <w:lvl w:ilvl="1" w:tplc="FFFFFFFF">
      <w:start w:val="1"/>
      <w:numFmt w:val="lowerLetter"/>
      <w:lvlText w:val="%2."/>
      <w:lvlJc w:val="left"/>
      <w:pPr>
        <w:ind w:left="2029" w:hanging="360"/>
      </w:pPr>
    </w:lvl>
    <w:lvl w:ilvl="2" w:tplc="FFFFFFFF">
      <w:start w:val="1"/>
      <w:numFmt w:val="lowerRoman"/>
      <w:lvlText w:val="%3."/>
      <w:lvlJc w:val="right"/>
      <w:pPr>
        <w:ind w:left="2749" w:hanging="180"/>
      </w:pPr>
    </w:lvl>
    <w:lvl w:ilvl="3" w:tplc="FFFFFFFF">
      <w:start w:val="1"/>
      <w:numFmt w:val="decimal"/>
      <w:lvlText w:val="%4."/>
      <w:lvlJc w:val="left"/>
      <w:pPr>
        <w:ind w:left="3469" w:hanging="360"/>
      </w:pPr>
    </w:lvl>
    <w:lvl w:ilvl="4" w:tplc="FFFFFFFF">
      <w:start w:val="1"/>
      <w:numFmt w:val="lowerLetter"/>
      <w:lvlText w:val="%5."/>
      <w:lvlJc w:val="left"/>
      <w:pPr>
        <w:ind w:left="4189" w:hanging="360"/>
      </w:pPr>
    </w:lvl>
    <w:lvl w:ilvl="5" w:tplc="FFFFFFFF">
      <w:start w:val="1"/>
      <w:numFmt w:val="lowerRoman"/>
      <w:lvlText w:val="%6."/>
      <w:lvlJc w:val="right"/>
      <w:pPr>
        <w:ind w:left="4909" w:hanging="180"/>
      </w:pPr>
    </w:lvl>
    <w:lvl w:ilvl="6" w:tplc="FFFFFFFF">
      <w:start w:val="1"/>
      <w:numFmt w:val="decimal"/>
      <w:lvlText w:val="%7."/>
      <w:lvlJc w:val="left"/>
      <w:pPr>
        <w:ind w:left="5629" w:hanging="360"/>
      </w:pPr>
    </w:lvl>
    <w:lvl w:ilvl="7" w:tplc="FFFFFFFF">
      <w:start w:val="1"/>
      <w:numFmt w:val="lowerLetter"/>
      <w:lvlText w:val="%8."/>
      <w:lvlJc w:val="left"/>
      <w:pPr>
        <w:ind w:left="6349" w:hanging="360"/>
      </w:pPr>
    </w:lvl>
    <w:lvl w:ilvl="8" w:tplc="FFFFFFFF">
      <w:start w:val="1"/>
      <w:numFmt w:val="lowerRoman"/>
      <w:lvlText w:val="%9."/>
      <w:lvlJc w:val="right"/>
      <w:pPr>
        <w:ind w:left="7069" w:hanging="180"/>
      </w:pPr>
    </w:lvl>
  </w:abstractNum>
  <w:abstractNum w:abstractNumId="10" w15:restartNumberingAfterBreak="0">
    <w:nsid w:val="2C8D6A5E"/>
    <w:multiLevelType w:val="hybridMultilevel"/>
    <w:tmpl w:val="4FC80F2A"/>
    <w:lvl w:ilvl="0" w:tplc="034A8F34">
      <w:start w:val="5"/>
      <w:numFmt w:val="decimal"/>
      <w:lvlText w:val="%1."/>
      <w:lvlJc w:val="left"/>
      <w:pPr>
        <w:ind w:left="360" w:hanging="360"/>
      </w:pPr>
      <w:rPr>
        <w:rFonts w:ascii="Times New Roman" w:hAnsi="Times New Roman" w:cs="Times New Roman" w:hint="default"/>
        <w:sz w:val="24"/>
        <w:szCs w:val="2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CF14796"/>
    <w:multiLevelType w:val="hybridMultilevel"/>
    <w:tmpl w:val="9BC44506"/>
    <w:lvl w:ilvl="0" w:tplc="D71C031C">
      <w:start w:val="8"/>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FA61EF6"/>
    <w:multiLevelType w:val="hybridMultilevel"/>
    <w:tmpl w:val="D6482E3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3094532A"/>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20A73F9"/>
    <w:multiLevelType w:val="hybridMultilevel"/>
    <w:tmpl w:val="6B54EBBA"/>
    <w:lvl w:ilvl="0" w:tplc="91D8761C">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89455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431E14B2"/>
    <w:multiLevelType w:val="hybridMultilevel"/>
    <w:tmpl w:val="64F0C990"/>
    <w:lvl w:ilvl="0" w:tplc="42ECD73A">
      <w:start w:val="1"/>
      <w:numFmt w:val="decimal"/>
      <w:lvlText w:val="%1."/>
      <w:lvlJc w:val="left"/>
      <w:pPr>
        <w:ind w:left="720" w:hanging="360"/>
      </w:pPr>
      <w:rPr>
        <w:i w:val="0"/>
        <w:iCs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4BA11AD3"/>
    <w:multiLevelType w:val="hybridMultilevel"/>
    <w:tmpl w:val="F3AEEE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21B1483"/>
    <w:multiLevelType w:val="hybridMultilevel"/>
    <w:tmpl w:val="8C8A0E1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5AD72350"/>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667F679F"/>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66D133CF"/>
    <w:multiLevelType w:val="hybridMultilevel"/>
    <w:tmpl w:val="366E6F10"/>
    <w:lvl w:ilvl="0" w:tplc="1809000F">
      <w:start w:val="1"/>
      <w:numFmt w:val="decimal"/>
      <w:lvlText w:val="%1."/>
      <w:lvlJc w:val="left"/>
      <w:pPr>
        <w:ind w:left="785" w:hanging="360"/>
      </w:pPr>
      <w:rPr>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6A871C81"/>
    <w:multiLevelType w:val="hybridMultilevel"/>
    <w:tmpl w:val="806C1192"/>
    <w:lvl w:ilvl="0" w:tplc="FFFFFFFF">
      <w:start w:val="1"/>
      <w:numFmt w:val="decimal"/>
      <w:lvlText w:val="%1."/>
      <w:lvlJc w:val="left"/>
      <w:pPr>
        <w:ind w:left="720" w:hanging="360"/>
      </w:pPr>
      <w:rPr>
        <w:rFonts w:ascii="Times New Roman" w:hAnsi="Times New Roman" w:cs="Times New Roman" w:hint="default"/>
        <w:sz w:val="24"/>
        <w:szCs w:val="24"/>
      </w:rPr>
    </w:lvl>
    <w:lvl w:ilvl="1" w:tplc="58422D1E">
      <w:start w:val="1"/>
      <w:numFmt w:val="lowerLetter"/>
      <w:lvlText w:val="(%2)"/>
      <w:lvlJc w:val="left"/>
      <w:pPr>
        <w:ind w:left="1440" w:hanging="360"/>
      </w:pPr>
      <w:rPr>
        <w:rFonts w:ascii="Times New Roman" w:hAnsi="Times New Roman" w:cs="Times New Roman" w:hint="default"/>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712D2873"/>
    <w:multiLevelType w:val="hybridMultilevel"/>
    <w:tmpl w:val="026A0154"/>
    <w:lvl w:ilvl="0" w:tplc="FFFFFFFF">
      <w:start w:val="1"/>
      <w:numFmt w:val="decimal"/>
      <w:lvlText w:val="%1."/>
      <w:lvlJc w:val="left"/>
      <w:pPr>
        <w:ind w:left="785" w:hanging="360"/>
      </w:pPr>
      <w:rPr>
        <w:rFonts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7443020D"/>
    <w:multiLevelType w:val="hybridMultilevel"/>
    <w:tmpl w:val="06A2B00C"/>
    <w:lvl w:ilvl="0" w:tplc="58422D1E">
      <w:start w:val="1"/>
      <w:numFmt w:val="lowerLetter"/>
      <w:lvlText w:val="(%1)"/>
      <w:lvlJc w:val="left"/>
      <w:pPr>
        <w:ind w:left="1495" w:hanging="360"/>
      </w:pPr>
      <w:rPr>
        <w:rFonts w:ascii="Times New Roman" w:hAnsi="Times New Roman" w:cs="Times New Roman" w:hint="default"/>
        <w:sz w:val="24"/>
        <w:szCs w:val="24"/>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4C3E7BA4"/>
    <w:lvl w:ilvl="0" w:tplc="56F0BE7C">
      <w:start w:val="1"/>
      <w:numFmt w:val="decimal"/>
      <w:lvlText w:val="%1."/>
      <w:lvlJc w:val="left"/>
      <w:pPr>
        <w:ind w:left="720" w:hanging="360"/>
      </w:pPr>
      <w:rPr>
        <w:rFonts w:ascii="Times New Roman" w:hAnsi="Times New Roman" w:cs="Times New Roman" w:hint="default"/>
        <w:sz w:val="24"/>
        <w:szCs w:val="24"/>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7FCA33BB"/>
    <w:multiLevelType w:val="hybridMultilevel"/>
    <w:tmpl w:val="F4D8B60E"/>
    <w:lvl w:ilvl="0" w:tplc="FFFFFFFF">
      <w:start w:val="1"/>
      <w:numFmt w:val="decimal"/>
      <w:lvlText w:val="%1."/>
      <w:lvlJc w:val="left"/>
      <w:pPr>
        <w:ind w:left="720" w:hanging="360"/>
      </w:pPr>
      <w:rPr>
        <w:rFonts w:ascii="Times New Roman" w:hAnsi="Times New Roman" w:cs="Times New Roman" w:hint="default"/>
        <w:i w:val="0"/>
        <w:iCs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1"/>
  </w:num>
  <w:num w:numId="2">
    <w:abstractNumId w:val="15"/>
  </w:num>
  <w:num w:numId="3">
    <w:abstractNumId w:val="26"/>
    <w:lvlOverride w:ilvl="0">
      <w:startOverride w:val="1"/>
    </w:lvlOverride>
  </w:num>
  <w:num w:numId="4">
    <w:abstractNumId w:val="27"/>
  </w:num>
  <w:num w:numId="5">
    <w:abstractNumId w:val="10"/>
  </w:num>
  <w:num w:numId="6">
    <w:abstractNumId w:val="14"/>
  </w:num>
  <w:num w:numId="7">
    <w:abstractNumId w:val="11"/>
  </w:num>
  <w:num w:numId="8">
    <w:abstractNumId w:val="3"/>
  </w:num>
  <w:num w:numId="9">
    <w:abstractNumId w:val="24"/>
  </w:num>
  <w:num w:numId="10">
    <w:abstractNumId w:val="0"/>
  </w:num>
  <w:num w:numId="11">
    <w:abstractNumId w:val="25"/>
  </w:num>
  <w:num w:numId="12">
    <w:abstractNumId w:val="9"/>
  </w:num>
  <w:num w:numId="13">
    <w:abstractNumId w:val="6"/>
  </w:num>
  <w:num w:numId="14">
    <w:abstractNumId w:val="8"/>
  </w:num>
  <w:num w:numId="15">
    <w:abstractNumId w:val="23"/>
  </w:num>
  <w:num w:numId="16">
    <w:abstractNumId w:val="7"/>
  </w:num>
  <w:num w:numId="17">
    <w:abstractNumId w:val="26"/>
  </w:num>
  <w:num w:numId="18">
    <w:abstractNumId w:val="4"/>
  </w:num>
  <w:num w:numId="19">
    <w:abstractNumId w:val="28"/>
  </w:num>
  <w:num w:numId="20">
    <w:abstractNumId w:val="20"/>
  </w:num>
  <w:num w:numId="21">
    <w:abstractNumId w:val="19"/>
  </w:num>
  <w:num w:numId="22">
    <w:abstractNumId w:val="5"/>
  </w:num>
  <w:num w:numId="23">
    <w:abstractNumId w:val="2"/>
  </w:num>
  <w:num w:numId="24">
    <w:abstractNumId w:val="18"/>
  </w:num>
  <w:num w:numId="25">
    <w:abstractNumId w:val="13"/>
  </w:num>
  <w:num w:numId="26">
    <w:abstractNumId w:val="21"/>
  </w:num>
  <w:num w:numId="27">
    <w:abstractNumId w:val="16"/>
  </w:num>
  <w:num w:numId="28">
    <w:abstractNumId w:val="17"/>
  </w:num>
  <w:num w:numId="29">
    <w:abstractNumId w:val="12"/>
  </w:num>
  <w:num w:numId="30">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SK"/>
    <w:docVar w:name="dvnumam" w:val="0"/>
    <w:docVar w:name="dvpe" w:val="759.998"/>
    <w:docVar w:name="dvrapporteur" w:val="Spravodajca: "/>
    <w:docVar w:name="dvtitre" w:val="Rozhodnutie Európskeho parlamentu z xx. apríla 2024 o uzavretí dohody medzi Európskym parlamentom, Radou, Európskou komisiou, Súdnym dvorom Európskej únie, Európskou centrálnou bankou, Európskym dvorom audítorov, Európskym hospodárskym a sociálnym výborom a Európskym výborom regiónov, ktorou sa zriaďuje medziinštitucionálny orgán pre etické normy týkajúce sa členov inštitúcií a poradných orgánov uvedených v článku 13 Zmluvy o Európskej únii(2024/2008(ACI))"/>
  </w:docVars>
  <w:rsids>
    <w:rsidRoot w:val="001D50CF"/>
    <w:rsid w:val="00002272"/>
    <w:rsid w:val="000544F9"/>
    <w:rsid w:val="00064002"/>
    <w:rsid w:val="000677B9"/>
    <w:rsid w:val="00074ECA"/>
    <w:rsid w:val="000831BA"/>
    <w:rsid w:val="000A42CC"/>
    <w:rsid w:val="000E7DD9"/>
    <w:rsid w:val="0010095E"/>
    <w:rsid w:val="00125B37"/>
    <w:rsid w:val="00187494"/>
    <w:rsid w:val="001900B9"/>
    <w:rsid w:val="001D50CF"/>
    <w:rsid w:val="001F32AE"/>
    <w:rsid w:val="002767FF"/>
    <w:rsid w:val="00285A1B"/>
    <w:rsid w:val="002B18FE"/>
    <w:rsid w:val="002B5493"/>
    <w:rsid w:val="002D1843"/>
    <w:rsid w:val="00343214"/>
    <w:rsid w:val="00361C00"/>
    <w:rsid w:val="00395FA1"/>
    <w:rsid w:val="003E15D4"/>
    <w:rsid w:val="003E462E"/>
    <w:rsid w:val="00401C18"/>
    <w:rsid w:val="00411CCE"/>
    <w:rsid w:val="0041666E"/>
    <w:rsid w:val="00421060"/>
    <w:rsid w:val="00457107"/>
    <w:rsid w:val="00463E0C"/>
    <w:rsid w:val="00471C19"/>
    <w:rsid w:val="004867E3"/>
    <w:rsid w:val="00494A28"/>
    <w:rsid w:val="004C0004"/>
    <w:rsid w:val="004C0B15"/>
    <w:rsid w:val="004C5D52"/>
    <w:rsid w:val="004D1129"/>
    <w:rsid w:val="004F5BE7"/>
    <w:rsid w:val="0050519A"/>
    <w:rsid w:val="005072A1"/>
    <w:rsid w:val="00514517"/>
    <w:rsid w:val="00545827"/>
    <w:rsid w:val="00560270"/>
    <w:rsid w:val="005C2568"/>
    <w:rsid w:val="006037C0"/>
    <w:rsid w:val="0060558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2B2F"/>
    <w:rsid w:val="00930C23"/>
    <w:rsid w:val="0093193B"/>
    <w:rsid w:val="009509D8"/>
    <w:rsid w:val="00950B64"/>
    <w:rsid w:val="00981893"/>
    <w:rsid w:val="009D48A1"/>
    <w:rsid w:val="00A15ED1"/>
    <w:rsid w:val="00A1687D"/>
    <w:rsid w:val="00A17516"/>
    <w:rsid w:val="00A43E52"/>
    <w:rsid w:val="00A4678D"/>
    <w:rsid w:val="00A73DD8"/>
    <w:rsid w:val="00A778C7"/>
    <w:rsid w:val="00AB441E"/>
    <w:rsid w:val="00AB6293"/>
    <w:rsid w:val="00AE0928"/>
    <w:rsid w:val="00AF3B82"/>
    <w:rsid w:val="00B01820"/>
    <w:rsid w:val="00B12E95"/>
    <w:rsid w:val="00B22876"/>
    <w:rsid w:val="00B558F0"/>
    <w:rsid w:val="00B666F4"/>
    <w:rsid w:val="00BD48FE"/>
    <w:rsid w:val="00BD7BD8"/>
    <w:rsid w:val="00BE6ADC"/>
    <w:rsid w:val="00C05BFE"/>
    <w:rsid w:val="00C23CD4"/>
    <w:rsid w:val="00C61C0C"/>
    <w:rsid w:val="00C627D6"/>
    <w:rsid w:val="00C941CB"/>
    <w:rsid w:val="00CB00C8"/>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0C3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94CF0E"/>
  <w15:chartTrackingRefBased/>
  <w15:docId w15:val="{3F6F124A-CED5-4933-B497-D1DA581B0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number, BVI fn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15ED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15ED1"/>
    <w:pPr>
      <w:keepNext/>
      <w:spacing w:after="480"/>
      <w:jc w:val="center"/>
    </w:pPr>
    <w:rPr>
      <w:rFonts w:ascii="Arial" w:hAnsi="Arial" w:cs="Arial"/>
      <w:b/>
    </w:rPr>
  </w:style>
  <w:style w:type="paragraph" w:customStyle="1" w:styleId="NormalHanging12a">
    <w:name w:val="NormalHanging12a"/>
    <w:basedOn w:val="Normal"/>
    <w:rsid w:val="00A15ED1"/>
    <w:pPr>
      <w:spacing w:after="240"/>
      <w:ind w:left="567" w:hanging="567"/>
    </w:pPr>
  </w:style>
  <w:style w:type="paragraph" w:styleId="Header">
    <w:name w:val="header"/>
    <w:basedOn w:val="Normal"/>
    <w:link w:val="HeaderChar"/>
    <w:rsid w:val="00A15ED1"/>
    <w:pPr>
      <w:tabs>
        <w:tab w:val="center" w:pos="4513"/>
        <w:tab w:val="right" w:pos="9026"/>
      </w:tabs>
    </w:pPr>
  </w:style>
  <w:style w:type="character" w:customStyle="1" w:styleId="HeaderChar">
    <w:name w:val="Header Char"/>
    <w:basedOn w:val="DefaultParagraphFont"/>
    <w:link w:val="Header"/>
    <w:rsid w:val="00A15ED1"/>
    <w:rPr>
      <w:sz w:val="24"/>
      <w:lang w:val="sk-SK"/>
    </w:rPr>
  </w:style>
  <w:style w:type="paragraph" w:customStyle="1" w:styleId="EPFooter">
    <w:name w:val="EPFooter"/>
    <w:basedOn w:val="Normal"/>
    <w:rsid w:val="00A15ED1"/>
    <w:pPr>
      <w:tabs>
        <w:tab w:val="center" w:pos="4535"/>
        <w:tab w:val="right" w:pos="9071"/>
      </w:tabs>
      <w:spacing w:before="240" w:after="240"/>
    </w:pPr>
    <w:rPr>
      <w:color w:val="010000"/>
      <w:sz w:val="22"/>
    </w:rPr>
  </w:style>
  <w:style w:type="paragraph" w:customStyle="1" w:styleId="EPComma">
    <w:name w:val="EPComma"/>
    <w:basedOn w:val="Normal"/>
    <w:rsid w:val="00A15ED1"/>
    <w:pPr>
      <w:spacing w:before="480" w:after="240"/>
    </w:pPr>
  </w:style>
  <w:style w:type="paragraph" w:styleId="ListParagraph">
    <w:name w:val="List Paragraph"/>
    <w:basedOn w:val="Normal"/>
    <w:uiPriority w:val="34"/>
    <w:qFormat/>
    <w:rsid w:val="00A15ED1"/>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Considrant">
    <w:name w:val="Considérant"/>
    <w:basedOn w:val="Normal"/>
    <w:rsid w:val="00A15ED1"/>
    <w:pPr>
      <w:widowControl/>
      <w:numPr>
        <w:numId w:val="3"/>
      </w:numPr>
      <w:spacing w:before="120" w:after="120"/>
      <w:jc w:val="both"/>
    </w:pPr>
    <w:rPr>
      <w:rFonts w:eastAsiaTheme="minorHAnsi"/>
      <w:szCs w:val="22"/>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A15ED1"/>
    <w:pPr>
      <w:widowControl/>
      <w:spacing w:after="160" w:line="240" w:lineRule="exact"/>
    </w:pPr>
    <w:rPr>
      <w:sz w:val="20"/>
      <w:vertAlign w:val="superscript"/>
      <w:lang w:val="en-GB"/>
    </w:rPr>
  </w:style>
  <w:style w:type="paragraph" w:styleId="Footer">
    <w:name w:val="footer"/>
    <w:basedOn w:val="Normal"/>
    <w:link w:val="FooterChar"/>
    <w:rsid w:val="001900B9"/>
    <w:pPr>
      <w:tabs>
        <w:tab w:val="center" w:pos="4513"/>
        <w:tab w:val="right" w:pos="9026"/>
      </w:tabs>
    </w:pPr>
  </w:style>
  <w:style w:type="character" w:customStyle="1" w:styleId="FooterChar">
    <w:name w:val="Footer Char"/>
    <w:basedOn w:val="DefaultParagraphFont"/>
    <w:link w:val="Footer"/>
    <w:rsid w:val="001900B9"/>
    <w:rPr>
      <w:sz w:val="24"/>
      <w:lang w:val="sk-SK"/>
    </w:rPr>
  </w:style>
  <w:style w:type="paragraph" w:styleId="BalloonText">
    <w:name w:val="Balloon Text"/>
    <w:basedOn w:val="Normal"/>
    <w:link w:val="BalloonTextChar"/>
    <w:rsid w:val="003E462E"/>
    <w:rPr>
      <w:rFonts w:ascii="Segoe UI" w:hAnsi="Segoe UI" w:cs="Segoe UI"/>
      <w:sz w:val="18"/>
      <w:szCs w:val="18"/>
    </w:rPr>
  </w:style>
  <w:style w:type="character" w:customStyle="1" w:styleId="BalloonTextChar">
    <w:name w:val="Balloon Text Char"/>
    <w:basedOn w:val="DefaultParagraphFont"/>
    <w:link w:val="BalloonText"/>
    <w:rsid w:val="003E462E"/>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82F33-D8F0-465A-B2A7-47D7FFE5A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1846</Words>
  <Characters>11537</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2024-09-11T09:52:00Z</dcterms:created>
  <dcterms:modified xsi:type="dcterms:W3CDTF">2024-09-11T09:52:00Z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P9_TA(2024)0372_</vt:lpwstr>
  </property>
  <property fmtid="{D5CDD505-2E9C-101B-9397-08002B2CF9AE}" pid="4" name="&lt;Type&gt;">
    <vt:lpwstr>RR</vt:lpwstr>
  </property>
</Properties>
</file>