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47FE" w:rsidTr="0010095E">
        <w:trPr>
          <w:trHeight w:hRule="exact" w:val="1418"/>
        </w:trPr>
        <w:tc>
          <w:tcPr>
            <w:tcW w:w="6804" w:type="dxa"/>
            <w:shd w:val="clear" w:color="auto" w:fill="auto"/>
            <w:vAlign w:val="center"/>
          </w:tcPr>
          <w:p w:rsidR="00751A4A" w:rsidRPr="004A47FE" w:rsidRDefault="00792863" w:rsidP="0010095E">
            <w:pPr>
              <w:pStyle w:val="EPName"/>
            </w:pPr>
            <w:r w:rsidRPr="004A47FE">
              <w:t>Европейски</w:t>
            </w:r>
            <w:r w:rsidR="00262FED" w:rsidRPr="004A47FE">
              <w:t xml:space="preserve"> парламент</w:t>
            </w:r>
          </w:p>
          <w:p w:rsidR="00751A4A" w:rsidRPr="004A47FE" w:rsidRDefault="00817416" w:rsidP="00756632">
            <w:pPr>
              <w:pStyle w:val="EPTerm"/>
              <w:rPr>
                <w:rStyle w:val="HideTWBExt"/>
                <w:noProof w:val="0"/>
                <w:vanish w:val="0"/>
                <w:color w:val="auto"/>
              </w:rPr>
            </w:pPr>
            <w:r w:rsidRPr="004A47FE">
              <w:t>2019</w:t>
            </w:r>
            <w:r w:rsidR="00792863">
              <w:rPr>
                <w:lang w:val="en-GB"/>
              </w:rPr>
              <w:t> – </w:t>
            </w:r>
            <w:r w:rsidRPr="004A47FE">
              <w:t>2024</w:t>
            </w:r>
          </w:p>
        </w:tc>
        <w:tc>
          <w:tcPr>
            <w:tcW w:w="2268" w:type="dxa"/>
            <w:shd w:val="clear" w:color="auto" w:fill="auto"/>
          </w:tcPr>
          <w:p w:rsidR="00751A4A" w:rsidRPr="004A47FE" w:rsidRDefault="00187494" w:rsidP="0010095E">
            <w:pPr>
              <w:pStyle w:val="EPLogo"/>
            </w:pPr>
            <w:r w:rsidRPr="004A47F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47FE" w:rsidRDefault="00D058B8" w:rsidP="004C5D52">
      <w:pPr>
        <w:pStyle w:val="LineTop"/>
      </w:pPr>
    </w:p>
    <w:p w:rsidR="00680577" w:rsidRPr="004A47FE" w:rsidRDefault="00262FED" w:rsidP="00680577">
      <w:pPr>
        <w:pStyle w:val="EPBodyTA1"/>
      </w:pPr>
      <w:r w:rsidRPr="004A47FE">
        <w:t>ПРИЕТИ ТЕКСТОВЕ</w:t>
      </w:r>
    </w:p>
    <w:p w:rsidR="00D058B8" w:rsidRPr="004A47FE" w:rsidRDefault="00D058B8" w:rsidP="00D058B8">
      <w:pPr>
        <w:pStyle w:val="LineBottom"/>
      </w:pPr>
    </w:p>
    <w:p w:rsidR="00262FED" w:rsidRPr="004A47FE" w:rsidRDefault="00262FED" w:rsidP="00262FED">
      <w:pPr>
        <w:pStyle w:val="ATHeading1"/>
      </w:pPr>
      <w:bookmarkStart w:id="0" w:name="TANumber"/>
      <w:r w:rsidRPr="004A47FE">
        <w:t>P9_TA(2024)0</w:t>
      </w:r>
      <w:r w:rsidR="007628A3">
        <w:t>373</w:t>
      </w:r>
      <w:bookmarkEnd w:id="0"/>
    </w:p>
    <w:p w:rsidR="00262FED" w:rsidRPr="004A47FE" w:rsidRDefault="00262FED" w:rsidP="00262FED">
      <w:pPr>
        <w:pStyle w:val="ATHeading2"/>
      </w:pPr>
      <w:bookmarkStart w:id="1" w:name="title"/>
      <w:r w:rsidRPr="004A47FE">
        <w:t>Бюджетна прогноза за приходите и разходите за финансовата 2025 година — Раздел I — Европейски парламент</w:t>
      </w:r>
    </w:p>
    <w:p w:rsidR="00262FED" w:rsidRPr="004A47FE" w:rsidRDefault="00262FED" w:rsidP="00262FED">
      <w:pPr>
        <w:rPr>
          <w:i/>
          <w:vanish/>
        </w:rPr>
      </w:pPr>
      <w:r w:rsidRPr="004A47FE">
        <w:rPr>
          <w:i/>
        </w:rPr>
        <w:fldChar w:fldCharType="begin"/>
      </w:r>
      <w:r w:rsidRPr="004A47FE">
        <w:rPr>
          <w:i/>
        </w:rPr>
        <w:instrText xml:space="preserve"> TC"(</w:instrText>
      </w:r>
      <w:bookmarkStart w:id="2" w:name="DocNumber"/>
      <w:r w:rsidRPr="004A47FE">
        <w:rPr>
          <w:i/>
        </w:rPr>
        <w:instrText>A9-0180/2024</w:instrText>
      </w:r>
      <w:bookmarkEnd w:id="2"/>
      <w:r w:rsidRPr="004A47FE">
        <w:rPr>
          <w:i/>
        </w:rPr>
        <w:instrText xml:space="preserve"> - Докладчик: Ана‑Мишел </w:instrText>
      </w:r>
      <w:proofErr w:type="spellStart"/>
      <w:r w:rsidRPr="004A47FE">
        <w:rPr>
          <w:i/>
        </w:rPr>
        <w:instrText>Асимакопулу</w:instrText>
      </w:r>
      <w:proofErr w:type="spellEnd"/>
      <w:r w:rsidRPr="004A47FE">
        <w:rPr>
          <w:i/>
        </w:rPr>
        <w:instrText xml:space="preserve">)"\l3 \n&gt; \* MERGEFORMAT </w:instrText>
      </w:r>
      <w:r w:rsidRPr="004A47FE">
        <w:rPr>
          <w:i/>
        </w:rPr>
        <w:fldChar w:fldCharType="end"/>
      </w:r>
    </w:p>
    <w:p w:rsidR="00262FED" w:rsidRPr="004A47FE" w:rsidRDefault="00262FED" w:rsidP="00262FED">
      <w:pPr>
        <w:rPr>
          <w:vanish/>
        </w:rPr>
      </w:pPr>
      <w:bookmarkStart w:id="3" w:name="Commission"/>
      <w:r w:rsidRPr="004A47FE">
        <w:rPr>
          <w:vanish/>
        </w:rPr>
        <w:t>Комисия по бюджети</w:t>
      </w:r>
      <w:bookmarkEnd w:id="3"/>
    </w:p>
    <w:p w:rsidR="00262FED" w:rsidRPr="004A47FE" w:rsidRDefault="00262FED" w:rsidP="00262FED">
      <w:pPr>
        <w:rPr>
          <w:vanish/>
        </w:rPr>
      </w:pPr>
      <w:bookmarkStart w:id="4" w:name="PE"/>
      <w:r w:rsidRPr="004A47FE">
        <w:rPr>
          <w:vanish/>
        </w:rPr>
        <w:t>PE759.633</w:t>
      </w:r>
      <w:bookmarkEnd w:id="4"/>
    </w:p>
    <w:p w:rsidR="00262FED" w:rsidRPr="00792863" w:rsidRDefault="00262FED" w:rsidP="00792863">
      <w:pPr>
        <w:pStyle w:val="ATHeading3"/>
        <w:rPr>
          <w:lang w:val="en-GB"/>
        </w:rPr>
      </w:pPr>
      <w:bookmarkStart w:id="5" w:name="Sujet"/>
      <w:r w:rsidRPr="004A47FE">
        <w:t xml:space="preserve">Резолюция на Европейския парламент от </w:t>
      </w:r>
      <w:r w:rsidR="00792863">
        <w:rPr>
          <w:lang w:val="en-GB"/>
        </w:rPr>
        <w:t xml:space="preserve">25 </w:t>
      </w:r>
      <w:r w:rsidR="00792863">
        <w:t>април</w:t>
      </w:r>
      <w:r w:rsidRPr="004A47FE">
        <w:t xml:space="preserve"> 2024 г. относно бюджетната прогноза за приходите и разходите на Парламента за финансовата 2025 година</w:t>
      </w:r>
      <w:bookmarkEnd w:id="5"/>
      <w:r w:rsidRPr="004A47FE">
        <w:t xml:space="preserve"> </w:t>
      </w:r>
      <w:bookmarkStart w:id="6" w:name="References"/>
      <w:r w:rsidRPr="004A47FE">
        <w:t>(2023/2221(BUI))</w:t>
      </w:r>
      <w:bookmarkEnd w:id="6"/>
    </w:p>
    <w:p w:rsidR="00CE145B" w:rsidRPr="004A47FE" w:rsidRDefault="00CE145B" w:rsidP="00CE145B">
      <w:pPr>
        <w:pStyle w:val="EPComma"/>
        <w:rPr>
          <w:szCs w:val="24"/>
        </w:rPr>
      </w:pPr>
      <w:bookmarkStart w:id="7" w:name="TextBodyBegin"/>
      <w:bookmarkEnd w:id="1"/>
      <w:bookmarkEnd w:id="7"/>
      <w:r w:rsidRPr="004A47FE">
        <w:rPr>
          <w:i/>
        </w:rPr>
        <w:t>Европейският парламент</w:t>
      </w:r>
      <w:r w:rsidRPr="004A47FE">
        <w:t>,</w:t>
      </w:r>
    </w:p>
    <w:p w:rsidR="00CE145B" w:rsidRPr="004A47FE" w:rsidRDefault="00CE145B" w:rsidP="00CE145B">
      <w:pPr>
        <w:pStyle w:val="NormalHanging12a"/>
        <w:rPr>
          <w:szCs w:val="24"/>
        </w:rPr>
      </w:pPr>
      <w:r w:rsidRPr="004A47FE">
        <w:t>–</w:t>
      </w:r>
      <w:r w:rsidRPr="004A47FE">
        <w:tab/>
        <w:t>като взе предвид член 314 от Договора за функционирането на Европейския съюз,</w:t>
      </w:r>
    </w:p>
    <w:p w:rsidR="00CE145B" w:rsidRPr="004A47FE" w:rsidRDefault="00CE145B" w:rsidP="00CE145B">
      <w:pPr>
        <w:pStyle w:val="NormalHanging12a"/>
        <w:rPr>
          <w:szCs w:val="24"/>
        </w:rPr>
      </w:pPr>
      <w:r w:rsidRPr="004A47FE">
        <w:t>–</w:t>
      </w:r>
      <w:r w:rsidRPr="004A47FE">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4A47FE">
        <w:rPr>
          <w:rStyle w:val="FootnoteReference"/>
          <w:szCs w:val="24"/>
        </w:rPr>
        <w:footnoteReference w:id="1"/>
      </w:r>
      <w:r w:rsidRPr="004A47FE">
        <w:t>,</w:t>
      </w:r>
    </w:p>
    <w:p w:rsidR="00CE145B" w:rsidRPr="004A47FE" w:rsidRDefault="00CE145B" w:rsidP="00CE145B">
      <w:pPr>
        <w:pStyle w:val="NormalHanging12a"/>
        <w:rPr>
          <w:szCs w:val="24"/>
        </w:rPr>
      </w:pPr>
      <w:r w:rsidRPr="004A47FE">
        <w:t>–</w:t>
      </w:r>
      <w:r w:rsidRPr="004A47FE">
        <w:tab/>
        <w:t>като взе пр</w:t>
      </w:r>
      <w:r w:rsidR="00A41167">
        <w:t xml:space="preserve">едвид Регламент (EC, Евратом) </w:t>
      </w:r>
      <w:r w:rsidRPr="004A47FE">
        <w:t>2020/2093 на Съвета от 17 декември 2020 г. за определяне на многогодишната финансова рамка за годините 2021 – 2027</w:t>
      </w:r>
      <w:r w:rsidRPr="004A47FE">
        <w:rPr>
          <w:szCs w:val="24"/>
          <w:vertAlign w:val="superscript"/>
        </w:rPr>
        <w:footnoteReference w:id="2"/>
      </w:r>
      <w:r w:rsidRPr="004A47FE">
        <w:t xml:space="preserve"> и съвместните декларации, договорени между Парламента, Съвета и Комисията в този контекст</w:t>
      </w:r>
      <w:r w:rsidRPr="004A47FE">
        <w:rPr>
          <w:szCs w:val="24"/>
          <w:vertAlign w:val="superscript"/>
        </w:rPr>
        <w:footnoteReference w:id="3"/>
      </w:r>
      <w:r w:rsidRPr="004A47FE">
        <w:t>, както и съответните едностранни декларации</w:t>
      </w:r>
      <w:r w:rsidRPr="004A47FE">
        <w:rPr>
          <w:szCs w:val="24"/>
          <w:vertAlign w:val="superscript"/>
        </w:rPr>
        <w:footnoteReference w:id="4"/>
      </w:r>
      <w:r w:rsidRPr="004A47FE">
        <w:t xml:space="preserve">, </w:t>
      </w:r>
    </w:p>
    <w:p w:rsidR="00CE145B" w:rsidRPr="004A47FE" w:rsidRDefault="00CE145B" w:rsidP="00CE145B">
      <w:pPr>
        <w:pStyle w:val="NormalHanging12a"/>
        <w:rPr>
          <w:szCs w:val="24"/>
        </w:rPr>
      </w:pPr>
      <w:r w:rsidRPr="004A47FE">
        <w:t>–</w:t>
      </w:r>
      <w:r w:rsidRPr="004A47FE">
        <w:tab/>
        <w:t>като взе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включително пътна карта за въвеждането на нови собствени ресурси</w:t>
      </w:r>
      <w:r w:rsidRPr="004A47FE">
        <w:rPr>
          <w:rStyle w:val="FootnoteReference"/>
          <w:szCs w:val="24"/>
        </w:rPr>
        <w:footnoteReference w:id="5"/>
      </w:r>
      <w:r w:rsidRPr="004A47FE">
        <w:t>,</w:t>
      </w:r>
    </w:p>
    <w:p w:rsidR="00CE145B" w:rsidRPr="004A47FE" w:rsidRDefault="00CE145B" w:rsidP="00CE145B">
      <w:pPr>
        <w:pStyle w:val="NormalHanging12a"/>
        <w:rPr>
          <w:szCs w:val="24"/>
        </w:rPr>
      </w:pPr>
      <w:r w:rsidRPr="004A47FE">
        <w:lastRenderedPageBreak/>
        <w:t>–</w:t>
      </w:r>
      <w:r w:rsidRPr="004A47FE">
        <w:tab/>
        <w:t xml:space="preserve">като взе предвид своя междинен доклад </w:t>
      </w:r>
      <w:r w:rsidR="0067221A">
        <w:t xml:space="preserve">от 3 октомври 2023 г. </w:t>
      </w:r>
      <w:r w:rsidRPr="004A47FE">
        <w:t>относно предложението за междинно преразглеждане на многогодишната финансова рамка за периода 2021 – 2027 г.</w:t>
      </w:r>
      <w:r w:rsidRPr="004A47FE">
        <w:rPr>
          <w:szCs w:val="24"/>
          <w:vertAlign w:val="superscript"/>
        </w:rPr>
        <w:footnoteReference w:id="6"/>
      </w:r>
      <w:r w:rsidRPr="004A47FE">
        <w:t>,</w:t>
      </w:r>
    </w:p>
    <w:p w:rsidR="00CE145B" w:rsidRPr="004A47FE" w:rsidRDefault="00CE145B" w:rsidP="00CE145B">
      <w:pPr>
        <w:pStyle w:val="NormalHanging12a"/>
        <w:rPr>
          <w:szCs w:val="24"/>
        </w:rPr>
      </w:pPr>
      <w:r w:rsidRPr="004A47FE">
        <w:t>–</w:t>
      </w:r>
      <w:r w:rsidRPr="004A47FE">
        <w:tab/>
        <w:t>като взе предвид своята резолюция от 15 декември 2022 г. относно подобряването на многогодишната финансова рамка за периода 2021 – 2027 г.: устойчив бюджет на ЕС, адаптиран към новите предизвикателства</w:t>
      </w:r>
      <w:r w:rsidRPr="004A47FE">
        <w:rPr>
          <w:szCs w:val="24"/>
          <w:vertAlign w:val="superscript"/>
        </w:rPr>
        <w:footnoteReference w:id="7"/>
      </w:r>
      <w:r w:rsidRPr="004A47FE">
        <w:t xml:space="preserve">, </w:t>
      </w:r>
    </w:p>
    <w:p w:rsidR="00CE145B" w:rsidRPr="004A47FE" w:rsidRDefault="00CE145B" w:rsidP="00CE145B">
      <w:pPr>
        <w:pStyle w:val="NormalHanging12a"/>
        <w:rPr>
          <w:szCs w:val="24"/>
        </w:rPr>
      </w:pPr>
      <w:r w:rsidRPr="004A47FE">
        <w:t>–</w:t>
      </w:r>
      <w:r w:rsidRPr="004A47FE">
        <w:tab/>
        <w:t>като взе предвид Регламе</w:t>
      </w:r>
      <w:bookmarkStart w:id="8" w:name="_GoBack"/>
      <w:bookmarkEnd w:id="8"/>
      <w:r w:rsidRPr="004A47FE">
        <w:t>нт (ЕС, Евратом) 2024/765 на Съвета от 29 февруари 2024 г. за изменение на Регламент (ЕС, Евратом) 2020/2093 за определяне на многогодишната финансова рамка за годините 2021 – 2027</w:t>
      </w:r>
      <w:r w:rsidRPr="004A47FE">
        <w:rPr>
          <w:rStyle w:val="FootnoteReference"/>
          <w:szCs w:val="24"/>
        </w:rPr>
        <w:footnoteReference w:id="8"/>
      </w:r>
      <w:r w:rsidRPr="004A47FE">
        <w:t xml:space="preserve"> (преразглеждане на МФР),</w:t>
      </w:r>
    </w:p>
    <w:p w:rsidR="00CE145B" w:rsidRPr="004A47FE" w:rsidRDefault="00CE145B" w:rsidP="00CE145B">
      <w:pPr>
        <w:pStyle w:val="NormalHanging12a"/>
        <w:rPr>
          <w:szCs w:val="24"/>
        </w:rPr>
      </w:pPr>
      <w:r w:rsidRPr="004A47FE">
        <w:t>–</w:t>
      </w:r>
      <w:r w:rsidRPr="004A47FE">
        <w:tab/>
        <w:t>като взе предвид предложението на Комисията от 16 май 2022 г. за регламент на Европейския парламент и на Съвета за финансовите правила, приложими за общия бюджет на Съюза</w:t>
      </w:r>
      <w:r w:rsidRPr="004A47FE">
        <w:rPr>
          <w:rStyle w:val="FootnoteReference"/>
          <w:szCs w:val="24"/>
        </w:rPr>
        <w:footnoteReference w:id="9"/>
      </w:r>
      <w:r w:rsidRPr="004A47FE">
        <w:t>,</w:t>
      </w:r>
    </w:p>
    <w:p w:rsidR="00CE145B" w:rsidRPr="004A47FE" w:rsidRDefault="00CE145B" w:rsidP="00CE145B">
      <w:pPr>
        <w:pStyle w:val="NormalHanging12a"/>
        <w:rPr>
          <w:szCs w:val="24"/>
        </w:rPr>
      </w:pPr>
      <w:r w:rsidRPr="004A47FE">
        <w:t>–</w:t>
      </w:r>
      <w:r w:rsidRPr="004A47FE">
        <w:tab/>
        <w:t>като взе предвид Регламент (ЕС, Евратом) № 1023/2013 на Европейския парламент и на Съвета от 22 октомври 2013 г. за изменение на Правилника за длъжностните лица на Европейския съюз и на Условията за работа на другите служители на Европейския съюз</w:t>
      </w:r>
      <w:r w:rsidRPr="004A47FE">
        <w:rPr>
          <w:rStyle w:val="FootnoteReference"/>
          <w:szCs w:val="24"/>
        </w:rPr>
        <w:footnoteReference w:id="10"/>
      </w:r>
      <w:r w:rsidRPr="004A47FE">
        <w:t xml:space="preserve">, </w:t>
      </w:r>
    </w:p>
    <w:p w:rsidR="00CE145B" w:rsidRPr="004A47FE" w:rsidRDefault="00CE145B" w:rsidP="00CE145B">
      <w:pPr>
        <w:pStyle w:val="NormalHanging12a"/>
        <w:rPr>
          <w:szCs w:val="24"/>
        </w:rPr>
      </w:pPr>
      <w:r w:rsidRPr="004A47FE">
        <w:t>–</w:t>
      </w:r>
      <w:r w:rsidRPr="004A47FE">
        <w:tab/>
        <w:t>като взе предвид своята резолюция от 20 април 2023 г. относно бюджетната прогноза за приходите и разходите на Парламента за финансовата 2024 година</w:t>
      </w:r>
      <w:r w:rsidRPr="004A47FE">
        <w:rPr>
          <w:rStyle w:val="FootnoteReference"/>
          <w:szCs w:val="24"/>
        </w:rPr>
        <w:footnoteReference w:id="11"/>
      </w:r>
      <w:r w:rsidRPr="004A47FE">
        <w:t xml:space="preserve">, </w:t>
      </w:r>
    </w:p>
    <w:p w:rsidR="00CE145B" w:rsidRPr="004A47FE" w:rsidRDefault="00CE145B" w:rsidP="00CE145B">
      <w:pPr>
        <w:pStyle w:val="NormalHanging12a"/>
        <w:rPr>
          <w:szCs w:val="24"/>
        </w:rPr>
      </w:pPr>
      <w:r w:rsidRPr="004A47FE">
        <w:t>–</w:t>
      </w:r>
      <w:r w:rsidRPr="004A47FE">
        <w:tab/>
        <w:t>като взе предвид своята резолюция от 18 октомври 2023 г. относно позицията на Съвета относно проекта на общ бюджет на Европейския съюз за финансовата 2024 година</w:t>
      </w:r>
      <w:r w:rsidRPr="004A47FE">
        <w:rPr>
          <w:rStyle w:val="FootnoteReference"/>
          <w:szCs w:val="24"/>
        </w:rPr>
        <w:footnoteReference w:id="12"/>
      </w:r>
      <w:r w:rsidRPr="004A47FE">
        <w:t xml:space="preserve">, </w:t>
      </w:r>
    </w:p>
    <w:p w:rsidR="00CE145B" w:rsidRPr="004A47FE" w:rsidRDefault="00CE145B" w:rsidP="00CE145B">
      <w:pPr>
        <w:pStyle w:val="NormalHanging12a"/>
        <w:rPr>
          <w:szCs w:val="24"/>
        </w:rPr>
      </w:pPr>
      <w:r w:rsidRPr="004A47FE">
        <w:t>–</w:t>
      </w:r>
      <w:r w:rsidRPr="004A47FE">
        <w:tab/>
        <w:t>като взе предвид общия бюджет на Европейския съюз за финансовата 2024 година</w:t>
      </w:r>
      <w:r w:rsidRPr="004A47FE">
        <w:rPr>
          <w:rStyle w:val="FootnoteReference"/>
          <w:szCs w:val="24"/>
        </w:rPr>
        <w:footnoteReference w:id="13"/>
      </w:r>
      <w:r w:rsidRPr="004A47FE">
        <w:t xml:space="preserve"> и общите декларации, договорени между Парламента, Съвета и Комисията, които са поместени в приложение, </w:t>
      </w:r>
    </w:p>
    <w:p w:rsidR="00CE145B" w:rsidRPr="004A47FE" w:rsidRDefault="00CE145B" w:rsidP="00CE145B">
      <w:pPr>
        <w:pStyle w:val="NormalHanging12a"/>
        <w:rPr>
          <w:szCs w:val="24"/>
        </w:rPr>
      </w:pPr>
      <w:r w:rsidRPr="004A47FE">
        <w:t>–</w:t>
      </w:r>
      <w:r w:rsidRPr="004A47FE">
        <w:tab/>
        <w:t>като взе предвид доклада на генералния секретар до Бюрото относно изготвянето на предварителния проект на бюджетна прогноза на Парламента за финансовата 2025 година,</w:t>
      </w:r>
    </w:p>
    <w:p w:rsidR="00CE145B" w:rsidRPr="004A47FE" w:rsidRDefault="00CE145B" w:rsidP="00CE145B">
      <w:pPr>
        <w:pStyle w:val="NormalHanging12a"/>
        <w:rPr>
          <w:szCs w:val="24"/>
        </w:rPr>
      </w:pPr>
      <w:r w:rsidRPr="004A47FE">
        <w:t>–</w:t>
      </w:r>
      <w:r w:rsidRPr="004A47FE">
        <w:tab/>
        <w:t>като взе предвид предварителния проект на бюджетна прогноза, изготвен от Бюрото на 11 март 2024 г. съгласно член 25, параграф 7 и член 102, параграф 1 от Правилника за дейността на Парламента,</w:t>
      </w:r>
    </w:p>
    <w:p w:rsidR="00CE145B" w:rsidRPr="004A47FE" w:rsidRDefault="00CE145B" w:rsidP="00CE145B">
      <w:pPr>
        <w:pStyle w:val="NormalHanging12a"/>
        <w:rPr>
          <w:szCs w:val="24"/>
        </w:rPr>
      </w:pPr>
      <w:r w:rsidRPr="004A47FE">
        <w:t>–</w:t>
      </w:r>
      <w:r w:rsidRPr="004A47FE">
        <w:tab/>
        <w:t xml:space="preserve">като взе предвид проекта на бюджетна прогноза, изготвен от комисията по бюджети съгласно член 102, параграф 2 от Правилника за дейността на </w:t>
      </w:r>
      <w:r w:rsidRPr="004A47FE">
        <w:lastRenderedPageBreak/>
        <w:t>Парламента,</w:t>
      </w:r>
    </w:p>
    <w:p w:rsidR="00CE145B" w:rsidRPr="004A47FE" w:rsidRDefault="00CE145B" w:rsidP="00CE145B">
      <w:pPr>
        <w:pStyle w:val="NormalHanging12a"/>
        <w:rPr>
          <w:szCs w:val="24"/>
        </w:rPr>
      </w:pPr>
      <w:r w:rsidRPr="004A47FE">
        <w:t>–</w:t>
      </w:r>
      <w:r w:rsidRPr="004A47FE">
        <w:tab/>
        <w:t>като взе предвид член 102 от своя Правилник за дейността,</w:t>
      </w:r>
    </w:p>
    <w:p w:rsidR="00CE145B" w:rsidRPr="004A47FE" w:rsidRDefault="00CE145B" w:rsidP="00CE145B">
      <w:pPr>
        <w:pStyle w:val="NormalHanging12a"/>
        <w:rPr>
          <w:szCs w:val="24"/>
        </w:rPr>
      </w:pPr>
      <w:r w:rsidRPr="004A47FE">
        <w:t>–</w:t>
      </w:r>
      <w:r w:rsidRPr="004A47FE">
        <w:tab/>
        <w:t>като взе предвид доклада на комисията по бюджети (A9-0180/2024),</w:t>
      </w:r>
    </w:p>
    <w:p w:rsidR="00CE145B" w:rsidRPr="004A47FE" w:rsidRDefault="00CE145B" w:rsidP="00CE145B">
      <w:pPr>
        <w:pStyle w:val="Action"/>
        <w:tabs>
          <w:tab w:val="clear" w:pos="357"/>
        </w:tabs>
        <w:spacing w:after="200"/>
        <w:ind w:left="567" w:hanging="567"/>
        <w:outlineLvl w:val="0"/>
        <w:rPr>
          <w:szCs w:val="24"/>
        </w:rPr>
      </w:pPr>
      <w:r w:rsidRPr="004A47FE">
        <w:t>А.</w:t>
      </w:r>
      <w:r w:rsidRPr="004A47FE">
        <w:tab/>
        <w:t xml:space="preserve">като има предвид, че бюджетът, предложен на 26 февруари 2024 г. от генералния секретар за предварителния проект на бюджетна прогноза на Парламента за 2025 г., възлиза на 2 507 233 329 EUR и представлява увеличение с 5,21%, или 124 132 017 EUR, спрямо бюджета за 2024 г.; </w:t>
      </w:r>
    </w:p>
    <w:p w:rsidR="00CE145B" w:rsidRPr="004A47FE" w:rsidRDefault="00CE145B" w:rsidP="00CE145B">
      <w:pPr>
        <w:pStyle w:val="Action"/>
        <w:tabs>
          <w:tab w:val="clear" w:pos="357"/>
        </w:tabs>
        <w:spacing w:after="200"/>
        <w:ind w:left="567" w:hanging="567"/>
        <w:outlineLvl w:val="0"/>
        <w:rPr>
          <w:szCs w:val="24"/>
        </w:rPr>
      </w:pPr>
      <w:r w:rsidRPr="004A47FE">
        <w:t>Б.</w:t>
      </w:r>
      <w:r w:rsidRPr="004A47FE">
        <w:tab/>
        <w:t>като има предвид, че според прогнозите на Комисията темпът на инфлация в ЕС ще бъде 3% през 2024 г. и 2,5% през 2025 г. съгласно нейната зимна (междинна) прогноза за 2024 г.; като има предвид, че равнището на разходите по функция 7 от МФР за периода 2021 – 2027 г. се основава на годишно увеличение с 2%;</w:t>
      </w:r>
    </w:p>
    <w:p w:rsidR="00CE145B" w:rsidRPr="004A47FE" w:rsidRDefault="00CE145B" w:rsidP="00CE145B">
      <w:pPr>
        <w:pStyle w:val="Action"/>
        <w:tabs>
          <w:tab w:val="clear" w:pos="357"/>
        </w:tabs>
        <w:spacing w:after="200"/>
        <w:ind w:left="567" w:hanging="567"/>
        <w:outlineLvl w:val="0"/>
        <w:rPr>
          <w:szCs w:val="24"/>
        </w:rPr>
      </w:pPr>
      <w:r w:rsidRPr="004A47FE">
        <w:t>В.</w:t>
      </w:r>
      <w:r w:rsidRPr="004A47FE">
        <w:tab/>
        <w:t xml:space="preserve">като има предвид, че доверието в Парламента зависи от способността му да изпълнява основните си бюджетни, законодателни и контролни функции, придържайки се към най-високите стандарти, като същевременно дава пример на другите институции на Съюза за внимателно и ефикасно планиране на разходите и изпълнението им, както и за съобразяване с преобладаващите икономически реалности; </w:t>
      </w:r>
    </w:p>
    <w:p w:rsidR="00CE145B" w:rsidRPr="004A47FE" w:rsidRDefault="00CE145B" w:rsidP="00CE145B">
      <w:pPr>
        <w:pStyle w:val="Action"/>
        <w:tabs>
          <w:tab w:val="clear" w:pos="357"/>
        </w:tabs>
        <w:spacing w:after="200"/>
        <w:ind w:left="567" w:hanging="567"/>
        <w:outlineLvl w:val="0"/>
        <w:rPr>
          <w:szCs w:val="24"/>
        </w:rPr>
      </w:pPr>
      <w:r w:rsidRPr="004A47FE">
        <w:t>Г.</w:t>
      </w:r>
      <w:r w:rsidRPr="004A47FE">
        <w:tab/>
        <w:t>като има предвид, че 2025 г. ще бъде първата пълна година след изборите и следователно – годината на възстановяване на нормалния ритъм на основните политически и спомагателни дейности;</w:t>
      </w:r>
    </w:p>
    <w:p w:rsidR="00CE145B" w:rsidRPr="004A47FE" w:rsidRDefault="00CE145B" w:rsidP="00CE145B">
      <w:pPr>
        <w:pStyle w:val="Action"/>
        <w:tabs>
          <w:tab w:val="clear" w:pos="357"/>
        </w:tabs>
        <w:spacing w:after="200"/>
        <w:ind w:left="567" w:hanging="567"/>
        <w:outlineLvl w:val="0"/>
        <w:rPr>
          <w:szCs w:val="24"/>
        </w:rPr>
      </w:pPr>
      <w:r w:rsidRPr="004A47FE">
        <w:t xml:space="preserve">Д. </w:t>
      </w:r>
      <w:r w:rsidRPr="004A47FE">
        <w:tab/>
        <w:t xml:space="preserve">като има предвид, че Парламентът завърши своя процес на дълбоки реформи, започнал миналата година, с който цели, от една страна, да преразгледа вътрешните си методи на работа, като направи парламентарната работа по-ефективна, а от друга страна, да засили институционалната си роля, което да доведе до по-добро функциониране на Парламента като </w:t>
      </w:r>
      <w:proofErr w:type="spellStart"/>
      <w:r w:rsidRPr="004A47FE">
        <w:t>съзаконодател</w:t>
      </w:r>
      <w:proofErr w:type="spellEnd"/>
      <w:r w:rsidRPr="004A47FE">
        <w:t>, като подразделение на бюджетния орган и като орган по освобождаване от отговорност във връзка с изпълнението на бюджета и до увеличаване на капацитета му за упражняване на демократичен надзор;</w:t>
      </w:r>
    </w:p>
    <w:p w:rsidR="00CE145B" w:rsidRPr="004A47FE" w:rsidRDefault="00CE145B" w:rsidP="00CE145B">
      <w:pPr>
        <w:tabs>
          <w:tab w:val="left" w:pos="567"/>
        </w:tabs>
        <w:spacing w:after="240"/>
        <w:ind w:left="567" w:hanging="567"/>
        <w:rPr>
          <w:b/>
          <w:bCs/>
          <w:i/>
          <w:iCs/>
          <w:szCs w:val="24"/>
        </w:rPr>
      </w:pPr>
      <w:r w:rsidRPr="004A47FE">
        <w:rPr>
          <w:b/>
          <w:i/>
        </w:rPr>
        <w:t>Обща рамка</w:t>
      </w:r>
    </w:p>
    <w:p w:rsidR="00CE145B" w:rsidRPr="004A47FE" w:rsidRDefault="00CE145B" w:rsidP="00CE145B">
      <w:pPr>
        <w:pStyle w:val="action0"/>
        <w:spacing w:after="200"/>
        <w:ind w:left="567" w:hanging="567"/>
        <w:rPr>
          <w:bCs/>
          <w:iCs/>
        </w:rPr>
      </w:pPr>
      <w:r w:rsidRPr="004A47FE">
        <w:t>1.</w:t>
      </w:r>
      <w:r w:rsidRPr="004A47FE">
        <w:tab/>
        <w:t>изразява загриженост относно положението по функция 7 в настоящата МФР; припомня, че тези ограничения са резултат от съкращенията, които Съветът приложи към и без това много ниското първоначално предложение на Комисията при договарянето на настоящата МФР за периода 2021 — 2027 г.; изразява съжаление за противопоставянето на Съвета на предложението на Комисията за увеличаване на тавана на функция 7 при преразглеждането на МФР, считано от 2024 г.; посочва, че въпросът за тавана на функция 7 не е разгледан при преразглеждането на МФР; подчертава, че прогнозираният отрицателен марж за 2025 г. предполага използването на специални инструменти по функция 7 за тази цел;</w:t>
      </w:r>
    </w:p>
    <w:p w:rsidR="00CE145B" w:rsidRPr="004A47FE" w:rsidRDefault="00CE145B" w:rsidP="00CE145B">
      <w:pPr>
        <w:pStyle w:val="action0"/>
        <w:spacing w:after="200"/>
        <w:ind w:left="567" w:hanging="567"/>
      </w:pPr>
      <w:r w:rsidRPr="004A47FE">
        <w:t xml:space="preserve">2. </w:t>
      </w:r>
      <w:r w:rsidRPr="004A47FE">
        <w:tab/>
        <w:t xml:space="preserve">припомня, че почти две трети от бюджета се определят от нормативно установени задължения; припомня, че понастоящем Комисията прогнозира индексацията на заплатите в съответствие с Правилника за длъжностните лица и Устава на </w:t>
      </w:r>
      <w:r w:rsidRPr="004A47FE">
        <w:lastRenderedPageBreak/>
        <w:t>членовете на Европейския парламент през юли 2024 г., април 2025 г. и юли 2025 г. да възлиза съответно на 5,3%, 0,6% и 3,7%; отбелязва, че бюджетът за 2024 г. включва индексация на заплатите с 3,4%, считано от юли 2024 г.; отбелязва, че комисията по бюджети ще наблюдава официално прогнозираното развитие на индексацията на заплатите;</w:t>
      </w:r>
    </w:p>
    <w:p w:rsidR="00CE145B" w:rsidRPr="004A47FE" w:rsidRDefault="00CE145B" w:rsidP="00CE145B">
      <w:pPr>
        <w:pStyle w:val="action0"/>
        <w:spacing w:after="200"/>
        <w:ind w:left="567" w:hanging="567"/>
      </w:pPr>
      <w:r w:rsidRPr="004A47FE">
        <w:t>3.</w:t>
      </w:r>
      <w:r w:rsidRPr="004A47FE">
        <w:tab/>
        <w:t xml:space="preserve">одобрява споразумението, постигнато по време на помирителната процедура между Бюрото и комисията по бюджети, проведена на 09 април 2024 г., за определяне на увеличението спрямо бюджета за 2024 г. на 4,87%, което съответства на общо равнище на бюджетната прогноза от 2 499 233 329 EUR за 2025 г., и за съответно намаляване на бюджетните кредити, предложени по следните бюджетни редове с общо 11 000 000 EUR: </w:t>
      </w:r>
    </w:p>
    <w:p w:rsidR="00CE145B" w:rsidRPr="004A47FE" w:rsidRDefault="00CE145B" w:rsidP="00792863">
      <w:pPr>
        <w:pStyle w:val="action0"/>
        <w:ind w:left="567" w:firstLine="0"/>
      </w:pPr>
      <w:r w:rsidRPr="004A47FE">
        <w:t>2 0 0 0 — Наем, 2 0 0 7 — Строителство на сгради и оборудване на помещения, 2 3 9 0 — Дейности по линия на EMAS и във връзка с устойчивостта, включително популяризиране и система за компенсиране на въглеродните емисии на Европейския парламент, 3 2 4 2 — Разходи за публикации, разпространяване на информация и участие в обществени мероприятия, 3 2 4 3 — Центрове за посетители на Европейския парламент, 1 0 1 — Резерв за непредвидени разходи;</w:t>
      </w:r>
    </w:p>
    <w:p w:rsidR="00CE145B" w:rsidRPr="004A47FE" w:rsidRDefault="00CE145B" w:rsidP="00792863">
      <w:pPr>
        <w:pStyle w:val="action0"/>
        <w:spacing w:after="200"/>
        <w:ind w:left="567" w:firstLine="0"/>
      </w:pPr>
      <w:r w:rsidRPr="004A47FE">
        <w:t>освен това взема решение да се увеличи равнището на разходите в одобрения от Бюрото на 11 март 2024 г. предварителен проект на бюджетна прогноза с 3 000 000 EUR и за съответно увеличаване на бюджетните кредити, предложени по следните бюджетни редове:</w:t>
      </w:r>
    </w:p>
    <w:p w:rsidR="00CE145B" w:rsidRPr="004A47FE" w:rsidRDefault="00CE145B" w:rsidP="00792863">
      <w:pPr>
        <w:pStyle w:val="action0"/>
        <w:ind w:left="567" w:firstLine="0"/>
      </w:pPr>
      <w:r w:rsidRPr="004A47FE">
        <w:t xml:space="preserve">3 2 4 4 — Организация и посрещане на групи посетители, програма </w:t>
      </w:r>
      <w:proofErr w:type="spellStart"/>
      <w:r w:rsidRPr="004A47FE">
        <w:t>Euroscola</w:t>
      </w:r>
      <w:proofErr w:type="spellEnd"/>
      <w:r w:rsidRPr="004A47FE">
        <w:t xml:space="preserve"> и покани към представители от трети страни, формиращи общественото мнение; 4 0 3 — Финансиране на европейските политически фондации;</w:t>
      </w:r>
    </w:p>
    <w:p w:rsidR="00CE145B" w:rsidRPr="004A47FE" w:rsidRDefault="00CE145B" w:rsidP="00CE145B">
      <w:pPr>
        <w:pStyle w:val="action0"/>
        <w:spacing w:after="200"/>
        <w:ind w:left="567" w:hanging="567"/>
      </w:pPr>
      <w:r w:rsidRPr="004A47FE">
        <w:t>4.</w:t>
      </w:r>
      <w:r w:rsidRPr="004A47FE">
        <w:tab/>
        <w:t>отбелязва, че от увеличението в размер на 116 милиона евро спрямо бюджета за 2024 г., 98 милиона евро се дължат на нормативно установени задължения, главно за актуализации на заплатите (54,7 милиона евро) и разходи, свързани с парламентарните сътрудници (33,2 милиона евро); отбелязва, че увеличението на разходите, които не са нормативно установени, между 2024 г. и 2025 г. не надвишава 2%;</w:t>
      </w:r>
    </w:p>
    <w:p w:rsidR="00CE145B" w:rsidRPr="004A47FE" w:rsidRDefault="00CE145B" w:rsidP="00CE145B">
      <w:pPr>
        <w:pStyle w:val="action0"/>
        <w:spacing w:after="200"/>
        <w:ind w:left="567" w:hanging="567"/>
      </w:pPr>
      <w:r w:rsidRPr="004A47FE">
        <w:t xml:space="preserve">5. </w:t>
      </w:r>
      <w:r w:rsidRPr="004A47FE">
        <w:tab/>
        <w:t>отбелязва, че Парламентът не е заявил никакви допълнителни длъжности за 2025 г.;</w:t>
      </w:r>
    </w:p>
    <w:p w:rsidR="00CE145B" w:rsidRPr="004A47FE" w:rsidRDefault="00CE145B" w:rsidP="00CE145B">
      <w:pPr>
        <w:pStyle w:val="action0"/>
        <w:spacing w:after="200"/>
        <w:ind w:left="567" w:hanging="567"/>
      </w:pPr>
      <w:r w:rsidRPr="004A47FE">
        <w:t xml:space="preserve">6. </w:t>
      </w:r>
      <w:r w:rsidRPr="004A47FE">
        <w:tab/>
        <w:t>отбелязва, че 98-те постоянни длъжности, създадени в бюджета за 2023 г. с цел улесняване на прилагането на член 29, параграф 4 от Правилника за длъжностните лица, са премахнати от щатното разписание за 2025 г.;</w:t>
      </w:r>
    </w:p>
    <w:p w:rsidR="00CE145B" w:rsidRPr="004A47FE" w:rsidRDefault="00CE145B" w:rsidP="00CE145B">
      <w:pPr>
        <w:pStyle w:val="Action"/>
        <w:spacing w:after="200"/>
        <w:outlineLvl w:val="0"/>
        <w:rPr>
          <w:b/>
          <w:i/>
          <w:szCs w:val="24"/>
        </w:rPr>
      </w:pPr>
      <w:r w:rsidRPr="004A47FE">
        <w:rPr>
          <w:b/>
          <w:i/>
        </w:rPr>
        <w:t>Групи посетители и центрове „</w:t>
      </w:r>
      <w:proofErr w:type="spellStart"/>
      <w:r w:rsidRPr="004A47FE">
        <w:rPr>
          <w:b/>
          <w:i/>
        </w:rPr>
        <w:t>Europa</w:t>
      </w:r>
      <w:proofErr w:type="spellEnd"/>
      <w:r w:rsidRPr="004A47FE">
        <w:rPr>
          <w:b/>
          <w:i/>
        </w:rPr>
        <w:t xml:space="preserve"> </w:t>
      </w:r>
      <w:proofErr w:type="spellStart"/>
      <w:r w:rsidRPr="004A47FE">
        <w:rPr>
          <w:b/>
          <w:i/>
        </w:rPr>
        <w:t>Experience</w:t>
      </w:r>
      <w:proofErr w:type="spellEnd"/>
      <w:r w:rsidRPr="004A47FE">
        <w:rPr>
          <w:b/>
          <w:i/>
        </w:rPr>
        <w:t>“</w:t>
      </w:r>
    </w:p>
    <w:p w:rsidR="00CE145B" w:rsidRPr="004A47FE" w:rsidRDefault="00CE145B" w:rsidP="00CE145B">
      <w:pPr>
        <w:pStyle w:val="action0"/>
        <w:spacing w:after="200"/>
        <w:ind w:left="567" w:hanging="567"/>
      </w:pPr>
      <w:r w:rsidRPr="004A47FE">
        <w:t>7.</w:t>
      </w:r>
      <w:r w:rsidRPr="004A47FE">
        <w:tab/>
        <w:t>припомня, че групите посетители на всички места на работа на Парламента представляват важен инструмент за членовете на ЕП, чрез който те се свързват със своите избиратели и ги запознават с работата си в Парламента; подчертава, че групите посетители допринасят за популяризирането на ролята на Парламента сред гласоподавателите в целия Съюз;</w:t>
      </w:r>
    </w:p>
    <w:p w:rsidR="00CE145B" w:rsidRPr="004A47FE" w:rsidRDefault="00CE145B" w:rsidP="00CE145B">
      <w:pPr>
        <w:pStyle w:val="action0"/>
        <w:spacing w:after="200"/>
        <w:ind w:left="567" w:hanging="567"/>
      </w:pPr>
      <w:r w:rsidRPr="004A47FE">
        <w:t>8.</w:t>
      </w:r>
      <w:r w:rsidRPr="004A47FE">
        <w:tab/>
        <w:t xml:space="preserve">отбелязва със загриженост нарастващите трудности при организирането на такива посещения, особено за членовете на ЕП от държави членки, които са географски </w:t>
      </w:r>
      <w:r w:rsidRPr="004A47FE">
        <w:lastRenderedPageBreak/>
        <w:t xml:space="preserve">отдалечени от Брюксел и Страсбург, поради финансовите ограничения на сегашния бюджет; призовава за достатъчно финансиране за покриване на разходите, свързани с пътуването и настаняването, като се вземат предвид темповете на инфлация и цените, както в държавите на произход на групите посетители, така и в Брюксел и Страсбург; счита, че е необходимо увеличение с 10% на сумата, предвидена на човек, за да се вземат предвид преобладаващите условия; призовава генералния секретар да предложи на квесторите възможно най-скоро увеличение на таваните за покриваните разходи, за да продължи и да се увеличи подкрепата за членовете на ЕП за организиране на посещения на групи посетители в Парламента; </w:t>
      </w:r>
    </w:p>
    <w:p w:rsidR="00CE145B" w:rsidRPr="004A47FE" w:rsidRDefault="00CE145B" w:rsidP="00CE145B">
      <w:pPr>
        <w:pStyle w:val="action0"/>
        <w:spacing w:after="200"/>
        <w:ind w:left="567" w:hanging="567"/>
      </w:pPr>
      <w:r w:rsidRPr="004A47FE">
        <w:t>9.</w:t>
      </w:r>
      <w:r w:rsidRPr="004A47FE">
        <w:tab/>
        <w:t>отбелязва със загриженост вътрешните правила, уреждащи групите посетители на членовете на ЕП, в резултат на които при определени обстоятелства 30% от първоначалните разходи трябва да бъдат поети от акредитираните парламентарни сътрудници (АПС); подчертава неприложимостта на тези правила на практика и финансовата тежест, която това създава за акредитираните парламентарни сътрудници; призовава Бюрото да преразгледа и актуализира съществуващите правила относно посещенията с цел преодоляване на трудностите при планирането и организацията на посещенията;</w:t>
      </w:r>
    </w:p>
    <w:p w:rsidR="00CE145B" w:rsidRPr="004A47FE" w:rsidRDefault="00CE145B" w:rsidP="00CE145B">
      <w:pPr>
        <w:pStyle w:val="NormalHanging12a"/>
        <w:spacing w:after="200"/>
        <w:rPr>
          <w:szCs w:val="24"/>
        </w:rPr>
      </w:pPr>
      <w:r w:rsidRPr="004A47FE">
        <w:t>10.</w:t>
      </w:r>
      <w:r w:rsidRPr="004A47FE">
        <w:tab/>
        <w:t>припомня решението на Бюрото от 25 ноември 2019 г. за създаване на центрове „</w:t>
      </w:r>
      <w:proofErr w:type="spellStart"/>
      <w:r w:rsidRPr="004A47FE">
        <w:t>Europa</w:t>
      </w:r>
      <w:proofErr w:type="spellEnd"/>
      <w:r w:rsidRPr="004A47FE">
        <w:t xml:space="preserve"> </w:t>
      </w:r>
      <w:proofErr w:type="spellStart"/>
      <w:r w:rsidRPr="004A47FE">
        <w:t>Experience</w:t>
      </w:r>
      <w:proofErr w:type="spellEnd"/>
      <w:r w:rsidRPr="004A47FE">
        <w:t>“ във всички държави членки до края на 2024 г.; изразява съжаление за забавянето на откриването на центрове „</w:t>
      </w:r>
      <w:proofErr w:type="spellStart"/>
      <w:r w:rsidRPr="004A47FE">
        <w:t>Europa</w:t>
      </w:r>
      <w:proofErr w:type="spellEnd"/>
      <w:r w:rsidRPr="004A47FE">
        <w:t xml:space="preserve"> </w:t>
      </w:r>
      <w:proofErr w:type="spellStart"/>
      <w:r w:rsidRPr="004A47FE">
        <w:t>Experience</w:t>
      </w:r>
      <w:proofErr w:type="spellEnd"/>
      <w:r w:rsidRPr="004A47FE">
        <w:t>“ във всички държави членки преди изборите за Европейски парламент през 2024 г. и отбелязва, че понастоящем функционират само 12; признава, че редица външни фактори, включително нестабилността на пазарите на недвижими имоти, са допринесли за тези забавяния;</w:t>
      </w:r>
    </w:p>
    <w:p w:rsidR="00CE145B" w:rsidRPr="004A47FE" w:rsidRDefault="00CE145B" w:rsidP="00CE145B">
      <w:pPr>
        <w:pStyle w:val="action0"/>
        <w:spacing w:after="200"/>
        <w:ind w:left="567" w:hanging="567"/>
      </w:pPr>
      <w:r w:rsidRPr="004A47FE">
        <w:t>11.</w:t>
      </w:r>
      <w:r w:rsidRPr="004A47FE">
        <w:tab/>
        <w:t>отбелязва, че се планира откриването на пет центъра през 2025 г. (в Атина, Загреб, Хага, София и Будапеща); призовава за откриването на центрове „</w:t>
      </w:r>
      <w:proofErr w:type="spellStart"/>
      <w:r w:rsidRPr="004A47FE">
        <w:t>Europa</w:t>
      </w:r>
      <w:proofErr w:type="spellEnd"/>
      <w:r w:rsidRPr="004A47FE">
        <w:t xml:space="preserve"> </w:t>
      </w:r>
      <w:proofErr w:type="spellStart"/>
      <w:r w:rsidRPr="004A47FE">
        <w:t>Experience</w:t>
      </w:r>
      <w:proofErr w:type="spellEnd"/>
      <w:r w:rsidRPr="004A47FE">
        <w:t>“ във всички държави членки възможно най-скоро; припомня, че центровете „</w:t>
      </w:r>
      <w:proofErr w:type="spellStart"/>
      <w:r w:rsidRPr="004A47FE">
        <w:t>Europa</w:t>
      </w:r>
      <w:proofErr w:type="spellEnd"/>
      <w:r w:rsidRPr="004A47FE">
        <w:t xml:space="preserve"> </w:t>
      </w:r>
      <w:proofErr w:type="spellStart"/>
      <w:r w:rsidRPr="004A47FE">
        <w:t>Experience</w:t>
      </w:r>
      <w:proofErr w:type="spellEnd"/>
      <w:r w:rsidRPr="004A47FE">
        <w:t>“ следва да дадат възможност на всички граждани да разберат по-добре как функционират институциите на Съюза;</w:t>
      </w:r>
    </w:p>
    <w:p w:rsidR="00CE145B" w:rsidRPr="004A47FE" w:rsidRDefault="00CE145B" w:rsidP="00CE145B">
      <w:pPr>
        <w:pStyle w:val="Action"/>
        <w:keepNext/>
        <w:spacing w:after="200"/>
        <w:outlineLvl w:val="0"/>
        <w:rPr>
          <w:b/>
          <w:bCs/>
          <w:i/>
          <w:szCs w:val="24"/>
        </w:rPr>
      </w:pPr>
      <w:r w:rsidRPr="004A47FE">
        <w:rPr>
          <w:b/>
          <w:i/>
        </w:rPr>
        <w:t>Инфраструктура</w:t>
      </w:r>
    </w:p>
    <w:p w:rsidR="00CE145B" w:rsidRPr="004A47FE" w:rsidRDefault="00CE145B" w:rsidP="00792863">
      <w:pPr>
        <w:pStyle w:val="action0"/>
        <w:ind w:left="567" w:hanging="567"/>
      </w:pPr>
      <w:r w:rsidRPr="004A47FE">
        <w:t xml:space="preserve">12. </w:t>
      </w:r>
      <w:r w:rsidRPr="004A47FE">
        <w:tab/>
        <w:t>отбелязва, че комисията по бюджети одобри решението на Бюрото за извършване на задълбочено обновяване на сградата „СПАК“ в съответствие с резолюцията на Парламента от 19 октомври 2022 г. относно позицията на Съвета относно проекта на общ бюджет на Европейския съюз за финансовата 2023 година</w:t>
      </w:r>
      <w:r w:rsidRPr="004A47FE">
        <w:rPr>
          <w:rStyle w:val="FootnoteReference"/>
        </w:rPr>
        <w:footnoteReference w:id="14"/>
      </w:r>
      <w:r w:rsidRPr="004A47FE">
        <w:t>; подчертава, че настоящата сграда е с много ниска енергийна ефективност и не разполага с така необходимата гъвкавост, за да бъде пригодна за целта; подчертава, че Парламентът следва да управлява собствения си сграден фонд по отношение на енергийната ефективност и устойчивостта, така че той да бъде съобразен с целите на Зеления пакт; отбелязва, че обновяването ще доведе до значителни годишни икономии и намаляване на емисиите от CO</w:t>
      </w:r>
      <w:r w:rsidRPr="004A47FE">
        <w:rPr>
          <w:vertAlign w:val="subscript"/>
        </w:rPr>
        <w:t>2</w:t>
      </w:r>
      <w:r w:rsidRPr="004A47FE">
        <w:t xml:space="preserve"> и освен това ще спомогне за изпълнението на изискванията на преразгледаната </w:t>
      </w:r>
      <w:r w:rsidRPr="004A47FE">
        <w:rPr>
          <w14:textOutline w14:w="0" w14:cap="flat" w14:cmpd="sng" w14:algn="ctr">
            <w14:noFill/>
            <w14:prstDash w14:val="solid"/>
            <w14:bevel/>
          </w14:textOutline>
        </w:rPr>
        <w:t>Директива за енергийната ефективност</w:t>
      </w:r>
      <w:r w:rsidRPr="004A47FE">
        <w:t xml:space="preserve"> и Директивата относно енергийните характеристики на </w:t>
      </w:r>
      <w:r w:rsidRPr="004A47FE">
        <w:rPr>
          <w14:textOutline w14:w="0" w14:cap="flat" w14:cmpd="sng" w14:algn="ctr">
            <w14:noFill/>
            <w14:prstDash w14:val="solid"/>
            <w14:bevel/>
          </w14:textOutline>
        </w:rPr>
        <w:t>сгради</w:t>
      </w:r>
      <w:r w:rsidRPr="004A47FE">
        <w:t xml:space="preserve">те; припомня на Бюрото, че са необходими прозрачност, подходяща информация и консултации с комисията по бюджети, включително достъп до подробни детайли, </w:t>
      </w:r>
      <w:r w:rsidRPr="004A47FE">
        <w:lastRenderedPageBreak/>
        <w:t>преди приемането на каквито и да било важни решения по въпроси, свързани със сградния фонд и неговото финансиране, поради тяхното значително отражение върху бюджета;</w:t>
      </w:r>
    </w:p>
    <w:p w:rsidR="00CE145B" w:rsidRPr="004A47FE" w:rsidRDefault="00CE145B" w:rsidP="00CE145B">
      <w:pPr>
        <w:pStyle w:val="action0"/>
        <w:spacing w:after="200"/>
        <w:ind w:left="567" w:hanging="567"/>
      </w:pPr>
      <w:r w:rsidRPr="004A47FE">
        <w:t>13.</w:t>
      </w:r>
      <w:r w:rsidRPr="004A47FE">
        <w:tab/>
        <w:t xml:space="preserve">признава необходимостта от започване на ремонтни работи през 2025 г. в сграда „ТРЕВ II“, за да се улесни временното настаняване на служителите, които ще бъдат разместени във връзка със санирането на сградата „СПАК“; </w:t>
      </w:r>
    </w:p>
    <w:p w:rsidR="00CE145B" w:rsidRPr="004A47FE" w:rsidRDefault="00CE145B" w:rsidP="00CE145B">
      <w:pPr>
        <w:pStyle w:val="NormalHanging12a"/>
        <w:rPr>
          <w:szCs w:val="24"/>
        </w:rPr>
      </w:pPr>
      <w:r w:rsidRPr="004A47FE">
        <w:t>14.</w:t>
      </w:r>
      <w:r w:rsidRPr="004A47FE">
        <w:tab/>
        <w:t>приветства политиката на Парламента, насочена към гарантиране на напълно самостоятелното използване на сградите на Парламента от страна на хората с увреждания, и подкрепя допълнителните мерки и приспособления, които ще са необходими в това отношение; признава необходимостта от подобряване на достъпа на хората с увреждания до пленарната зала в Страсбург;</w:t>
      </w:r>
    </w:p>
    <w:p w:rsidR="00CE145B" w:rsidRPr="004A47FE" w:rsidRDefault="00CE145B" w:rsidP="00CE145B">
      <w:pPr>
        <w:pStyle w:val="action0"/>
        <w:spacing w:after="200"/>
        <w:ind w:left="567" w:hanging="567"/>
      </w:pPr>
      <w:r w:rsidRPr="004A47FE">
        <w:t>15.</w:t>
      </w:r>
      <w:r w:rsidRPr="004A47FE">
        <w:tab/>
        <w:t xml:space="preserve">припомня, че в момента администрацията на Парламента работи по цялостен подход за определяне на дългосрочната политика на Парламента в областта на сградния фонд, като се отчитат по-специално задълженията във връзка с околната среда, разходите, бюджетните ограничения, енергийната ефективност и управлението на отпадъците в съответствие с пакета „Подготвени за цел 55“, и очаква резултатите да бъдат публично оповестени; призовава да се обмислят внимателно гъвкавите начини на работа, възникнали в резултат на пандемията, като същевременно се вземе предвид факта, че физическото присъствие продължава да бъде по-ефективно при изготвянето на обществени политики, когато става въпрос за политически преговори, разисквания или обмен на мнения; </w:t>
      </w:r>
    </w:p>
    <w:p w:rsidR="00CE145B" w:rsidRPr="004A47FE" w:rsidRDefault="00CE145B" w:rsidP="00CE145B">
      <w:pPr>
        <w:pStyle w:val="action0"/>
        <w:spacing w:after="200"/>
        <w:ind w:left="567" w:hanging="567"/>
      </w:pPr>
      <w:r w:rsidRPr="004A47FE">
        <w:t xml:space="preserve">16. </w:t>
      </w:r>
      <w:r w:rsidRPr="004A47FE">
        <w:tab/>
        <w:t>отбелязва практиката на сборен трансфер в края на годината с цел да се осигурят финансови средства за строителни проекти; отбелязва, че такъв сборен трансфер систематично се извършва по едни и същи глави, дялове и често точно по едни и същи бюджетни редове; счита, че ежегодният сборен трансфер може да служи и за други цели, различни от финансирането на проекти, свързани със строителството;</w:t>
      </w:r>
    </w:p>
    <w:p w:rsidR="00CE145B" w:rsidRPr="004A47FE" w:rsidRDefault="00CE145B" w:rsidP="00CE145B">
      <w:pPr>
        <w:pStyle w:val="action0"/>
        <w:spacing w:after="200"/>
        <w:ind w:left="567" w:hanging="567"/>
      </w:pPr>
      <w:r w:rsidRPr="004A47FE">
        <w:t>17.</w:t>
      </w:r>
      <w:r w:rsidRPr="004A47FE">
        <w:tab/>
        <w:t>приветства непрекъснатите усилия и мерките, въведени от Парламента, за да се намали неговият отпечатък върху околната среда; потвърждава пълната си подкрепа за целите на схемата за управление на околната среда (EMAS) на Парламента за 2024 г.; очаква Парламентът да постигне всички цели на ключовите показатели за ефективност на EMAS до края на 2024 г. и да пристъпи към приемането на нови амбициозни цели за следващите години; отбелязва по-специално редица постижения в това отношение, включително намаляването с 44% на въглеродните емисии от 2006 г. насам, намаляването с 66% на използването на хартия в сравнение с 2014 г., високите равнища на ходене пеша или колоездене на персонала до и от работното място, значителното намаляване на използването на пластмаса и успешното разгръщане на инфраструктура за енергия от възобновяеми източници, при което през 2023 г. Парламентът е генерирал 458 </w:t>
      </w:r>
      <w:proofErr w:type="spellStart"/>
      <w:r w:rsidRPr="004A47FE">
        <w:t>MWh</w:t>
      </w:r>
      <w:proofErr w:type="spellEnd"/>
      <w:r w:rsidRPr="004A47FE">
        <w:t xml:space="preserve"> електричество от слънчева енергия;</w:t>
      </w:r>
    </w:p>
    <w:p w:rsidR="00CE145B" w:rsidRPr="004A47FE" w:rsidRDefault="00CE145B" w:rsidP="00CE145B">
      <w:pPr>
        <w:pStyle w:val="action0"/>
        <w:spacing w:after="200"/>
        <w:ind w:left="567" w:hanging="567"/>
      </w:pPr>
      <w:r w:rsidRPr="004A47FE">
        <w:t>18.</w:t>
      </w:r>
      <w:r w:rsidRPr="004A47FE">
        <w:tab/>
        <w:t xml:space="preserve">отбелязва увеличението на цените на въглеродните кредити; припомня, че подобни инвестиции в енергийна ефективност са добър метод за постигане на икономическа ефективност; приветства и насърчава инвестициите в енергия от възобновяеми източници и за постепенното извеждане от употреба на изкопаемите горива, по-специално като се има предвид енергийната криза и геополитическия контекст, и че това следва да бъде отразено в следващата </w:t>
      </w:r>
      <w:r w:rsidRPr="004A47FE">
        <w:lastRenderedPageBreak/>
        <w:t>многогодишна стратегия за сградния фонд; отбелязва, че Парламентът инсталира и продължава да инсталира фотоволтаични слънчеви панели, за да увеличи още повече дела на произведената на място енергия от възобновяеми източници с цел постигане на целта от 25%; припомня, че близо две трети от въглеродния отпечатък на Парламента се дължи на превоза на хора; приветства усилията на Парламента за намаляване на емисиите на CO</w:t>
      </w:r>
      <w:r w:rsidRPr="007628A3">
        <w:rPr>
          <w:vertAlign w:val="subscript"/>
        </w:rPr>
        <w:t>2</w:t>
      </w:r>
      <w:r w:rsidRPr="004A47FE">
        <w:t xml:space="preserve"> чрез чартърни влакове и призовава за увеличаване на наличните възможности за прехвърляне на пътуванията между трите места на работа към железопътния транспорт;</w:t>
      </w:r>
    </w:p>
    <w:p w:rsidR="00CE145B" w:rsidRPr="004A47FE" w:rsidRDefault="00CE145B" w:rsidP="00CE145B">
      <w:pPr>
        <w:pStyle w:val="Action"/>
        <w:keepNext/>
        <w:spacing w:after="200"/>
        <w:outlineLvl w:val="0"/>
        <w:rPr>
          <w:b/>
          <w:i/>
          <w:szCs w:val="24"/>
        </w:rPr>
      </w:pPr>
      <w:r w:rsidRPr="004A47FE">
        <w:rPr>
          <w:b/>
          <w:i/>
        </w:rPr>
        <w:t>Други въпроси</w:t>
      </w:r>
    </w:p>
    <w:p w:rsidR="00CE145B" w:rsidRPr="004A47FE" w:rsidRDefault="00CE145B" w:rsidP="00792863">
      <w:pPr>
        <w:pStyle w:val="action0"/>
        <w:spacing w:after="200"/>
        <w:ind w:left="567" w:hanging="567"/>
      </w:pPr>
      <w:r w:rsidRPr="004A47FE">
        <w:t>19.</w:t>
      </w:r>
      <w:r w:rsidRPr="004A47FE">
        <w:tab/>
        <w:t xml:space="preserve">припомня продължаващата борба на </w:t>
      </w:r>
      <w:r w:rsidR="00792863">
        <w:t>Съюза</w:t>
      </w:r>
      <w:r w:rsidRPr="004A47FE">
        <w:t xml:space="preserve"> за защита на европейските ценности и отстояване на ненакърнимостта на нашите демократични процеси; приветства действията, предприети от Парламента за преследване на тези цели, както и за борба срещу дезинформацията и манипулирането на информация; призовава Генералната дирекция за комуникация и бюрата за връзка на </w:t>
      </w:r>
      <w:r w:rsidR="00792863">
        <w:t>Европейския парламент</w:t>
      </w:r>
      <w:r w:rsidRPr="004A47FE">
        <w:t xml:space="preserve"> да продължат да разработват и прилагат ефективни стратегии за борба с дезинформацията и манипулирането на информация; подчертава, че един от най-мощните инструменти за борба с дезинформацията е положителната, основана на факти комуникация относно дейностите на Парламента;</w:t>
      </w:r>
    </w:p>
    <w:p w:rsidR="00CE145B" w:rsidRPr="004A47FE" w:rsidRDefault="00CE145B" w:rsidP="00CE145B">
      <w:pPr>
        <w:pStyle w:val="action0"/>
        <w:spacing w:after="200"/>
        <w:ind w:left="567" w:hanging="567"/>
        <w:rPr>
          <w:rFonts w:eastAsia="Times New Roman"/>
        </w:rPr>
      </w:pPr>
      <w:r w:rsidRPr="004A47FE">
        <w:t>20.</w:t>
      </w:r>
      <w:r w:rsidRPr="004A47FE">
        <w:tab/>
        <w:t>припомня, че Европейският парламент силно подкрепя многоезичието и насърчава правата на националните, регионалните и езиковите малцинства; счита, че Парламентът може активно да допринася за борбата с дезинформацията, като задълбочи комуникацията си и на езиците на езиковите малцинства и общности, когато е целесъобразно; отправя искане към Бюрото да разшири обхвата на комуникационните материали, изготвяни и разпространявани от Парламента, които са съобразени с потребностите на националните, регионалните и езиковите малцинства в държавите членки, например в бюрата за връзка на ЕП и центровете „</w:t>
      </w:r>
      <w:proofErr w:type="spellStart"/>
      <w:r w:rsidRPr="004A47FE">
        <w:t>Europa</w:t>
      </w:r>
      <w:proofErr w:type="spellEnd"/>
      <w:r w:rsidRPr="004A47FE">
        <w:t xml:space="preserve"> </w:t>
      </w:r>
      <w:proofErr w:type="spellStart"/>
      <w:r w:rsidRPr="004A47FE">
        <w:t>Experience</w:t>
      </w:r>
      <w:proofErr w:type="spellEnd"/>
      <w:r w:rsidRPr="004A47FE">
        <w:t>“, като начин за противодействие на всеки опит да се разчита на езиковите различия, за да се възпрепятства сближаването; припомня в този смисъл усилията, полагани от бюрата за връзка на ЕП в балтийските държави за предоставяне на информация на гражданите на украински и руски от началото на руската агресивна война в Украйна, със специален акцент върху борбата с руската дезинформация и пропаганда, и призовава подкрепата и насърчаването на такива дейности на украински и руски да продължи; подчертава значението на активното участие на бюрата за връзка на Европейския парламент в изпълнението на работата на Парламента в областта на гражданското образование чрез множество програми, включващи местни общности, училища и университети;</w:t>
      </w:r>
    </w:p>
    <w:p w:rsidR="00CE145B" w:rsidRPr="004A47FE" w:rsidRDefault="00CE145B" w:rsidP="00CE145B">
      <w:pPr>
        <w:pStyle w:val="action0"/>
        <w:spacing w:after="200"/>
        <w:ind w:left="567" w:hanging="567"/>
      </w:pPr>
      <w:r w:rsidRPr="004A47FE">
        <w:t>21.</w:t>
      </w:r>
      <w:r w:rsidRPr="004A47FE">
        <w:tab/>
        <w:t xml:space="preserve">подчертава потенциала на изкуствения интелект (ИИ) в оказването на подкрепа на членовете на ЕП при упражняването на техния мандат и за различни дейности на администрацията на Парламента; приветства факта, че проекти в областта на ИИ вече очакват да бъдат реализирани през 2025 г.; </w:t>
      </w:r>
    </w:p>
    <w:p w:rsidR="00CE145B" w:rsidRPr="004A47FE" w:rsidRDefault="00CE145B" w:rsidP="00CE145B">
      <w:pPr>
        <w:pStyle w:val="action0"/>
        <w:spacing w:after="200"/>
        <w:ind w:left="567" w:hanging="567"/>
      </w:pPr>
      <w:r w:rsidRPr="004A47FE">
        <w:t>22.</w:t>
      </w:r>
      <w:r w:rsidRPr="004A47FE">
        <w:tab/>
        <w:t>подкрепя изявлението, направено от генералния секретар пред комисията по бюджети, за намаляване на административната тежест и бюрокрацията за членовете на ЕП и техните кабинети, като същевременно се ускорява цифровизацията на процесите в рамките на администрацията; подчертава, че инвестициите в цифровизация генерират възвръщаемост в средносрочен план и не следва да се забавят заради краткосрочни икономии на разходи;</w:t>
      </w:r>
    </w:p>
    <w:p w:rsidR="00CE145B" w:rsidRPr="004A47FE" w:rsidRDefault="00CE145B" w:rsidP="00CE145B">
      <w:pPr>
        <w:pStyle w:val="action0"/>
        <w:spacing w:after="200"/>
        <w:ind w:left="567" w:hanging="567"/>
      </w:pPr>
      <w:r w:rsidRPr="004A47FE">
        <w:lastRenderedPageBreak/>
        <w:t>23.</w:t>
      </w:r>
      <w:r w:rsidRPr="004A47FE">
        <w:tab/>
        <w:t xml:space="preserve">призовава Парламента да продължи да извършва редовни оценки на организацията на нуждите си от персонал, да оптимизира разпределението на персонала в Генералния секретариат на Парламента, и по-специално да преразпределя </w:t>
      </w:r>
      <w:r w:rsidRPr="004A47FE">
        <w:rPr>
          <w:rStyle w:val="doceo-font-family-base"/>
          <w:shd w:val="clear" w:color="auto" w:fill="FFFFFF"/>
        </w:rPr>
        <w:t>свободните</w:t>
      </w:r>
      <w:r w:rsidRPr="004A47FE">
        <w:t xml:space="preserve"> длъжности между съответните служби, за да се поддържа във възможно най-голяма степен постоянна численост на персонала; приканва генералния секретар да направи оценка на рисковете, свързани с назначаването на все повече договорно наети служители, включително на опасността от създаване на двустепенна структура на персонала в рамките на Парламента; настоява основните постоянни длъжности и задачи да се заемат и изпълняват от постоянен персонал;</w:t>
      </w:r>
    </w:p>
    <w:p w:rsidR="00CE145B" w:rsidRPr="004A47FE" w:rsidRDefault="00CE145B" w:rsidP="00CE145B">
      <w:pPr>
        <w:pStyle w:val="action0"/>
        <w:spacing w:after="200"/>
        <w:ind w:left="567" w:hanging="567"/>
      </w:pPr>
      <w:r w:rsidRPr="004A47FE">
        <w:t>24.</w:t>
      </w:r>
      <w:r w:rsidRPr="004A47FE">
        <w:tab/>
        <w:t>подчертава, че гарантирането на справедлив географски баланс е важна част от създаването на истинска европейска обществена служба; отбелязва, че през годините Парламентът е предприел редица мерки в това отношение; отбелязва, че в тази област все още има какво да се желае; отбелязва, че Бюрото е създало правната рамка за организирането на конкурси за лица от определени националности и е решило да организира първия от тези конкурси; подчертава, че конкурсите следва винаги да се основават на заслуги;</w:t>
      </w:r>
    </w:p>
    <w:p w:rsidR="00CE145B" w:rsidRPr="004A47FE" w:rsidRDefault="00CE145B" w:rsidP="00CE145B">
      <w:pPr>
        <w:pStyle w:val="action0"/>
        <w:spacing w:after="200"/>
        <w:ind w:left="567" w:hanging="567"/>
      </w:pPr>
      <w:r w:rsidRPr="004A47FE">
        <w:t>25.</w:t>
      </w:r>
      <w:r w:rsidRPr="004A47FE">
        <w:tab/>
      </w:r>
      <w:r w:rsidRPr="004A47FE">
        <w:rPr>
          <w:rStyle w:val="doceo-font-family-base"/>
          <w:shd w:val="clear" w:color="auto" w:fill="FFFFFF"/>
        </w:rPr>
        <w:t>отбелязва</w:t>
      </w:r>
      <w:r w:rsidRPr="004A47FE">
        <w:t xml:space="preserve"> вече действащата процедура за искания от потребител от страна на парламентарен орган за превод на международен </w:t>
      </w:r>
      <w:proofErr w:type="spellStart"/>
      <w:r w:rsidRPr="004A47FE">
        <w:t>жестомимичен</w:t>
      </w:r>
      <w:proofErr w:type="spellEnd"/>
      <w:r w:rsidRPr="004A47FE">
        <w:t xml:space="preserve"> език по време на заседание; изисква от генералния секретар да продължи да проучва други възможности, като например инструменти за преобразуване на реч в текст и машинен превод, при спазване на принципа за равен достъп за всички граждани;</w:t>
      </w:r>
    </w:p>
    <w:p w:rsidR="00CE145B" w:rsidRPr="004A47FE" w:rsidRDefault="00CE145B" w:rsidP="00CE145B">
      <w:pPr>
        <w:pStyle w:val="NormalHanging12a"/>
        <w:rPr>
          <w:szCs w:val="24"/>
        </w:rPr>
      </w:pPr>
      <w:r w:rsidRPr="004A47FE">
        <w:t>26.</w:t>
      </w:r>
      <w:r w:rsidRPr="004A47FE">
        <w:tab/>
        <w:t>отново отправя своето искане, прието на равнище пленарно заседание на няколко пъти, Бюрото да започне работа по преразглеждането на Правилника за дейността, за да се даде възможност на членовете на ЕП да упражняват правото си да гласуват дистанционно по време на ползване на отпуск по майчинство или бащинство, по време на продължително заболяване или в случаи на форсмажорни обстоятелства, като се използва опитът, придобит по време на пандемията във връзка с техническите аспекти на този метод на гласуване;</w:t>
      </w:r>
    </w:p>
    <w:p w:rsidR="00CE145B" w:rsidRPr="004A47FE" w:rsidRDefault="00CE145B" w:rsidP="00CE145B">
      <w:pPr>
        <w:pStyle w:val="NormalHanging12a"/>
        <w:rPr>
          <w:szCs w:val="24"/>
        </w:rPr>
      </w:pPr>
      <w:r w:rsidRPr="004A47FE">
        <w:t>27.</w:t>
      </w:r>
      <w:r w:rsidRPr="004A47FE">
        <w:tab/>
        <w:t>отново призовава Бюрото да гарантира, че всички ресторанти в рамките на Парламента спазват своите стандарти за качество, ефективност и финансова достъпност, и да въведе отново контрол на достъпа на входовете на ресторантите на самообслужване в пиковите часове; приветства прилагането на контрол на достъпа на входа на ресторанта на самообслужване „ВАЙС“ в Страсбург по време на месечните сесии;</w:t>
      </w:r>
    </w:p>
    <w:p w:rsidR="007628A3" w:rsidRDefault="00CE145B" w:rsidP="00CE145B">
      <w:pPr>
        <w:pStyle w:val="action0"/>
        <w:spacing w:after="200"/>
        <w:ind w:left="567" w:hanging="567"/>
        <w:rPr>
          <w:rStyle w:val="doceo-font-family-base"/>
          <w:shd w:val="clear" w:color="auto" w:fill="FFFFFF"/>
        </w:rPr>
      </w:pPr>
      <w:r w:rsidRPr="004A47FE">
        <w:rPr>
          <w:rStyle w:val="doceo-font-family-base"/>
          <w:shd w:val="clear" w:color="auto" w:fill="FFFFFF"/>
        </w:rPr>
        <w:t>28.</w:t>
      </w:r>
      <w:r w:rsidRPr="004A47FE">
        <w:rPr>
          <w:rStyle w:val="doceo-font-family-base"/>
          <w:shd w:val="clear" w:color="auto" w:fill="FFFFFF"/>
        </w:rPr>
        <w:tab/>
      </w:r>
      <w:r w:rsidR="007628A3" w:rsidRPr="007628A3">
        <w:rPr>
          <w:rStyle w:val="doceo-font-family-base"/>
          <w:shd w:val="clear" w:color="auto" w:fill="FFFFFF"/>
        </w:rPr>
        <w:t xml:space="preserve">призовава за истински ангажимент за прилагане на принципа на многоезичието; </w:t>
      </w:r>
    </w:p>
    <w:p w:rsidR="00CE145B" w:rsidRPr="004A47FE" w:rsidRDefault="007628A3" w:rsidP="00CE145B">
      <w:pPr>
        <w:pStyle w:val="action0"/>
        <w:spacing w:after="200"/>
        <w:ind w:left="567" w:hanging="567"/>
      </w:pPr>
      <w:r>
        <w:rPr>
          <w:rStyle w:val="doceo-font-family-base"/>
          <w:shd w:val="clear" w:color="auto" w:fill="FFFFFF"/>
        </w:rPr>
        <w:t>29.</w:t>
      </w:r>
      <w:r>
        <w:rPr>
          <w:rStyle w:val="doceo-font-family-base"/>
          <w:shd w:val="clear" w:color="auto" w:fill="FFFFFF"/>
        </w:rPr>
        <w:tab/>
      </w:r>
      <w:r w:rsidR="00CE145B" w:rsidRPr="004A47FE">
        <w:rPr>
          <w:rStyle w:val="doceo-font-family-base"/>
          <w:shd w:val="clear" w:color="auto" w:fill="FFFFFF"/>
        </w:rPr>
        <w:t xml:space="preserve">призовава отново </w:t>
      </w:r>
      <w:proofErr w:type="spellStart"/>
      <w:r w:rsidR="00CE145B" w:rsidRPr="004A47FE">
        <w:rPr>
          <w:rStyle w:val="doceo-font-family-base"/>
          <w:shd w:val="clear" w:color="auto" w:fill="FFFFFF"/>
        </w:rPr>
        <w:t>Председателския</w:t>
      </w:r>
      <w:proofErr w:type="spellEnd"/>
      <w:r w:rsidR="00CE145B" w:rsidRPr="004A47FE">
        <w:rPr>
          <w:rStyle w:val="doceo-font-family-base"/>
          <w:shd w:val="clear" w:color="auto" w:fill="FFFFFF"/>
        </w:rPr>
        <w:t xml:space="preserve"> съвет и Бюрото да преразгледат разпоредбите за прилагане, уреждащи дейността на делегациите и командировките извън Съюза; подчертава, че в рамките на подобно преразглеждане следва да се обмисли възможността при определени условия акредитираните парламентарни сътрудници да могат да придружават членовете на ЕП в рамките на официални парламентарни делегации и командировки;</w:t>
      </w:r>
      <w:r w:rsidR="00CE145B" w:rsidRPr="004A47FE">
        <w:t xml:space="preserve"> подчертава, че тази промяна няма да доведе до промяна на пакета и няма да има отражение върху бюджета;</w:t>
      </w:r>
    </w:p>
    <w:p w:rsidR="00CE145B" w:rsidRDefault="00461CE1" w:rsidP="00325F10">
      <w:pPr>
        <w:pStyle w:val="action0"/>
        <w:spacing w:after="200"/>
        <w:ind w:left="567" w:hanging="567"/>
        <w:rPr>
          <w:rFonts w:eastAsia="Times New Roman"/>
          <w:szCs w:val="20"/>
        </w:rPr>
      </w:pPr>
      <w:r>
        <w:rPr>
          <w:rFonts w:ascii="TimesNewRomanPSMT" w:hAnsi="TimesNewRomanPSMT"/>
        </w:rPr>
        <w:t>30</w:t>
      </w:r>
      <w:r w:rsidR="00CE145B" w:rsidRPr="004A47FE">
        <w:rPr>
          <w:rFonts w:ascii="TimesNewRomanPSMT" w:hAnsi="TimesNewRomanPSMT"/>
        </w:rPr>
        <w:t>.</w:t>
      </w:r>
      <w:r w:rsidR="00CE145B" w:rsidRPr="004A47FE">
        <w:rPr>
          <w:rFonts w:ascii="TimesNewRomanPSMT" w:hAnsi="TimesNewRomanPSMT"/>
        </w:rPr>
        <w:tab/>
      </w:r>
      <w:r w:rsidR="00CE145B" w:rsidRPr="004A47FE">
        <w:rPr>
          <w:rStyle w:val="doceo-font-family-base"/>
          <w:shd w:val="clear" w:color="auto" w:fill="FFFFFF"/>
        </w:rPr>
        <w:t>очаква</w:t>
      </w:r>
      <w:r w:rsidR="00CE145B" w:rsidRPr="004A47FE">
        <w:rPr>
          <w:rFonts w:ascii="TimesNewRomanPSMT" w:hAnsi="TimesNewRomanPSMT"/>
        </w:rPr>
        <w:t xml:space="preserve"> исканията, гласувани в пленарна зала, да бъдат изпълнявани</w:t>
      </w:r>
      <w:r w:rsidR="00CE145B" w:rsidRPr="004A47FE">
        <w:t xml:space="preserve"> с висок приоритет</w:t>
      </w:r>
      <w:r w:rsidR="00CE145B" w:rsidRPr="004A47FE">
        <w:rPr>
          <w:rFonts w:ascii="TimesNewRomanPSMT" w:hAnsi="TimesNewRomanPSMT"/>
        </w:rPr>
        <w:t>;</w:t>
      </w:r>
    </w:p>
    <w:p w:rsidR="00325F10" w:rsidRDefault="00325F10" w:rsidP="00325F10">
      <w:pPr>
        <w:pStyle w:val="action0"/>
        <w:ind w:left="0" w:firstLine="0"/>
        <w:jc w:val="center"/>
      </w:pPr>
      <w:r>
        <w:lastRenderedPageBreak/>
        <w:t>°</w:t>
      </w:r>
    </w:p>
    <w:p w:rsidR="00325F10" w:rsidRDefault="00325F10" w:rsidP="00325F10">
      <w:pPr>
        <w:pStyle w:val="action0"/>
        <w:ind w:left="0" w:firstLine="0"/>
        <w:jc w:val="center"/>
      </w:pPr>
      <w:r>
        <w:t>°     °</w:t>
      </w:r>
    </w:p>
    <w:p w:rsidR="00CE145B" w:rsidRPr="004A47FE" w:rsidRDefault="00CE145B" w:rsidP="00CE145B">
      <w:pPr>
        <w:pStyle w:val="action0"/>
        <w:spacing w:before="200" w:after="200"/>
        <w:ind w:left="567" w:hanging="567"/>
      </w:pPr>
      <w:r w:rsidRPr="004A47FE">
        <w:t>3</w:t>
      </w:r>
      <w:r w:rsidR="00461CE1">
        <w:t>1</w:t>
      </w:r>
      <w:r w:rsidRPr="004A47FE">
        <w:t>.</w:t>
      </w:r>
      <w:r w:rsidRPr="004A47FE">
        <w:tab/>
        <w:t>приема бюджетната прогноза за финансовата 2025 година;</w:t>
      </w:r>
    </w:p>
    <w:p w:rsidR="00CE145B" w:rsidRPr="004A47FE" w:rsidRDefault="00CE145B" w:rsidP="00792863">
      <w:pPr>
        <w:ind w:left="567" w:hanging="567"/>
      </w:pPr>
      <w:r w:rsidRPr="004A47FE">
        <w:t>3</w:t>
      </w:r>
      <w:r w:rsidR="00461CE1">
        <w:t>2</w:t>
      </w:r>
      <w:r w:rsidRPr="004A47FE">
        <w:t>.</w:t>
      </w:r>
      <w:r w:rsidRPr="004A47FE">
        <w:tab/>
        <w:t xml:space="preserve">възлага на своя председател да предаде настоящата резолюция и бюджетната прогноза съответно </w:t>
      </w:r>
      <w:r w:rsidR="004A47FE" w:rsidRPr="004A47FE">
        <w:t>на Съвета и на Комисията.</w:t>
      </w:r>
    </w:p>
    <w:p w:rsidR="00E365E1" w:rsidRPr="004A47FE" w:rsidRDefault="00E365E1" w:rsidP="00CE145B">
      <w:pPr>
        <w:rPr>
          <w:sz w:val="28"/>
          <w:lang w:eastAsia="fr-FR"/>
        </w:rPr>
      </w:pPr>
      <w:bookmarkStart w:id="9" w:name="TextBodyEnd"/>
      <w:bookmarkEnd w:id="9"/>
    </w:p>
    <w:sectPr w:rsidR="00E365E1" w:rsidRPr="004A47FE" w:rsidSect="004A47F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FED" w:rsidRPr="004A47FE" w:rsidRDefault="00262FED">
      <w:r w:rsidRPr="004A47FE">
        <w:separator/>
      </w:r>
    </w:p>
  </w:endnote>
  <w:endnote w:type="continuationSeparator" w:id="0">
    <w:p w:rsidR="00262FED" w:rsidRPr="004A47FE" w:rsidRDefault="00262FED">
      <w:r w:rsidRPr="004A47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47F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47F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47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FED" w:rsidRPr="004A47FE" w:rsidRDefault="00262FED">
      <w:r w:rsidRPr="004A47FE">
        <w:separator/>
      </w:r>
    </w:p>
  </w:footnote>
  <w:footnote w:type="continuationSeparator" w:id="0">
    <w:p w:rsidR="00262FED" w:rsidRPr="004A47FE" w:rsidRDefault="00262FED">
      <w:r w:rsidRPr="004A47FE">
        <w:continuationSeparator/>
      </w:r>
    </w:p>
  </w:footnote>
  <w:footnote w:id="1">
    <w:p w:rsidR="00CE145B" w:rsidRPr="004A47FE" w:rsidRDefault="00CE145B" w:rsidP="004A47FE">
      <w:pPr>
        <w:pStyle w:val="FootnoteText"/>
        <w:ind w:left="567" w:hanging="567"/>
        <w:rPr>
          <w:sz w:val="24"/>
          <w:lang w:val="bg-BG"/>
        </w:rPr>
      </w:pPr>
      <w:r w:rsidRPr="004A47FE">
        <w:rPr>
          <w:rStyle w:val="FootnoteReference"/>
          <w:sz w:val="24"/>
          <w:lang w:val="bg-BG"/>
        </w:rPr>
        <w:footnoteRef/>
      </w:r>
      <w:r w:rsidR="004A47FE" w:rsidRPr="004A47FE">
        <w:rPr>
          <w:sz w:val="24"/>
          <w:lang w:val="bg-BG"/>
        </w:rPr>
        <w:t xml:space="preserve"> </w:t>
      </w:r>
      <w:r w:rsidR="004A47FE" w:rsidRPr="004A47FE">
        <w:rPr>
          <w:sz w:val="24"/>
          <w:lang w:val="bg-BG"/>
        </w:rPr>
        <w:tab/>
      </w:r>
      <w:r w:rsidRPr="004A47FE">
        <w:rPr>
          <w:sz w:val="24"/>
          <w:lang w:val="bg-BG"/>
        </w:rPr>
        <w:t>OВ L 193, 30.7.2018 г., стр. 1.</w:t>
      </w:r>
    </w:p>
  </w:footnote>
  <w:footnote w:id="2">
    <w:p w:rsidR="00CE145B" w:rsidRPr="004A47FE" w:rsidRDefault="00CE145B" w:rsidP="004A47FE">
      <w:pPr>
        <w:pStyle w:val="FootnoteText"/>
        <w:ind w:left="567" w:hanging="567"/>
        <w:rPr>
          <w:sz w:val="24"/>
          <w:lang w:val="bg-BG"/>
        </w:rPr>
      </w:pPr>
      <w:r w:rsidRPr="004A47FE">
        <w:rPr>
          <w:rStyle w:val="FootnoteReference"/>
          <w:sz w:val="24"/>
          <w:lang w:val="bg-BG"/>
        </w:rPr>
        <w:footnoteRef/>
      </w:r>
      <w:r w:rsidR="004A47FE" w:rsidRPr="004A47FE">
        <w:rPr>
          <w:sz w:val="24"/>
          <w:lang w:val="bg-BG"/>
        </w:rPr>
        <w:t xml:space="preserve"> </w:t>
      </w:r>
      <w:r w:rsidR="004A47FE" w:rsidRPr="004A47FE">
        <w:rPr>
          <w:sz w:val="24"/>
          <w:lang w:val="bg-BG"/>
        </w:rPr>
        <w:tab/>
      </w:r>
      <w:r w:rsidRPr="004A47FE">
        <w:rPr>
          <w:sz w:val="24"/>
          <w:lang w:val="bg-BG"/>
        </w:rPr>
        <w:t>OВ L 433 I, 22.12.2020 г., стр. 11.</w:t>
      </w:r>
    </w:p>
  </w:footnote>
  <w:footnote w:id="3">
    <w:p w:rsidR="00CE145B" w:rsidRPr="004A47FE" w:rsidRDefault="00CE145B" w:rsidP="004A47FE">
      <w:pPr>
        <w:pStyle w:val="FootnoteText"/>
        <w:ind w:left="567" w:hanging="567"/>
        <w:rPr>
          <w:sz w:val="24"/>
          <w:lang w:val="bg-BG"/>
        </w:rPr>
      </w:pPr>
      <w:r w:rsidRPr="004A47FE">
        <w:rPr>
          <w:rStyle w:val="FootnoteReference"/>
          <w:sz w:val="24"/>
          <w:lang w:val="bg-BG"/>
        </w:rPr>
        <w:footnoteRef/>
      </w:r>
      <w:r w:rsidR="004A47FE" w:rsidRPr="004A47FE">
        <w:rPr>
          <w:sz w:val="24"/>
          <w:lang w:val="bg-BG"/>
        </w:rPr>
        <w:t xml:space="preserve"> </w:t>
      </w:r>
      <w:r w:rsidR="004A47FE" w:rsidRPr="004A47FE">
        <w:rPr>
          <w:sz w:val="24"/>
          <w:lang w:val="bg-BG"/>
        </w:rPr>
        <w:tab/>
      </w:r>
      <w:r w:rsidRPr="004A47FE">
        <w:rPr>
          <w:sz w:val="24"/>
          <w:lang w:val="bg-BG"/>
        </w:rPr>
        <w:t>ОВ C 444 I, 22.12.2020 г., стр. 4.</w:t>
      </w:r>
    </w:p>
  </w:footnote>
  <w:footnote w:id="4">
    <w:p w:rsidR="00CE145B" w:rsidRPr="004A47FE" w:rsidRDefault="00CE145B" w:rsidP="004A47FE">
      <w:pPr>
        <w:pStyle w:val="FootnoteText"/>
        <w:ind w:left="567" w:hanging="567"/>
        <w:rPr>
          <w:sz w:val="24"/>
          <w:lang w:val="bg-BG"/>
        </w:rPr>
      </w:pPr>
      <w:r w:rsidRPr="004A47FE">
        <w:rPr>
          <w:rStyle w:val="FootnoteReference"/>
          <w:sz w:val="24"/>
          <w:lang w:val="bg-BG"/>
        </w:rPr>
        <w:footnoteRef/>
      </w:r>
      <w:r w:rsidR="004A47FE" w:rsidRPr="004A47FE">
        <w:rPr>
          <w:sz w:val="24"/>
          <w:lang w:val="bg-BG"/>
        </w:rPr>
        <w:t xml:space="preserve"> </w:t>
      </w:r>
      <w:r w:rsidR="004A47FE" w:rsidRPr="004A47FE">
        <w:rPr>
          <w:sz w:val="24"/>
          <w:lang w:val="bg-BG"/>
        </w:rPr>
        <w:tab/>
      </w:r>
      <w:r w:rsidRPr="004A47FE">
        <w:rPr>
          <w:sz w:val="24"/>
          <w:lang w:val="bg-BG"/>
        </w:rPr>
        <w:t>Приети текстове, P9_TA(2020)0357.</w:t>
      </w:r>
    </w:p>
  </w:footnote>
  <w:footnote w:id="5">
    <w:p w:rsidR="00CE145B" w:rsidRPr="004A47FE" w:rsidRDefault="00CE145B" w:rsidP="004A47FE">
      <w:pPr>
        <w:pStyle w:val="FootnoteText"/>
        <w:ind w:left="567" w:hanging="567"/>
        <w:rPr>
          <w:sz w:val="24"/>
          <w:lang w:val="bg-BG"/>
        </w:rPr>
      </w:pPr>
      <w:r w:rsidRPr="004A47FE">
        <w:rPr>
          <w:rStyle w:val="FootnoteReference"/>
          <w:sz w:val="24"/>
          <w:lang w:val="bg-BG"/>
        </w:rPr>
        <w:footnoteRef/>
      </w:r>
      <w:r w:rsidR="004A47FE" w:rsidRPr="004A47FE">
        <w:rPr>
          <w:sz w:val="24"/>
          <w:lang w:val="bg-BG"/>
        </w:rPr>
        <w:t xml:space="preserve"> </w:t>
      </w:r>
      <w:r w:rsidR="004A47FE" w:rsidRPr="004A47FE">
        <w:rPr>
          <w:sz w:val="24"/>
          <w:lang w:val="bg-BG"/>
        </w:rPr>
        <w:tab/>
      </w:r>
      <w:r w:rsidRPr="004A47FE">
        <w:rPr>
          <w:sz w:val="24"/>
          <w:lang w:val="bg-BG"/>
        </w:rPr>
        <w:t>OВ L 433 I, 22.12.2020 г., стр. 28.</w:t>
      </w:r>
    </w:p>
  </w:footnote>
  <w:footnote w:id="6">
    <w:p w:rsidR="00CE145B" w:rsidRPr="004A47FE" w:rsidRDefault="00CE145B" w:rsidP="004A47FE">
      <w:pPr>
        <w:pStyle w:val="FootnoteText"/>
        <w:ind w:left="567" w:hanging="567"/>
        <w:rPr>
          <w:sz w:val="24"/>
          <w:lang w:val="bg-BG"/>
        </w:rPr>
      </w:pPr>
      <w:r w:rsidRPr="004A47FE">
        <w:rPr>
          <w:rStyle w:val="FootnoteReference"/>
          <w:sz w:val="24"/>
          <w:lang w:val="bg-BG"/>
        </w:rPr>
        <w:footnoteRef/>
      </w:r>
      <w:r w:rsidR="004A47FE" w:rsidRPr="004A47FE">
        <w:rPr>
          <w:sz w:val="24"/>
          <w:lang w:val="bg-BG"/>
        </w:rPr>
        <w:t xml:space="preserve"> </w:t>
      </w:r>
      <w:r w:rsidR="004A47FE" w:rsidRPr="004A47FE">
        <w:rPr>
          <w:sz w:val="24"/>
          <w:lang w:val="bg-BG"/>
        </w:rPr>
        <w:tab/>
      </w:r>
      <w:r w:rsidRPr="004A47FE">
        <w:rPr>
          <w:sz w:val="24"/>
          <w:lang w:val="bg-BG"/>
        </w:rPr>
        <w:t>Приети текстове, P9_TA(2023)0335.</w:t>
      </w:r>
    </w:p>
  </w:footnote>
  <w:footnote w:id="7">
    <w:p w:rsidR="00CE145B" w:rsidRPr="004A47FE" w:rsidRDefault="00CE145B" w:rsidP="004A47FE">
      <w:pPr>
        <w:pStyle w:val="Action"/>
        <w:tabs>
          <w:tab w:val="clear" w:pos="357"/>
        </w:tabs>
        <w:spacing w:after="0"/>
        <w:ind w:left="567" w:hanging="567"/>
        <w:outlineLvl w:val="0"/>
      </w:pPr>
      <w:r w:rsidRPr="004A47FE">
        <w:rPr>
          <w:rStyle w:val="FootnoteReference"/>
        </w:rPr>
        <w:footnoteRef/>
      </w:r>
      <w:r w:rsidR="004A47FE" w:rsidRPr="004A47FE">
        <w:t xml:space="preserve"> </w:t>
      </w:r>
      <w:r w:rsidR="004A47FE" w:rsidRPr="004A47FE">
        <w:tab/>
      </w:r>
      <w:r w:rsidRPr="004A47FE">
        <w:t>ОВ C 177, 17.5.2023 г., стр. 115.</w:t>
      </w:r>
    </w:p>
  </w:footnote>
  <w:footnote w:id="8">
    <w:p w:rsidR="00CE145B" w:rsidRPr="007628A3" w:rsidRDefault="00CE145B" w:rsidP="004A47FE">
      <w:pPr>
        <w:pStyle w:val="FootnoteText"/>
        <w:ind w:left="567" w:hanging="567"/>
        <w:rPr>
          <w:i/>
          <w:sz w:val="24"/>
          <w:lang w:val="bg-BG"/>
        </w:rPr>
      </w:pPr>
      <w:r w:rsidRPr="004A47FE">
        <w:rPr>
          <w:rStyle w:val="FootnoteReference"/>
          <w:sz w:val="24"/>
          <w:lang w:val="bg-BG"/>
        </w:rPr>
        <w:footnoteRef/>
      </w:r>
      <w:r w:rsidR="004A47FE" w:rsidRPr="004A47FE">
        <w:rPr>
          <w:rStyle w:val="Emphasis"/>
          <w:color w:val="333333"/>
          <w:sz w:val="24"/>
          <w:shd w:val="clear" w:color="auto" w:fill="FFFFFF"/>
          <w:lang w:val="bg-BG"/>
        </w:rPr>
        <w:t xml:space="preserve"> </w:t>
      </w:r>
      <w:r w:rsidR="004A47FE" w:rsidRPr="004A47FE">
        <w:rPr>
          <w:rStyle w:val="Emphasis"/>
          <w:color w:val="333333"/>
          <w:sz w:val="24"/>
          <w:shd w:val="clear" w:color="auto" w:fill="FFFFFF"/>
          <w:lang w:val="bg-BG"/>
        </w:rPr>
        <w:tab/>
      </w:r>
      <w:r w:rsidRPr="007628A3">
        <w:rPr>
          <w:rStyle w:val="Emphasis"/>
          <w:i w:val="0"/>
          <w:iCs w:val="0"/>
          <w:color w:val="333333"/>
          <w:sz w:val="24"/>
          <w:shd w:val="clear" w:color="auto" w:fill="FFFFFF"/>
          <w:lang w:val="bg-BG"/>
        </w:rPr>
        <w:t xml:space="preserve">ОВ L, 2024/765, 29.2.2024 г., ELI: </w:t>
      </w:r>
      <w:hyperlink r:id="rId1" w:history="1">
        <w:r w:rsidR="00461CE1" w:rsidRPr="00E107DD">
          <w:rPr>
            <w:rStyle w:val="Hyperlink"/>
            <w:sz w:val="24"/>
            <w:szCs w:val="21"/>
            <w:shd w:val="clear" w:color="auto" w:fill="FFFFFF"/>
            <w:lang w:val="fi-FI"/>
          </w:rPr>
          <w:t>http://data.europa.eu/eli/reg/2024/765/oj</w:t>
        </w:r>
      </w:hyperlink>
      <w:r w:rsidRPr="007628A3">
        <w:rPr>
          <w:rStyle w:val="Emphasis"/>
          <w:i w:val="0"/>
          <w:iCs w:val="0"/>
          <w:color w:val="333333"/>
          <w:sz w:val="24"/>
          <w:shd w:val="clear" w:color="auto" w:fill="FFFFFF"/>
          <w:lang w:val="bg-BG"/>
        </w:rPr>
        <w:t>.</w:t>
      </w:r>
    </w:p>
  </w:footnote>
  <w:footnote w:id="9">
    <w:p w:rsidR="00CE145B" w:rsidRPr="004A47FE" w:rsidRDefault="00CE145B" w:rsidP="004A47FE">
      <w:pPr>
        <w:pStyle w:val="FootnoteText"/>
        <w:ind w:left="567" w:hanging="567"/>
        <w:rPr>
          <w:sz w:val="24"/>
          <w:lang w:val="bg-BG"/>
        </w:rPr>
      </w:pPr>
      <w:r w:rsidRPr="004A47FE">
        <w:rPr>
          <w:rStyle w:val="FootnoteReference"/>
          <w:sz w:val="24"/>
          <w:lang w:val="bg-BG"/>
        </w:rPr>
        <w:footnoteRef/>
      </w:r>
      <w:r w:rsidR="004A47FE" w:rsidRPr="004A47FE">
        <w:rPr>
          <w:sz w:val="24"/>
          <w:lang w:val="bg-BG"/>
        </w:rPr>
        <w:t xml:space="preserve"> </w:t>
      </w:r>
      <w:r w:rsidR="004A47FE" w:rsidRPr="004A47FE">
        <w:rPr>
          <w:sz w:val="24"/>
          <w:lang w:val="bg-BG"/>
        </w:rPr>
        <w:tab/>
      </w:r>
      <w:r w:rsidRPr="004A47FE">
        <w:rPr>
          <w:sz w:val="24"/>
          <w:lang w:val="bg-BG"/>
        </w:rPr>
        <w:t>COM(2022)0223.</w:t>
      </w:r>
    </w:p>
  </w:footnote>
  <w:footnote w:id="10">
    <w:p w:rsidR="00CE145B" w:rsidRPr="004A47FE" w:rsidRDefault="00CE145B" w:rsidP="004A47FE">
      <w:pPr>
        <w:pStyle w:val="FootnoteText"/>
        <w:ind w:left="567" w:hanging="567"/>
        <w:rPr>
          <w:sz w:val="24"/>
          <w:lang w:val="bg-BG"/>
        </w:rPr>
      </w:pPr>
      <w:r w:rsidRPr="004A47FE">
        <w:rPr>
          <w:rStyle w:val="FootnoteReference"/>
          <w:sz w:val="24"/>
          <w:lang w:val="bg-BG"/>
        </w:rPr>
        <w:footnoteRef/>
      </w:r>
      <w:r w:rsidR="004A47FE" w:rsidRPr="004A47FE">
        <w:rPr>
          <w:sz w:val="24"/>
          <w:lang w:val="bg-BG"/>
        </w:rPr>
        <w:t xml:space="preserve"> </w:t>
      </w:r>
      <w:r w:rsidR="004A47FE" w:rsidRPr="004A47FE">
        <w:rPr>
          <w:sz w:val="24"/>
          <w:lang w:val="bg-BG"/>
        </w:rPr>
        <w:tab/>
      </w:r>
      <w:r w:rsidRPr="004A47FE">
        <w:rPr>
          <w:sz w:val="24"/>
          <w:lang w:val="bg-BG"/>
        </w:rPr>
        <w:t>ОВ L 287, 29.10.2013 г., стр. 15.</w:t>
      </w:r>
    </w:p>
  </w:footnote>
  <w:footnote w:id="11">
    <w:p w:rsidR="00CE145B" w:rsidRPr="004A47FE" w:rsidRDefault="00CE145B" w:rsidP="004A47FE">
      <w:pPr>
        <w:pStyle w:val="FootnoteText"/>
        <w:ind w:left="567" w:hanging="567"/>
        <w:rPr>
          <w:sz w:val="24"/>
          <w:lang w:val="bg-BG"/>
        </w:rPr>
      </w:pPr>
      <w:r w:rsidRPr="004A47FE">
        <w:rPr>
          <w:rStyle w:val="FootnoteReference"/>
          <w:sz w:val="24"/>
          <w:lang w:val="bg-BG"/>
        </w:rPr>
        <w:footnoteRef/>
      </w:r>
      <w:r w:rsidR="004A47FE" w:rsidRPr="004A47FE">
        <w:rPr>
          <w:sz w:val="24"/>
          <w:lang w:val="bg-BG"/>
        </w:rPr>
        <w:t xml:space="preserve"> </w:t>
      </w:r>
      <w:r w:rsidR="004A47FE" w:rsidRPr="004A47FE">
        <w:rPr>
          <w:sz w:val="24"/>
          <w:lang w:val="bg-BG"/>
        </w:rPr>
        <w:tab/>
      </w:r>
      <w:r w:rsidRPr="004A47FE">
        <w:rPr>
          <w:sz w:val="24"/>
          <w:lang w:val="bg-BG"/>
        </w:rPr>
        <w:t>Приети текстове, P9_TA(2023)0119.</w:t>
      </w:r>
    </w:p>
  </w:footnote>
  <w:footnote w:id="12">
    <w:p w:rsidR="00CE145B" w:rsidRPr="004A47FE" w:rsidRDefault="00CE145B" w:rsidP="004A47FE">
      <w:pPr>
        <w:pStyle w:val="FootnoteText"/>
        <w:ind w:left="567" w:hanging="567"/>
        <w:rPr>
          <w:sz w:val="24"/>
          <w:lang w:val="bg-BG"/>
        </w:rPr>
      </w:pPr>
      <w:r w:rsidRPr="004A47FE">
        <w:rPr>
          <w:rStyle w:val="FootnoteReference"/>
          <w:sz w:val="24"/>
          <w:lang w:val="bg-BG"/>
        </w:rPr>
        <w:footnoteRef/>
      </w:r>
      <w:r w:rsidR="004A47FE" w:rsidRPr="004A47FE">
        <w:rPr>
          <w:sz w:val="24"/>
          <w:lang w:val="bg-BG"/>
        </w:rPr>
        <w:t xml:space="preserve"> </w:t>
      </w:r>
      <w:r w:rsidR="004A47FE" w:rsidRPr="004A47FE">
        <w:rPr>
          <w:sz w:val="24"/>
          <w:lang w:val="bg-BG"/>
        </w:rPr>
        <w:tab/>
      </w:r>
      <w:r w:rsidRPr="004A47FE">
        <w:rPr>
          <w:sz w:val="24"/>
          <w:lang w:val="bg-BG"/>
        </w:rPr>
        <w:t>Приети текстове, P9_TA(2023)0367.</w:t>
      </w:r>
    </w:p>
  </w:footnote>
  <w:footnote w:id="13">
    <w:p w:rsidR="00CE145B" w:rsidRPr="004A47FE" w:rsidRDefault="00CE145B" w:rsidP="004A47FE">
      <w:pPr>
        <w:pStyle w:val="FootnoteText"/>
        <w:ind w:left="567" w:hanging="567"/>
        <w:rPr>
          <w:sz w:val="24"/>
          <w:lang w:val="bg-BG"/>
        </w:rPr>
      </w:pPr>
      <w:r w:rsidRPr="004A47FE">
        <w:rPr>
          <w:rStyle w:val="FootnoteReference"/>
          <w:sz w:val="24"/>
          <w:lang w:val="bg-BG"/>
        </w:rPr>
        <w:footnoteRef/>
      </w:r>
      <w:r w:rsidR="004A47FE" w:rsidRPr="004A47FE">
        <w:rPr>
          <w:sz w:val="24"/>
          <w:lang w:val="bg-BG"/>
        </w:rPr>
        <w:t xml:space="preserve"> </w:t>
      </w:r>
      <w:r w:rsidR="004A47FE" w:rsidRPr="004A47FE">
        <w:rPr>
          <w:sz w:val="24"/>
          <w:lang w:val="bg-BG"/>
        </w:rPr>
        <w:tab/>
      </w:r>
      <w:r w:rsidRPr="004A47FE">
        <w:rPr>
          <w:sz w:val="24"/>
          <w:lang w:val="bg-BG"/>
        </w:rPr>
        <w:t>OВ L 207, 22.2.2024 г.</w:t>
      </w:r>
    </w:p>
  </w:footnote>
  <w:footnote w:id="14">
    <w:p w:rsidR="00CE145B" w:rsidRPr="004A47FE" w:rsidRDefault="00CE145B" w:rsidP="004A47FE">
      <w:pPr>
        <w:pStyle w:val="FootnoteText"/>
        <w:ind w:left="567" w:hanging="567"/>
        <w:rPr>
          <w:sz w:val="24"/>
          <w:lang w:val="bg-BG"/>
        </w:rPr>
      </w:pPr>
      <w:r w:rsidRPr="004A47FE">
        <w:rPr>
          <w:rStyle w:val="FootnoteReference"/>
          <w:sz w:val="24"/>
          <w:lang w:val="bg-BG"/>
        </w:rPr>
        <w:footnoteRef/>
      </w:r>
      <w:r w:rsidR="004A47FE" w:rsidRPr="004A47FE">
        <w:rPr>
          <w:sz w:val="24"/>
          <w:lang w:val="bg-BG"/>
        </w:rPr>
        <w:t xml:space="preserve"> </w:t>
      </w:r>
      <w:r w:rsidR="004A47FE" w:rsidRPr="004A47FE">
        <w:rPr>
          <w:sz w:val="24"/>
          <w:lang w:val="bg-BG"/>
        </w:rPr>
        <w:tab/>
      </w:r>
      <w:r w:rsidRPr="004A47FE">
        <w:rPr>
          <w:sz w:val="24"/>
          <w:lang w:val="bg-BG"/>
        </w:rPr>
        <w:t>Приети текстове, P9_TA(2022)0366.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47F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47F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47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4"/>
    <w:docVar w:name="dvlangue" w:val="BG"/>
    <w:docVar w:name="dvnumam" w:val="0"/>
    <w:docVar w:name="dvpe" w:val="759.633"/>
    <w:docVar w:name="dvrapporteur" w:val="Докладчик: "/>
    <w:docVar w:name="dvtitre" w:val="Резолюция на Европейския парламент от ... 2024 г. относно бюджетната прогноза за приходите и разходите на Парламента за финансовата 2025 година(2023/2221(BUI))"/>
  </w:docVars>
  <w:rsids>
    <w:rsidRoot w:val="00262FED"/>
    <w:rsid w:val="00002272"/>
    <w:rsid w:val="00064002"/>
    <w:rsid w:val="000677B9"/>
    <w:rsid w:val="000831BA"/>
    <w:rsid w:val="000A42CC"/>
    <w:rsid w:val="000E7DD9"/>
    <w:rsid w:val="0010095E"/>
    <w:rsid w:val="00125B37"/>
    <w:rsid w:val="00187494"/>
    <w:rsid w:val="001F32AE"/>
    <w:rsid w:val="00262FED"/>
    <w:rsid w:val="002767FF"/>
    <w:rsid w:val="002B18FE"/>
    <w:rsid w:val="002B5493"/>
    <w:rsid w:val="00325F10"/>
    <w:rsid w:val="00343214"/>
    <w:rsid w:val="00361C00"/>
    <w:rsid w:val="00374EB1"/>
    <w:rsid w:val="00395FA1"/>
    <w:rsid w:val="003E15D4"/>
    <w:rsid w:val="00411CCE"/>
    <w:rsid w:val="0041666E"/>
    <w:rsid w:val="00421060"/>
    <w:rsid w:val="00461CE1"/>
    <w:rsid w:val="00471C19"/>
    <w:rsid w:val="004867E3"/>
    <w:rsid w:val="00494A28"/>
    <w:rsid w:val="004A47FE"/>
    <w:rsid w:val="004C0004"/>
    <w:rsid w:val="004C5D52"/>
    <w:rsid w:val="0050519A"/>
    <w:rsid w:val="005072A1"/>
    <w:rsid w:val="00514517"/>
    <w:rsid w:val="00545827"/>
    <w:rsid w:val="00560270"/>
    <w:rsid w:val="005C2568"/>
    <w:rsid w:val="006037C0"/>
    <w:rsid w:val="006631B6"/>
    <w:rsid w:val="0067221A"/>
    <w:rsid w:val="00680577"/>
    <w:rsid w:val="006F74FA"/>
    <w:rsid w:val="00731ADD"/>
    <w:rsid w:val="00734777"/>
    <w:rsid w:val="00747932"/>
    <w:rsid w:val="00751A4A"/>
    <w:rsid w:val="00756632"/>
    <w:rsid w:val="007628A3"/>
    <w:rsid w:val="00762C74"/>
    <w:rsid w:val="00786EC0"/>
    <w:rsid w:val="0079286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1167"/>
    <w:rsid w:val="00A43E52"/>
    <w:rsid w:val="00A4678D"/>
    <w:rsid w:val="00A778C7"/>
    <w:rsid w:val="00AB441E"/>
    <w:rsid w:val="00AB6293"/>
    <w:rsid w:val="00AE0928"/>
    <w:rsid w:val="00AF3B82"/>
    <w:rsid w:val="00B12E95"/>
    <w:rsid w:val="00B22876"/>
    <w:rsid w:val="00B558F0"/>
    <w:rsid w:val="00B976A5"/>
    <w:rsid w:val="00BD48FE"/>
    <w:rsid w:val="00BD7BD8"/>
    <w:rsid w:val="00BE6ADC"/>
    <w:rsid w:val="00C05BFE"/>
    <w:rsid w:val="00C23CD4"/>
    <w:rsid w:val="00C61C0C"/>
    <w:rsid w:val="00C941CB"/>
    <w:rsid w:val="00CC2357"/>
    <w:rsid w:val="00CE145B"/>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E128A2"/>
  <w15:chartTrackingRefBased/>
  <w15:docId w15:val="{F6D2CBF9-1467-4D57-B833-442EB6E7B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BVI fnr,C26 Footnote Number,Footnote,Footnote Reference Number,Footnote Reference_LVL6,Footnote Reference_LVL61,Footnote Reference_LVL62,Footnote Reference_LVL63,Footnote Reference_LVL64,Footnote Reference_LVL65,Footnote symbol"/>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E145B"/>
    <w:pPr>
      <w:spacing w:after="240"/>
      <w:ind w:left="567" w:hanging="567"/>
    </w:pPr>
  </w:style>
  <w:style w:type="character" w:customStyle="1" w:styleId="NormalHanging12aChar">
    <w:name w:val="NormalHanging12a Char"/>
    <w:basedOn w:val="DefaultParagraphFont"/>
    <w:link w:val="NormalHanging12a"/>
    <w:locked/>
    <w:rsid w:val="00CE145B"/>
    <w:rPr>
      <w:sz w:val="24"/>
      <w:lang w:val="bg-BG"/>
    </w:rPr>
  </w:style>
  <w:style w:type="paragraph" w:customStyle="1" w:styleId="EPComma">
    <w:name w:val="EPComma"/>
    <w:basedOn w:val="Normal"/>
    <w:rsid w:val="00CE145B"/>
    <w:pPr>
      <w:spacing w:before="480" w:after="240"/>
    </w:pPr>
  </w:style>
  <w:style w:type="paragraph" w:customStyle="1" w:styleId="FootnoteReference1">
    <w:name w:val="Footnote Reference1"/>
    <w:basedOn w:val="Normal"/>
    <w:link w:val="FootnoteReference"/>
    <w:rsid w:val="00CE145B"/>
    <w:pPr>
      <w:widowControl/>
      <w:spacing w:after="160" w:line="240" w:lineRule="exact"/>
    </w:pPr>
    <w:rPr>
      <w:sz w:val="20"/>
      <w:vertAlign w:val="superscript"/>
      <w:lang w:val="en-GB"/>
    </w:rPr>
  </w:style>
  <w:style w:type="paragraph" w:customStyle="1" w:styleId="Action">
    <w:name w:val="Action"/>
    <w:basedOn w:val="Normal"/>
    <w:rsid w:val="00CE145B"/>
    <w:pPr>
      <w:tabs>
        <w:tab w:val="left" w:pos="357"/>
      </w:tabs>
      <w:spacing w:after="240"/>
      <w:ind w:left="357" w:hanging="357"/>
    </w:pPr>
  </w:style>
  <w:style w:type="paragraph" w:customStyle="1" w:styleId="action0">
    <w:name w:val="action"/>
    <w:basedOn w:val="Normal"/>
    <w:rsid w:val="00CE145B"/>
    <w:pPr>
      <w:widowControl/>
      <w:spacing w:after="240"/>
      <w:ind w:left="357" w:hanging="357"/>
    </w:pPr>
    <w:rPr>
      <w:rFonts w:eastAsiaTheme="minorHAnsi"/>
      <w:szCs w:val="24"/>
    </w:rPr>
  </w:style>
  <w:style w:type="character" w:customStyle="1" w:styleId="doceo-font-family-base">
    <w:name w:val="doceo-font-family-base"/>
    <w:basedOn w:val="DefaultParagraphFont"/>
    <w:rsid w:val="00CE145B"/>
  </w:style>
  <w:style w:type="character" w:styleId="Emphasis">
    <w:name w:val="Emphasis"/>
    <w:basedOn w:val="DefaultParagraphFont"/>
    <w:uiPriority w:val="20"/>
    <w:qFormat/>
    <w:rsid w:val="00CE145B"/>
    <w:rPr>
      <w:i/>
      <w:iCs/>
    </w:rPr>
  </w:style>
  <w:style w:type="paragraph" w:styleId="BalloonText">
    <w:name w:val="Balloon Text"/>
    <w:basedOn w:val="Normal"/>
    <w:link w:val="BalloonTextChar"/>
    <w:rsid w:val="00792863"/>
    <w:rPr>
      <w:rFonts w:ascii="Segoe UI" w:hAnsi="Segoe UI" w:cs="Segoe UI"/>
      <w:sz w:val="18"/>
      <w:szCs w:val="18"/>
    </w:rPr>
  </w:style>
  <w:style w:type="character" w:customStyle="1" w:styleId="BalloonTextChar">
    <w:name w:val="Balloon Text Char"/>
    <w:basedOn w:val="DefaultParagraphFont"/>
    <w:link w:val="BalloonText"/>
    <w:rsid w:val="00792863"/>
    <w:rPr>
      <w:rFonts w:ascii="Segoe UI" w:hAnsi="Segoe UI" w:cs="Segoe UI"/>
      <w:sz w:val="18"/>
      <w:szCs w:val="18"/>
      <w:lang w:val="bg-BG"/>
    </w:rPr>
  </w:style>
  <w:style w:type="character" w:styleId="Hyperlink">
    <w:name w:val="Hyperlink"/>
    <w:basedOn w:val="DefaultParagraphFont"/>
    <w:rsid w:val="00461C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C060E-2E3C-4879-9DB2-BEB590FD8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3297</Words>
  <Characters>19126</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Maria Minkova</cp:lastModifiedBy>
  <cp:revision>2</cp:revision>
  <cp:lastPrinted>2004-11-19T15:42:00Z</cp:lastPrinted>
  <dcterms:created xsi:type="dcterms:W3CDTF">2024-09-13T08:44:00Z</dcterms:created>
  <dcterms:modified xsi:type="dcterms:W3CDTF">2024-09-13T08:44:00Z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P9_TA(2024)0373_</vt:lpwstr>
  </property>
  <property fmtid="{D5CDD505-2E9C-101B-9397-08002B2CF9AE}" pid="4" name="&lt;Type&gt;">
    <vt:lpwstr>RR</vt:lpwstr>
  </property>
</Properties>
</file>