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59E2" w:rsidTr="0010095E">
        <w:trPr>
          <w:trHeight w:hRule="exact" w:val="1418"/>
        </w:trPr>
        <w:tc>
          <w:tcPr>
            <w:tcW w:w="6804" w:type="dxa"/>
            <w:shd w:val="clear" w:color="auto" w:fill="auto"/>
            <w:vAlign w:val="center"/>
          </w:tcPr>
          <w:p w:rsidR="00751A4A" w:rsidRPr="007259E2" w:rsidRDefault="00B97F2A" w:rsidP="0010095E">
            <w:pPr>
              <w:pStyle w:val="EPName"/>
            </w:pPr>
            <w:r w:rsidRPr="007259E2">
              <w:t>Ευρωπαϊκό Κοινοβούλιο</w:t>
            </w:r>
          </w:p>
          <w:p w:rsidR="00751A4A" w:rsidRPr="007259E2" w:rsidRDefault="00817416" w:rsidP="00756632">
            <w:pPr>
              <w:pStyle w:val="EPTerm"/>
              <w:rPr>
                <w:rStyle w:val="HideTWBExt"/>
                <w:noProof w:val="0"/>
                <w:vanish w:val="0"/>
                <w:color w:val="auto"/>
              </w:rPr>
            </w:pPr>
            <w:r w:rsidRPr="007259E2">
              <w:t>2019-2024</w:t>
            </w:r>
          </w:p>
        </w:tc>
        <w:tc>
          <w:tcPr>
            <w:tcW w:w="2268" w:type="dxa"/>
            <w:shd w:val="clear" w:color="auto" w:fill="auto"/>
          </w:tcPr>
          <w:p w:rsidR="00751A4A" w:rsidRPr="007259E2" w:rsidRDefault="00187494" w:rsidP="0010095E">
            <w:pPr>
              <w:pStyle w:val="EPLogo"/>
            </w:pPr>
            <w:r w:rsidRPr="007259E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59E2" w:rsidRDefault="00D058B8" w:rsidP="004C5D52">
      <w:pPr>
        <w:pStyle w:val="LineTop"/>
      </w:pPr>
    </w:p>
    <w:p w:rsidR="00680577" w:rsidRPr="007259E2" w:rsidRDefault="00B97F2A" w:rsidP="00680577">
      <w:pPr>
        <w:pStyle w:val="EPBodyTA1"/>
      </w:pPr>
      <w:r w:rsidRPr="007259E2">
        <w:t>ΚΕΙΜΕΝΑ ΠΟΥ ΕΓΚΡΙΘΗΚΑΝ</w:t>
      </w:r>
    </w:p>
    <w:p w:rsidR="00D058B8" w:rsidRPr="007259E2" w:rsidRDefault="00D058B8" w:rsidP="00D058B8">
      <w:pPr>
        <w:pStyle w:val="LineBottom"/>
      </w:pPr>
    </w:p>
    <w:p w:rsidR="00B97F2A" w:rsidRPr="007259E2" w:rsidRDefault="00B97F2A" w:rsidP="00B97F2A">
      <w:pPr>
        <w:pStyle w:val="ATHeading1"/>
      </w:pPr>
      <w:bookmarkStart w:id="0" w:name="TANumber"/>
      <w:r w:rsidRPr="007259E2">
        <w:t>P9_TA(2024)0</w:t>
      </w:r>
      <w:r w:rsidR="000232FA" w:rsidRPr="007259E2">
        <w:t>373</w:t>
      </w:r>
      <w:bookmarkEnd w:id="0"/>
    </w:p>
    <w:p w:rsidR="00B97F2A" w:rsidRPr="007259E2" w:rsidRDefault="00B97F2A" w:rsidP="00B97F2A">
      <w:pPr>
        <w:pStyle w:val="ATHeading2"/>
      </w:pPr>
      <w:bookmarkStart w:id="1" w:name="title"/>
      <w:r w:rsidRPr="007259E2">
        <w:t>Προβλέψεις εσόδων και δαπανών για το οικονομικό έτος 2025 – Τμήμα I – Ευρωπαϊκό Κοινοβούλιο</w:t>
      </w:r>
      <w:bookmarkEnd w:id="1"/>
    </w:p>
    <w:p w:rsidR="00B97F2A" w:rsidRPr="007259E2" w:rsidRDefault="00B97F2A" w:rsidP="00B97F2A">
      <w:pPr>
        <w:rPr>
          <w:i/>
          <w:vanish/>
        </w:rPr>
      </w:pPr>
      <w:r w:rsidRPr="007259E2">
        <w:rPr>
          <w:i/>
        </w:rPr>
        <w:fldChar w:fldCharType="begin"/>
      </w:r>
      <w:r w:rsidRPr="007259E2">
        <w:rPr>
          <w:i/>
        </w:rPr>
        <w:instrText xml:space="preserve"> TC"(</w:instrText>
      </w:r>
      <w:bookmarkStart w:id="2" w:name="DocNumber"/>
      <w:r w:rsidRPr="007259E2">
        <w:rPr>
          <w:i/>
        </w:rPr>
        <w:instrText>A9-0180/2024</w:instrText>
      </w:r>
      <w:bookmarkEnd w:id="2"/>
      <w:r w:rsidRPr="007259E2">
        <w:rPr>
          <w:i/>
        </w:rPr>
        <w:instrText xml:space="preserve"> - Εισηγήτρια: Άννα</w:instrText>
      </w:r>
      <w:r w:rsidRPr="007259E2">
        <w:rPr>
          <w:i/>
        </w:rPr>
        <w:noBreakHyphen/>
        <w:instrText xml:space="preserve">Μισέλ Ασημακοπούλου)"\l3 \n&gt; \* MERGEFORMAT </w:instrText>
      </w:r>
      <w:r w:rsidRPr="007259E2">
        <w:rPr>
          <w:i/>
        </w:rPr>
        <w:fldChar w:fldCharType="end"/>
      </w:r>
    </w:p>
    <w:p w:rsidR="00B97F2A" w:rsidRPr="007259E2" w:rsidRDefault="00B97F2A" w:rsidP="00B97F2A">
      <w:pPr>
        <w:rPr>
          <w:vanish/>
        </w:rPr>
      </w:pPr>
      <w:bookmarkStart w:id="3" w:name="Commission"/>
      <w:r w:rsidRPr="007259E2">
        <w:rPr>
          <w:vanish/>
        </w:rPr>
        <w:t>Επιτροπή Προϋπολογισμών</w:t>
      </w:r>
      <w:bookmarkEnd w:id="3"/>
    </w:p>
    <w:p w:rsidR="00B97F2A" w:rsidRPr="007259E2" w:rsidRDefault="00B97F2A" w:rsidP="00B97F2A">
      <w:pPr>
        <w:rPr>
          <w:vanish/>
        </w:rPr>
      </w:pPr>
      <w:bookmarkStart w:id="4" w:name="PE"/>
      <w:r w:rsidRPr="007259E2">
        <w:rPr>
          <w:vanish/>
        </w:rPr>
        <w:t>PE759.633</w:t>
      </w:r>
      <w:bookmarkEnd w:id="4"/>
    </w:p>
    <w:p w:rsidR="00B97F2A" w:rsidRPr="007259E2" w:rsidRDefault="00286187" w:rsidP="00B97F2A">
      <w:pPr>
        <w:pStyle w:val="ATHeading3"/>
      </w:pPr>
      <w:bookmarkStart w:id="5" w:name="Sujet"/>
      <w:r w:rsidRPr="007259E2">
        <w:t>Ψ</w:t>
      </w:r>
      <w:r w:rsidR="00B97F2A" w:rsidRPr="007259E2">
        <w:t xml:space="preserve">ήφισμα του Ευρωπαϊκού Κοινοβουλίου </w:t>
      </w:r>
      <w:r w:rsidR="00C22DDF" w:rsidRPr="007259E2">
        <w:t xml:space="preserve">της 25ης Απριλίου 2024 </w:t>
      </w:r>
      <w:r w:rsidR="00B97F2A" w:rsidRPr="007259E2">
        <w:t>σχετικά με την κατάσταση προβλέψεων των εσόδων και δαπανών του Ευρωπαϊκού Κοινοβουλίου για το οικονομικό έτος 2025</w:t>
      </w:r>
      <w:bookmarkEnd w:id="5"/>
      <w:r w:rsidR="00B97F2A" w:rsidRPr="007259E2">
        <w:t xml:space="preserve"> </w:t>
      </w:r>
      <w:bookmarkStart w:id="6" w:name="References"/>
      <w:r w:rsidR="00B97F2A" w:rsidRPr="007259E2">
        <w:t>(2023/2221(BUI))</w:t>
      </w:r>
      <w:bookmarkEnd w:id="6"/>
    </w:p>
    <w:p w:rsidR="000A3F86" w:rsidRPr="007259E2" w:rsidRDefault="000A3F86" w:rsidP="000A3F86">
      <w:pPr>
        <w:pStyle w:val="EPComma"/>
        <w:rPr>
          <w:szCs w:val="24"/>
        </w:rPr>
      </w:pPr>
      <w:bookmarkStart w:id="7" w:name="TextBodyBegin"/>
      <w:bookmarkEnd w:id="7"/>
      <w:r w:rsidRPr="007259E2">
        <w:rPr>
          <w:i/>
          <w:iCs/>
        </w:rPr>
        <w:t>Το Ευρωπαϊκό Κοινοβούλιο</w:t>
      </w:r>
      <w:r w:rsidRPr="007259E2">
        <w:t>,</w:t>
      </w:r>
    </w:p>
    <w:p w:rsidR="000A3F86" w:rsidRPr="007259E2" w:rsidRDefault="000A3F86" w:rsidP="00C22DDF">
      <w:pPr>
        <w:pStyle w:val="NormalHanging12a"/>
        <w:widowControl/>
        <w:rPr>
          <w:szCs w:val="24"/>
        </w:rPr>
      </w:pPr>
      <w:r w:rsidRPr="007259E2">
        <w:t>–</w:t>
      </w:r>
      <w:r w:rsidRPr="007259E2">
        <w:tab/>
        <w:t>έχοντας υπόψη το άρθρο 314 της Συνθήκης για τη λειτουργία της Ευρωπαϊκής Ένωσης,</w:t>
      </w:r>
    </w:p>
    <w:p w:rsidR="000A3F86" w:rsidRPr="007259E2" w:rsidRDefault="000A3F86" w:rsidP="00C22DDF">
      <w:pPr>
        <w:pStyle w:val="NormalHanging12a"/>
        <w:widowControl/>
        <w:rPr>
          <w:szCs w:val="24"/>
        </w:rPr>
      </w:pPr>
      <w:r w:rsidRPr="007259E2">
        <w:t>–</w:t>
      </w:r>
      <w:r w:rsidRPr="007259E2">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7259E2">
        <w:rPr>
          <w:rStyle w:val="FootnoteReference"/>
          <w:szCs w:val="24"/>
        </w:rPr>
        <w:footnoteReference w:id="1"/>
      </w:r>
      <w:r w:rsidRPr="007259E2">
        <w:t>,</w:t>
      </w:r>
    </w:p>
    <w:p w:rsidR="000A3F86" w:rsidRPr="007259E2" w:rsidRDefault="000A3F86" w:rsidP="00C22DDF">
      <w:pPr>
        <w:pStyle w:val="NormalHanging12a"/>
        <w:widowControl/>
        <w:rPr>
          <w:szCs w:val="24"/>
        </w:rPr>
      </w:pPr>
      <w:r w:rsidRPr="007259E2">
        <w:t>–</w:t>
      </w:r>
      <w:r w:rsidRPr="007259E2">
        <w:tab/>
        <w:t xml:space="preserve">έχοντας υπόψη τον κανονισμό (EE, </w:t>
      </w:r>
      <w:proofErr w:type="spellStart"/>
      <w:r w:rsidRPr="007259E2">
        <w:t>Ευρατόμ</w:t>
      </w:r>
      <w:proofErr w:type="spellEnd"/>
      <w:r w:rsidRPr="007259E2">
        <w:t>) 2020/2093 του Συμβουλίου, της 17ης Δεκεμβρίου 20</w:t>
      </w:r>
      <w:r w:rsidR="002C4155">
        <w:rPr>
          <w:lang w:val="lt-LT"/>
        </w:rPr>
        <w:t>20</w:t>
      </w:r>
      <w:r w:rsidRPr="007259E2">
        <w:t>, για τον καθορισμό του πολυετούς δημοσιονομικού πλαισίου για την περίοδο 2021-2027</w:t>
      </w:r>
      <w:r w:rsidRPr="007259E2">
        <w:rPr>
          <w:szCs w:val="24"/>
          <w:vertAlign w:val="superscript"/>
        </w:rPr>
        <w:footnoteReference w:id="2"/>
      </w:r>
      <w:r w:rsidRPr="007259E2">
        <w:t>, και τις κοινές δηλώσεις επί των οποίων επήλθε συμφωνία μεταξύ του Κοινοβουλίου, του Συμβουλίου και της Επιτροπής σχετικά με αυτό το ζήτημα</w:t>
      </w:r>
      <w:r w:rsidRPr="007259E2">
        <w:rPr>
          <w:szCs w:val="24"/>
          <w:vertAlign w:val="superscript"/>
        </w:rPr>
        <w:footnoteReference w:id="3"/>
      </w:r>
      <w:r w:rsidRPr="007259E2">
        <w:t xml:space="preserve"> και τις σχετικές μονομερείς δηλώσεις</w:t>
      </w:r>
      <w:r w:rsidRPr="007259E2">
        <w:rPr>
          <w:szCs w:val="24"/>
          <w:vertAlign w:val="superscript"/>
        </w:rPr>
        <w:footnoteReference w:id="4"/>
      </w:r>
      <w:r w:rsidRPr="007259E2">
        <w:t xml:space="preserve">, </w:t>
      </w:r>
    </w:p>
    <w:p w:rsidR="000A3F86" w:rsidRPr="007259E2" w:rsidRDefault="000A3F86" w:rsidP="00C22DDF">
      <w:pPr>
        <w:pStyle w:val="NormalHanging12a"/>
        <w:widowControl/>
        <w:rPr>
          <w:szCs w:val="24"/>
        </w:rPr>
      </w:pPr>
      <w:r w:rsidRPr="007259E2">
        <w:t>–</w:t>
      </w:r>
      <w:r w:rsidRPr="007259E2">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7259E2">
        <w:lastRenderedPageBreak/>
        <w:t>ιδίους πόρους, συμπεριλαμβανομένου ενός οδικού χάρτη για την εισαγωγή νέων ιδίων πόρων</w:t>
      </w:r>
      <w:r w:rsidRPr="007259E2">
        <w:rPr>
          <w:rStyle w:val="FootnoteReference"/>
          <w:szCs w:val="24"/>
        </w:rPr>
        <w:footnoteReference w:id="5"/>
      </w:r>
      <w:r w:rsidRPr="007259E2">
        <w:t>,</w:t>
      </w:r>
    </w:p>
    <w:p w:rsidR="000A3F86" w:rsidRPr="007259E2" w:rsidRDefault="000A3F86" w:rsidP="00C22DDF">
      <w:pPr>
        <w:pStyle w:val="NormalHanging12a"/>
        <w:widowControl/>
        <w:rPr>
          <w:szCs w:val="24"/>
        </w:rPr>
      </w:pPr>
      <w:r w:rsidRPr="007259E2">
        <w:t>–</w:t>
      </w:r>
      <w:r w:rsidRPr="007259E2">
        <w:tab/>
        <w:t xml:space="preserve">έχοντας υπόψη την προσωρινή έκθεση </w:t>
      </w:r>
      <w:r w:rsidR="00C22DDF" w:rsidRPr="007259E2">
        <w:t xml:space="preserve">της </w:t>
      </w:r>
      <w:r w:rsidR="00524E59" w:rsidRPr="007259E2">
        <w:t>3</w:t>
      </w:r>
      <w:r w:rsidR="00C22DDF" w:rsidRPr="007259E2">
        <w:t xml:space="preserve">ης Οκτωβρίου 2023 </w:t>
      </w:r>
      <w:r w:rsidRPr="007259E2">
        <w:t>σχετικά με την πρόταση για ενδιάμεση αναθεώρηση του πολυετούς δημοσιονομικού πλαισίου 2021-2027</w:t>
      </w:r>
      <w:r w:rsidRPr="007259E2">
        <w:rPr>
          <w:szCs w:val="24"/>
          <w:vertAlign w:val="superscript"/>
        </w:rPr>
        <w:footnoteReference w:id="6"/>
      </w:r>
      <w:r w:rsidRPr="007259E2">
        <w:t>,</w:t>
      </w:r>
    </w:p>
    <w:p w:rsidR="000A3F86" w:rsidRPr="007259E2" w:rsidRDefault="000A3F86" w:rsidP="00C22DDF">
      <w:pPr>
        <w:pStyle w:val="NormalHanging12a"/>
        <w:widowControl/>
        <w:rPr>
          <w:szCs w:val="24"/>
        </w:rPr>
      </w:pPr>
      <w:r w:rsidRPr="007259E2">
        <w:t>–</w:t>
      </w:r>
      <w:r w:rsidRPr="007259E2">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sidRPr="007259E2">
        <w:rPr>
          <w:szCs w:val="24"/>
          <w:vertAlign w:val="superscript"/>
        </w:rPr>
        <w:footnoteReference w:id="7"/>
      </w:r>
      <w:r w:rsidRPr="007259E2">
        <w:t xml:space="preserve">, </w:t>
      </w:r>
    </w:p>
    <w:p w:rsidR="000A3F86" w:rsidRPr="007259E2" w:rsidRDefault="000A3F86" w:rsidP="00C22DDF">
      <w:pPr>
        <w:pStyle w:val="NormalHanging12a"/>
        <w:widowControl/>
        <w:rPr>
          <w:szCs w:val="24"/>
        </w:rPr>
      </w:pPr>
      <w:r w:rsidRPr="007259E2">
        <w:t>–</w:t>
      </w:r>
      <w:r w:rsidRPr="007259E2">
        <w:tab/>
        <w:t xml:space="preserve">έχοντας υπόψη τον κανονισμό (ΕΕ, Ευρατόμ) 2024/765 του Συμβουλίου, </w:t>
      </w:r>
      <w:r w:rsidRPr="007259E2">
        <w:rPr>
          <w:shd w:val="clear" w:color="auto" w:fill="FFFFFF"/>
        </w:rPr>
        <w:t>της 29ης Φεβρουαρίου 2024, για την τροποποίηση του κανονισμού (ΕΕ, Ευρατόμ) 2020/2093</w:t>
      </w:r>
      <w:r w:rsidRPr="007259E2">
        <w:t xml:space="preserve"> για τον καθορισμό του πολυετούς δημοσιονομικού πλαισίου για τα έτη 2021 έως 2027</w:t>
      </w:r>
      <w:r w:rsidRPr="007259E2">
        <w:rPr>
          <w:rStyle w:val="FootnoteReference"/>
          <w:szCs w:val="24"/>
        </w:rPr>
        <w:footnoteReference w:id="8"/>
      </w:r>
      <w:r w:rsidRPr="007259E2">
        <w:t xml:space="preserve"> (αναθεώρηση ΠΔΠ),</w:t>
      </w:r>
    </w:p>
    <w:p w:rsidR="000A3F86" w:rsidRPr="007259E2" w:rsidRDefault="000A3F86" w:rsidP="00C22DDF">
      <w:pPr>
        <w:pStyle w:val="NormalHanging12a"/>
        <w:widowControl/>
        <w:rPr>
          <w:szCs w:val="24"/>
        </w:rPr>
      </w:pPr>
      <w:r w:rsidRPr="007259E2">
        <w:t>–</w:t>
      </w:r>
      <w:r w:rsidRPr="007259E2">
        <w:tab/>
        <w:t>έχοντας υπόψη την πρόταση της Επιτροπής, της 16ης Μαΐου 2022, για κανονισμό του Ευρωπαϊκού Κοινοβουλίου και του Συμβουλίου σχετικά με τους δημοσιονομικούς κανόνες που εφαρμόζονται στον γενικό προϋπολογισμό της Ένωσης</w:t>
      </w:r>
      <w:r w:rsidRPr="007259E2">
        <w:rPr>
          <w:rStyle w:val="FootnoteReference"/>
          <w:szCs w:val="24"/>
        </w:rPr>
        <w:footnoteReference w:id="9"/>
      </w:r>
      <w:r w:rsidRPr="007259E2">
        <w:t>,</w:t>
      </w:r>
    </w:p>
    <w:p w:rsidR="000A3F86" w:rsidRPr="007259E2" w:rsidRDefault="000A3F86" w:rsidP="00C22DDF">
      <w:pPr>
        <w:pStyle w:val="NormalHanging12a"/>
        <w:widowControl/>
        <w:rPr>
          <w:szCs w:val="24"/>
        </w:rPr>
      </w:pPr>
      <w:r w:rsidRPr="007259E2">
        <w:t>–</w:t>
      </w:r>
      <w:r w:rsidRPr="007259E2">
        <w:tab/>
        <w:t>έχοντας υπόψη τον κανονισμό (ΕΕ, Ευρατόμ) αριθ. 1023/2013 του Ευρωπαϊκού Κοινοβουλίου και του Συμβουλίου, της 22ας Οκτωβρίου 2013, για την τροποποίηση του κανονισμού υπηρεσιακής κατάστασης των υπαλλήλων της Ευρωπαϊκής Ένωσης, καθώς και του καθεστώτος που εφαρμόζεται στο λοιπό προσωπικό της Ευρωπαϊκής Ένωσης</w:t>
      </w:r>
      <w:r w:rsidRPr="007259E2">
        <w:rPr>
          <w:rStyle w:val="FootnoteReference"/>
          <w:szCs w:val="24"/>
        </w:rPr>
        <w:footnoteReference w:id="10"/>
      </w:r>
      <w:r w:rsidRPr="007259E2">
        <w:t xml:space="preserve">,  </w:t>
      </w:r>
    </w:p>
    <w:p w:rsidR="000A3F86" w:rsidRPr="007259E2" w:rsidRDefault="000A3F86" w:rsidP="00C22DDF">
      <w:pPr>
        <w:pStyle w:val="NormalHanging12a"/>
        <w:widowControl/>
        <w:rPr>
          <w:szCs w:val="24"/>
        </w:rPr>
      </w:pPr>
      <w:r w:rsidRPr="007259E2">
        <w:t>–</w:t>
      </w:r>
      <w:r w:rsidRPr="007259E2">
        <w:tab/>
        <w:t>έχοντας υπόψη το ψήφισμά του της 20ής Απριλίου 2023 σχετικά με την κατάσταση προβλέψεων των εσόδων και δαπανών του Ευρωπαϊκού Κοινοβουλίου για το οικονομικό έτος 2024</w:t>
      </w:r>
      <w:r w:rsidRPr="007259E2">
        <w:rPr>
          <w:rStyle w:val="FootnoteReference"/>
          <w:szCs w:val="24"/>
        </w:rPr>
        <w:footnoteReference w:id="11"/>
      </w:r>
      <w:r w:rsidRPr="007259E2">
        <w:t xml:space="preserve">, </w:t>
      </w:r>
    </w:p>
    <w:p w:rsidR="000A3F86" w:rsidRPr="007259E2" w:rsidRDefault="000A3F86" w:rsidP="00C22DDF">
      <w:pPr>
        <w:pStyle w:val="NormalHanging12a"/>
        <w:widowControl/>
        <w:rPr>
          <w:szCs w:val="24"/>
        </w:rPr>
      </w:pPr>
      <w:r w:rsidRPr="007259E2">
        <w:t>–</w:t>
      </w:r>
      <w:r w:rsidRPr="007259E2">
        <w:tab/>
        <w:t>έχοντας υπόψη το ψήφισμά του της 18ης Οκτωβρίου 2023 σχετικά με τη θέση του Συμβουλίου επί του σχεδίου γενικού προϋπολογισμού της Ευρωπαϊκής Ένωσης για το οικονομικό έτος 2024</w:t>
      </w:r>
      <w:r w:rsidRPr="007259E2">
        <w:rPr>
          <w:rStyle w:val="FootnoteReference"/>
          <w:szCs w:val="24"/>
        </w:rPr>
        <w:footnoteReference w:id="12"/>
      </w:r>
      <w:r w:rsidRPr="007259E2">
        <w:t xml:space="preserve">, </w:t>
      </w:r>
    </w:p>
    <w:p w:rsidR="000A3F86" w:rsidRPr="007259E2" w:rsidRDefault="000A3F86" w:rsidP="00C22DDF">
      <w:pPr>
        <w:pStyle w:val="NormalHanging12a"/>
        <w:widowControl/>
        <w:rPr>
          <w:szCs w:val="24"/>
        </w:rPr>
      </w:pPr>
      <w:r w:rsidRPr="007259E2">
        <w:t>–</w:t>
      </w:r>
      <w:r w:rsidRPr="007259E2">
        <w:tab/>
        <w:t>έχοντας υπόψη τον γενικό προϋπολογισμό της Ευρωπαϊκής Ένωσης για το οικονομικό έτος 2024</w:t>
      </w:r>
      <w:r w:rsidRPr="007259E2">
        <w:rPr>
          <w:rStyle w:val="FootnoteReference"/>
          <w:szCs w:val="24"/>
        </w:rPr>
        <w:footnoteReference w:id="13"/>
      </w:r>
      <w:r w:rsidRPr="007259E2">
        <w:t xml:space="preserve"> και τις επισυναπτόμενες σε αυτόν κοινές δηλώσεις επί των οποίων επήλθε συμφωνία μεταξύ του Κοινοβουλίου, του Συμβουλίου και της Επιτροπής, </w:t>
      </w:r>
    </w:p>
    <w:p w:rsidR="000A3F86" w:rsidRPr="007259E2" w:rsidRDefault="000A3F86" w:rsidP="00C22DDF">
      <w:pPr>
        <w:pStyle w:val="NormalHanging12a"/>
        <w:widowControl/>
        <w:rPr>
          <w:szCs w:val="24"/>
        </w:rPr>
      </w:pPr>
      <w:r w:rsidRPr="007259E2">
        <w:t>–</w:t>
      </w:r>
      <w:r w:rsidRPr="007259E2">
        <w:tab/>
        <w:t>έχοντας υπόψη την έκθεση του Γενικού Γραμματέα προς το Προεδρείο εν όψει της κατάρτισης του προσχεδίου κατάστασης προβλέψεων του Ευρωπαϊκού Κοινοβουλίου για το οικονομικό έτος 2025,</w:t>
      </w:r>
    </w:p>
    <w:p w:rsidR="000A3F86" w:rsidRPr="007259E2" w:rsidRDefault="000A3F86" w:rsidP="00C22DDF">
      <w:pPr>
        <w:pStyle w:val="NormalHanging12a"/>
        <w:widowControl/>
        <w:rPr>
          <w:szCs w:val="24"/>
        </w:rPr>
      </w:pPr>
      <w:r w:rsidRPr="007259E2">
        <w:lastRenderedPageBreak/>
        <w:t>–</w:t>
      </w:r>
      <w:r w:rsidRPr="007259E2">
        <w:tab/>
        <w:t>έχοντας υπόψη το προσχέδιο κατάστασης προβλέψεων που κατάρτισε το Προεδρείο στις 11 Μαρτίου 2024 σύμφωνα με το άρθρο 25 παράγραφος 7 και το άρθρο 102 παράγραφος 1 του Κανονισμού του Κοινοβουλίου,</w:t>
      </w:r>
    </w:p>
    <w:p w:rsidR="000A3F86" w:rsidRPr="007259E2" w:rsidRDefault="000A3F86" w:rsidP="00C22DDF">
      <w:pPr>
        <w:pStyle w:val="NormalHanging12a"/>
        <w:widowControl/>
        <w:rPr>
          <w:szCs w:val="24"/>
        </w:rPr>
      </w:pPr>
      <w:r w:rsidRPr="007259E2">
        <w:t>–</w:t>
      </w:r>
      <w:r w:rsidRPr="007259E2">
        <w:tab/>
        <w:t>έχοντας υπόψη το σχέδιο κατάστασης προβλέψεων που κατάρτισε η Επιτροπή Προϋπολογισμών σύμφωνα με το άρθρο 102 παράγραφος 2 του Κανονισμού του Κοινοβουλίου,</w:t>
      </w:r>
    </w:p>
    <w:p w:rsidR="000A3F86" w:rsidRPr="007259E2" w:rsidRDefault="000A3F86" w:rsidP="00C22DDF">
      <w:pPr>
        <w:pStyle w:val="NormalHanging12a"/>
        <w:widowControl/>
        <w:rPr>
          <w:szCs w:val="24"/>
        </w:rPr>
      </w:pPr>
      <w:r w:rsidRPr="007259E2">
        <w:t>–</w:t>
      </w:r>
      <w:r w:rsidRPr="007259E2">
        <w:tab/>
        <w:t>έχοντας υπόψη το άρθρο 102 του Κανονισμού του,</w:t>
      </w:r>
    </w:p>
    <w:p w:rsidR="000A3F86" w:rsidRPr="007259E2" w:rsidRDefault="000A3F86" w:rsidP="00C22DDF">
      <w:pPr>
        <w:pStyle w:val="NormalHanging12a"/>
        <w:widowControl/>
        <w:rPr>
          <w:szCs w:val="24"/>
        </w:rPr>
      </w:pPr>
      <w:r w:rsidRPr="007259E2">
        <w:t>–</w:t>
      </w:r>
      <w:r w:rsidRPr="007259E2">
        <w:tab/>
        <w:t>έχοντας υπόψη την έκθεση της Επιτροπής Προϋπολογισμών (Α9-0180/2024),</w:t>
      </w:r>
    </w:p>
    <w:p w:rsidR="000A3F86" w:rsidRPr="007259E2" w:rsidRDefault="000A3F86" w:rsidP="00C22DDF">
      <w:pPr>
        <w:pStyle w:val="Action"/>
        <w:widowControl/>
        <w:tabs>
          <w:tab w:val="clear" w:pos="357"/>
        </w:tabs>
        <w:ind w:left="567" w:hanging="567"/>
        <w:rPr>
          <w:szCs w:val="24"/>
        </w:rPr>
      </w:pPr>
      <w:r w:rsidRPr="007259E2">
        <w:t>Α.</w:t>
      </w:r>
      <w:r w:rsidRPr="007259E2">
        <w:tab/>
        <w:t xml:space="preserve">λαμβάνοντας υπόψη ότι ο προϋπολογισμός που προτάθηκε στις 26 Φεβρουαρίου 2024 από τον Γενικό Γραμματέα για το προσχέδιο κατάστασης προβλέψεων του Κοινοβουλίου για το 2025 ανέρχεται σε 2 507 233 329 EUR και αντιπροσωπεύει αύξηση κατά 5,21 % ή 124 132 017 EUR σε σύγκριση με τον προϋπολογισμό του 2024· </w:t>
      </w:r>
    </w:p>
    <w:p w:rsidR="000A3F86" w:rsidRPr="007259E2" w:rsidRDefault="000A3F86" w:rsidP="00C22DDF">
      <w:pPr>
        <w:pStyle w:val="Action"/>
        <w:widowControl/>
        <w:tabs>
          <w:tab w:val="clear" w:pos="357"/>
        </w:tabs>
        <w:ind w:left="567" w:hanging="567"/>
        <w:rPr>
          <w:szCs w:val="24"/>
        </w:rPr>
      </w:pPr>
      <w:r w:rsidRPr="007259E2">
        <w:t>Β.</w:t>
      </w:r>
      <w:r w:rsidRPr="007259E2">
        <w:tab/>
        <w:t>λαμβάνοντας υπόψη ότι η Επιτροπή προβλέπει ότι το ποσοστό πληθωρισμού της ΕΕ θα είναι 3 % το 2024 και 2,5 % το 2025 στις χειμερινές (ενδιάμεσες) προβλέψεις της για το 2024· λαμβάνοντας υπόψη ότι το επίπεδο των δαπανών στον τομέα 7 του ΠΔΠ 2021-2027 βασίζεται σε ετήσια αύξηση 2 %·</w:t>
      </w:r>
    </w:p>
    <w:p w:rsidR="000A3F86" w:rsidRPr="007259E2" w:rsidRDefault="000A3F86" w:rsidP="00C22DDF">
      <w:pPr>
        <w:pStyle w:val="Action"/>
        <w:widowControl/>
        <w:tabs>
          <w:tab w:val="clear" w:pos="357"/>
        </w:tabs>
        <w:ind w:left="567" w:hanging="567"/>
        <w:rPr>
          <w:szCs w:val="24"/>
        </w:rPr>
      </w:pPr>
      <w:r w:rsidRPr="007259E2">
        <w:t>Γ.</w:t>
      </w:r>
      <w:r w:rsidRPr="007259E2">
        <w:tab/>
        <w:t xml:space="preserve">λαμβάνοντας υπόψη ότι η αξιοπιστία του Κοινοβουλίου εξαρτάται από την ικανότητά του να επιτυγχάνει αποτελέσματα όσον αφορά το βασικό δημοσιονομικό, νομοθετικό και ελεγκτικό έργο του με βάση τα υψηλότερα δυνατά πρότυπα, δίνοντας παράλληλα το παράδειγμα έναντι άλλων θεσμικών οργάνων της Ένωσης για τον σχεδιασμό και την εκτέλεση των δαπανών του με σύνεση και αποδοτικότητα και για την αποτύπωση της επικρατούσας οικονομικής πραγματικότητας· </w:t>
      </w:r>
    </w:p>
    <w:p w:rsidR="000A3F86" w:rsidRPr="007259E2" w:rsidRDefault="000A3F86" w:rsidP="00C22DDF">
      <w:pPr>
        <w:pStyle w:val="Action"/>
        <w:widowControl/>
        <w:tabs>
          <w:tab w:val="clear" w:pos="357"/>
        </w:tabs>
        <w:ind w:left="567" w:hanging="567"/>
        <w:rPr>
          <w:szCs w:val="24"/>
        </w:rPr>
      </w:pPr>
      <w:r w:rsidRPr="007259E2">
        <w:t>Δ.</w:t>
      </w:r>
      <w:r w:rsidRPr="007259E2">
        <w:tab/>
        <w:t>λαμβάνοντας υπόψη ότι το 2025 θα είναι το πρώτο πλήρες έτος μετά τις εκλογές και, κατά συνέπεια, θα υπάρξει επάνοδος στον κανονικό ρυθμό των βασικών πολιτικών και υποστηρικτικών δραστηριοτήτων·</w:t>
      </w:r>
    </w:p>
    <w:p w:rsidR="000A3F86" w:rsidRPr="007259E2" w:rsidRDefault="000A3F86" w:rsidP="00C22DDF">
      <w:pPr>
        <w:pStyle w:val="Action"/>
        <w:widowControl/>
        <w:tabs>
          <w:tab w:val="clear" w:pos="357"/>
        </w:tabs>
        <w:ind w:left="567" w:hanging="567"/>
        <w:rPr>
          <w:szCs w:val="24"/>
        </w:rPr>
      </w:pPr>
      <w:r w:rsidRPr="007259E2">
        <w:t xml:space="preserve">Ε. </w:t>
      </w:r>
      <w:r w:rsidRPr="007259E2">
        <w:tab/>
        <w:t>λαμβάνοντας υπόψη ότι το Κοινοβούλιο ολοκλήρωσε τη διαδικασία εις βάθος μεταρρύθμισης που ξεκίνησε πέρυσι, με σκοπό, αφενός, την επανεξέταση των εσωτερικών μεθόδων εργασίας του ώστε να αυξηθεί η αποδοτικότητα του κοινοβουλευτικού έργου και, αφετέρου, την ενίσχυση του θεσμικού του ρόλου ώστε να βελτιωθεί η λειτουργία του Κοινοβουλίου ως συννομοθέτη, ως σκέλους της αρμόδιας για τον προϋπολογισμό αρχής, ως αρμόδιας για την απαλλαγή αρχής, και για να ενισχυθεί η ικανότητά του να ασκεί δημοκρατική εποπτεία·</w:t>
      </w:r>
    </w:p>
    <w:p w:rsidR="000A3F86" w:rsidRPr="007259E2" w:rsidRDefault="000A3F86" w:rsidP="00C22DDF">
      <w:pPr>
        <w:widowControl/>
        <w:spacing w:after="240"/>
        <w:ind w:left="567" w:hanging="567"/>
        <w:rPr>
          <w:b/>
          <w:bCs/>
          <w:i/>
          <w:iCs/>
          <w:szCs w:val="24"/>
        </w:rPr>
      </w:pPr>
      <w:r w:rsidRPr="007259E2">
        <w:rPr>
          <w:b/>
          <w:i/>
        </w:rPr>
        <w:t>Γενικό πλαίσιο</w:t>
      </w:r>
    </w:p>
    <w:p w:rsidR="000A3F86" w:rsidRPr="007259E2" w:rsidRDefault="007259E2" w:rsidP="007259E2">
      <w:pPr>
        <w:pStyle w:val="action0"/>
        <w:ind w:left="570" w:hanging="570"/>
        <w:rPr>
          <w:bCs/>
          <w:iCs/>
        </w:rPr>
      </w:pPr>
      <w:r w:rsidRPr="007259E2">
        <w:rPr>
          <w:bCs/>
          <w:iCs/>
        </w:rPr>
        <w:t>1.</w:t>
      </w:r>
      <w:r w:rsidRPr="007259E2">
        <w:rPr>
          <w:bCs/>
          <w:iCs/>
        </w:rPr>
        <w:tab/>
      </w:r>
      <w:r w:rsidR="000A3F86" w:rsidRPr="007259E2">
        <w:t>εκφράζει την ανησυχία του για την κατάσταση του τομέα 7 στο τρέχον ΠΔΠ· υπενθυμίζει ότι οι περιορισμοί είναι αποτέλεσμα των περικοπών που εφάρμοσε το Συμβούλιο στην ήδη εξαιρετικά χαμηλή αρχική πρόταση της Επιτροπής κατά την επίτευξη συμφωνίας για το τρέχον ΠΔΠ 2021-2027· εκφράζει τη λύπη του για την αντίθεση του Συμβουλίου στην πρόταση της Επιτροπής να αυξηθεί το ανώτατο όριο του τομέα 7 στην αναθεώρηση του ΠΔΠ από το 2024· επισημαίνει το γεγονός ότι κατά την αναθεώρηση του ΠΔΠ δεν διευθετήθηκε το ζήτημα του ανώτατου ορίου του τομέα 7· επισημαίνει ότι το προβλεπόμενο αρνητικό περιθώριο για το 2025 προϋποθέτει τη χρήση ειδικών μέσων στον τομέα 7 για τον σκοπό αυτό·</w:t>
      </w:r>
    </w:p>
    <w:p w:rsidR="000A3F86" w:rsidRPr="007259E2" w:rsidRDefault="007259E2" w:rsidP="007259E2">
      <w:pPr>
        <w:pStyle w:val="action0"/>
        <w:ind w:left="570" w:hanging="570"/>
      </w:pPr>
      <w:r w:rsidRPr="007259E2">
        <w:lastRenderedPageBreak/>
        <w:t>2.</w:t>
      </w:r>
      <w:r w:rsidRPr="007259E2">
        <w:tab/>
      </w:r>
      <w:r w:rsidR="000A3F86" w:rsidRPr="007259E2">
        <w:t>υπενθυμίζει ότι σχεδόν τα δύο τρίτα του προϋπολογισμού καθορίζονται από καταστατικές υποχρεώσεις· υπενθυμίζει ότι η τιμαριθμική αναπροσαρμογή των μισθών, σύμφωνα με τον κανονισμό υπηρεσιακής κατάστασης και το καθεστώς των βουλευτών του Ευρωπαϊκού Κοινοβουλίου, προβλέπεται επί του παρόντος από την Επιτροπή για τον Ιούλιο του 2024, τον Απρίλιο του 2025 και τον Ιούλιο του 2025 σε 5,3 %, 0,6 % και 3,7 % αντίστοιχα· σημειώνει ότι ο προϋπολογισμός του 2024 περιλαμβάνει τιμαριθμική αναπροσαρμογή των μισθών της τάξης του 3,4 % από τον Ιούλιο του 2024· σημειώνει ότι η Επιτροπή Προϋπολογισμών θα παρακολουθεί την επίσημη προβλεπόμενη εξέλιξη της τιμαριθμικής αναπροσαρμογής των μισθών·</w:t>
      </w:r>
    </w:p>
    <w:p w:rsidR="000A3F86" w:rsidRPr="007259E2" w:rsidRDefault="007259E2" w:rsidP="007259E2">
      <w:pPr>
        <w:widowControl/>
        <w:spacing w:after="240"/>
        <w:ind w:left="570" w:hanging="570"/>
      </w:pPr>
      <w:r w:rsidRPr="007259E2">
        <w:t>3.</w:t>
      </w:r>
      <w:r w:rsidRPr="007259E2">
        <w:tab/>
      </w:r>
      <w:r w:rsidR="000A3F86" w:rsidRPr="007259E2">
        <w:t xml:space="preserve">εγκρίνει τη συμφωνία που επιτεύχθηκε κατά τη συνδιαλλαγή μεταξύ του Προεδρείου και της Επιτροπής Προϋπολογισμών στις 9 Απριλίου 2024 για τον καθορισμό της αύξησης σε σχέση με τον προϋπολογισμό του 2024 σε 4,87 %, που αντιστοιχεί σε συνολικό επίπεδο προβλέψεων 2 499 233 329 EUR για το 2025, και για ανάλογη μείωση των πιστώσεων που προτείνονται στις ακόλουθες γραμμές του προϋπολογισμού, συνολικού ύψους 11 000 000 EUR: </w:t>
      </w:r>
    </w:p>
    <w:p w:rsidR="00C22DDF" w:rsidRPr="007259E2" w:rsidRDefault="000A3F86" w:rsidP="00C22DDF">
      <w:pPr>
        <w:widowControl/>
        <w:spacing w:after="240"/>
        <w:ind w:left="567"/>
      </w:pPr>
      <w:r w:rsidRPr="007259E2">
        <w:t>2 0 0 0 — Μισθώματα, 2 0 0 7 — Ανέγερση κτιρίων και διαρρύθμιση των χώρων, 2</w:t>
      </w:r>
      <w:r w:rsidR="00C22DDF" w:rsidRPr="007259E2">
        <w:t> </w:t>
      </w:r>
      <w:r w:rsidRPr="007259E2">
        <w:t>3</w:t>
      </w:r>
      <w:r w:rsidR="00C22DDF" w:rsidRPr="007259E2">
        <w:t> </w:t>
      </w:r>
      <w:r w:rsidRPr="007259E2">
        <w:t>9</w:t>
      </w:r>
      <w:r w:rsidR="00C22DDF" w:rsidRPr="007259E2">
        <w:t> </w:t>
      </w:r>
      <w:r w:rsidRPr="007259E2">
        <w:t xml:space="preserve">0 — Δραστηριότητες EMAS και βιωσιμότητας, συμπεριλαμβανομένης της προώθησης, και αντιστάθμιση των εκπομπών άνθρακα του Ευρωπαϊκού Κοινοβουλίου, 3 2 4 2 — Δαπάνες δημοσιεύσεων, πληροφόρησης και συμμετοχής σε δημόσιες εκδηλώσεις, 3 2 4 3 — Κέντρα επισκεπτών του Ευρωπαϊκού Κοινοβουλίου, 1 0 1 — Αποθεματικό για απρόβλεπτα· </w:t>
      </w:r>
    </w:p>
    <w:p w:rsidR="00C22DDF" w:rsidRPr="007259E2" w:rsidRDefault="000A3F86" w:rsidP="00C22DDF">
      <w:pPr>
        <w:widowControl/>
        <w:spacing w:after="240"/>
        <w:ind w:left="567"/>
      </w:pPr>
      <w:r w:rsidRPr="007259E2">
        <w:t xml:space="preserve">επιπλέον, αποφασίζει αύξηση του επιπέδου δαπανών του προσχεδίου κατάστασης προβλέψεων που εγκρίθηκε από το Προεδρείο στις 11 Μαρτίου 2024 κατά 3 000 000 EUR και ανάλογη αύξηση των πιστώσεων που προτείνονται στις ακόλουθες γραμμές του προϋπολογισμού: </w:t>
      </w:r>
    </w:p>
    <w:p w:rsidR="000A3F86" w:rsidRPr="007259E2" w:rsidRDefault="000A3F86" w:rsidP="00C22DDF">
      <w:pPr>
        <w:widowControl/>
        <w:spacing w:after="240"/>
        <w:ind w:left="567"/>
      </w:pPr>
      <w:r w:rsidRPr="007259E2">
        <w:t xml:space="preserve">3 2 4 4 — Οργάνωση και υποδοχή ομάδων επισκεπτών, πρόγραμμα </w:t>
      </w:r>
      <w:proofErr w:type="spellStart"/>
      <w:r w:rsidRPr="007259E2">
        <w:t>Euroscola</w:t>
      </w:r>
      <w:proofErr w:type="spellEnd"/>
      <w:r w:rsidRPr="007259E2">
        <w:t xml:space="preserve"> και προσκλήσεις παραγόντων διαμόρφωσης της κοινής γνώμης από τρίτες χώρες· 4 0 3 — Χρηματοδότηση των ευρωπαϊκών πολιτικών ιδρυμάτων·</w:t>
      </w:r>
    </w:p>
    <w:p w:rsidR="000A3F86" w:rsidRPr="007259E2" w:rsidRDefault="007259E2" w:rsidP="007259E2">
      <w:pPr>
        <w:pStyle w:val="action0"/>
        <w:ind w:left="570" w:hanging="570"/>
      </w:pPr>
      <w:r w:rsidRPr="007259E2">
        <w:t>4.</w:t>
      </w:r>
      <w:r w:rsidRPr="007259E2">
        <w:tab/>
      </w:r>
      <w:r w:rsidR="000A3F86" w:rsidRPr="007259E2">
        <w:t>σημειώνει ότι από την αύξηση κατά 116 εκατομμύρια EUR σε σύγκριση με τον προϋπολογισμό του 2024, η αύξηση κατά 98 εκατομμύρια EUR οφείλεται σε καταστατικές υποχρεώσεις, κυρίως για αναπροσαρμογή των μισθών του προσωπικού (54,7 εκατομμύρια EUR) και δαπάνες συνδεόμενες με υπηρεσίες κοινοβουλευτικών βοηθών (33,2 εκατομμύρια EUR)· σημειώνει ότι η αύξηση για τις μη καταστατικές δαπάνες στο διάστημα μεταξύ του 2024 και του 2025 δεν υπερβαίνει το 2 %·</w:t>
      </w:r>
    </w:p>
    <w:p w:rsidR="000A3F86" w:rsidRPr="007259E2" w:rsidRDefault="007259E2" w:rsidP="007259E2">
      <w:pPr>
        <w:pStyle w:val="action0"/>
        <w:ind w:left="570" w:hanging="570"/>
      </w:pPr>
      <w:r w:rsidRPr="007259E2">
        <w:t>5.</w:t>
      </w:r>
      <w:r w:rsidRPr="007259E2">
        <w:tab/>
      </w:r>
      <w:r w:rsidR="000A3F86" w:rsidRPr="007259E2">
        <w:t>σημειώνει ότι το Κοινοβούλιο δεν ζητεί πρόσθετες θέσεις για το 2025·</w:t>
      </w:r>
    </w:p>
    <w:p w:rsidR="000A3F86" w:rsidRPr="007259E2" w:rsidRDefault="007259E2" w:rsidP="007259E2">
      <w:pPr>
        <w:pStyle w:val="action0"/>
        <w:ind w:left="570" w:hanging="570"/>
      </w:pPr>
      <w:r w:rsidRPr="007259E2">
        <w:t>6.</w:t>
      </w:r>
      <w:r w:rsidRPr="007259E2">
        <w:tab/>
      </w:r>
      <w:r w:rsidR="000A3F86" w:rsidRPr="007259E2">
        <w:t>σημειώνει ότι οι 98 μόνιμες θέσεις που δημιουργήθηκαν στον προϋπολογισμό του 2023 προκειμένου να διευκολυνθεί η εφαρμογή του άρθρου 29 παράγραφος 4 του κανονισμού υπηρεσιακής κατάστασης έχουν αφαιρεθεί από τον πίνακα προσωπικού του 2025·</w:t>
      </w:r>
    </w:p>
    <w:p w:rsidR="000A3F86" w:rsidRPr="007259E2" w:rsidRDefault="000A3F86" w:rsidP="00C22DDF">
      <w:pPr>
        <w:pStyle w:val="Action"/>
        <w:widowControl/>
        <w:tabs>
          <w:tab w:val="clear" w:pos="357"/>
        </w:tabs>
        <w:ind w:left="567" w:hanging="567"/>
        <w:rPr>
          <w:b/>
          <w:i/>
          <w:szCs w:val="24"/>
        </w:rPr>
      </w:pPr>
      <w:r w:rsidRPr="007259E2">
        <w:rPr>
          <w:b/>
          <w:i/>
        </w:rPr>
        <w:t>Ομάδες επισκεπτών και κέντρα Europa Experience</w:t>
      </w:r>
    </w:p>
    <w:p w:rsidR="000A3F86" w:rsidRPr="007259E2" w:rsidRDefault="007259E2" w:rsidP="007259E2">
      <w:pPr>
        <w:pStyle w:val="action0"/>
        <w:ind w:left="570" w:hanging="570"/>
      </w:pPr>
      <w:r w:rsidRPr="007259E2">
        <w:t>7.</w:t>
      </w:r>
      <w:r w:rsidRPr="007259E2">
        <w:tab/>
      </w:r>
      <w:r w:rsidR="000A3F86" w:rsidRPr="007259E2">
        <w:t xml:space="preserve">υπενθυμίζει ότι οι ομάδες επισκεπτών, σε όλους τους τόπους εργασίας του Κοινοβουλίου, αποτελούν σημαντικό εργαλείο για τη σύνδεση των βουλευτών με τα </w:t>
      </w:r>
      <w:r w:rsidR="000A3F86" w:rsidRPr="007259E2">
        <w:lastRenderedPageBreak/>
        <w:t>μέλη της εκλογικής τους περιφέρειας, καθώς και για την επίδειξη του κοινοβουλευτικού έργου των βουλευτών στα εν λόγω μέλη· επισημαίνει ότι οι ομάδες επισκεπτών συμβάλλουν στην προώθηση του ρόλου του Κοινοβουλίου στους ψηφοφόρους σε ολόκληρη την Ένωση·</w:t>
      </w:r>
    </w:p>
    <w:p w:rsidR="000A3F86" w:rsidRPr="007259E2" w:rsidRDefault="007259E2" w:rsidP="007259E2">
      <w:pPr>
        <w:pStyle w:val="action0"/>
        <w:ind w:left="570" w:hanging="570"/>
      </w:pPr>
      <w:r w:rsidRPr="007259E2">
        <w:t>8.</w:t>
      </w:r>
      <w:r w:rsidRPr="007259E2">
        <w:tab/>
      </w:r>
      <w:r w:rsidR="000A3F86" w:rsidRPr="007259E2">
        <w:t xml:space="preserve">σημειώνει με ανησυχία τις αυξανόμενες δυσκολίες στη διοργάνωση τέτοιων επισκέψεων λόγω των οικονομικών περιορισμών του υφιστάμενου προϋπολογισμού, ιδίως για τους βουλευτές από κράτη μέλη που λόγω της γεωγραφικής τους θέσης βρίσκονται μακριά από τις Βρυξέλλες και το Στρασβούργο· ζητεί επαρκή χρηματοδότηση για την κάλυψη των δαπανών που σχετίζονται με τα ταξίδια και τη διαμονή, λαμβανομένων υπόψη των ποσοστών πληθωρισμού και των τιμών, τόσο στις χώρες προέλευσης των ομάδων επισκεπτών όσο και στις Βρυξέλλες και το Στρασβούργο· πιστεύει ότι η αύξηση κατά 10 % του κονδυλίου ανά άτομο είναι αναγκαία για την αντιμετώπιση των συνθηκών που επικρατούν· καλεί τον Γενικό Γραμματέα να προτείνει στους Κοσμήτορες, το συντομότερο δυνατόν, αύξηση των ανώτατων ορίων για τις δαπάνες που καλύπτονται, ώστε να συνεχιστεί και να ενισχυθεί η στήριξη των βουλευτών προκειμένου να διευκολύνονται οι ομάδες επισκεπτών να επισκεφθούν το Κοινοβούλιο· </w:t>
      </w:r>
    </w:p>
    <w:p w:rsidR="000A3F86" w:rsidRPr="007259E2" w:rsidRDefault="007259E2" w:rsidP="007259E2">
      <w:pPr>
        <w:pStyle w:val="action0"/>
        <w:ind w:left="570" w:hanging="570"/>
      </w:pPr>
      <w:r w:rsidRPr="007259E2">
        <w:t>9.</w:t>
      </w:r>
      <w:r w:rsidRPr="007259E2">
        <w:tab/>
      </w:r>
      <w:r w:rsidR="000A3F86" w:rsidRPr="007259E2">
        <w:t>σημειώνει με ανησυχία τους εσωτερικούς κανόνες που διέπουν τις ομάδες επισκεπτών των βουλευτών του Ευρωπαϊκού Κοινοβουλίου, οι οποίοι έχουν ως αποτέλεσμα το 30% του αρχικού κόστους να βαρύνει τους διαπιστευμένους κοινοβουλευτικούς βοηθούς (ΔΚΒ) σε ορισμένες περιπτώσεις· τονίζει το ανέφικτο των κανόνων αυτών και την οικονομική επιβάρυνση που αυτό συνεπάγεται για τους ΔΚΒ· καλεί το Προεδρείο να επανεξετάσει και να επικαιροποιήσει τους υφιστάμενους κανόνες που διέπουν τις επισκέψεις, ώστε να ξεπεραστούν οι δυσκολίες στον σχεδιασμό και τη διοργάνωση των επισκέψεων·</w:t>
      </w:r>
    </w:p>
    <w:p w:rsidR="000A3F86" w:rsidRPr="007259E2" w:rsidRDefault="007259E2" w:rsidP="007259E2">
      <w:pPr>
        <w:pStyle w:val="NormalHanging12a"/>
        <w:widowControl/>
        <w:ind w:left="570" w:hanging="570"/>
        <w:rPr>
          <w:szCs w:val="24"/>
        </w:rPr>
      </w:pPr>
      <w:r w:rsidRPr="007259E2">
        <w:rPr>
          <w:szCs w:val="24"/>
        </w:rPr>
        <w:t>10.</w:t>
      </w:r>
      <w:r w:rsidRPr="007259E2">
        <w:rPr>
          <w:szCs w:val="24"/>
        </w:rPr>
        <w:tab/>
      </w:r>
      <w:r w:rsidR="000A3F86" w:rsidRPr="007259E2">
        <w:t>υπενθυμίζει την απόφαση του Προεδρείου, της 25ης Νοεμβρίου 2019, για τη δημιουργία κέντρων Europa Experience σε όλα τα κράτη μέλη έως το τέλος του 2024· εκφράζει τη λύπη του για τις καθυστερήσεις στην έναρξη λειτουργίας κέντρων Europa Experience σε όλα τα κράτη μέλη πριν από τις ευρωπαϊκές εκλογές του 2024 και σημειώνει ότι επί του παρόντος λειτουργούν μόνο 12· αναγνωρίζει ότι ορισμένοι εξωτερικοί παράγοντες, συμπεριλαμβανομένης της αστάθειας των αγορών ακινήτων, έχουν συμβάλει σε αυτές τις καθυστερήσεις·</w:t>
      </w:r>
    </w:p>
    <w:p w:rsidR="000A3F86" w:rsidRPr="007259E2" w:rsidRDefault="007259E2" w:rsidP="007259E2">
      <w:pPr>
        <w:pStyle w:val="action0"/>
        <w:ind w:left="570" w:hanging="570"/>
      </w:pPr>
      <w:r w:rsidRPr="007259E2">
        <w:t>11.</w:t>
      </w:r>
      <w:r w:rsidRPr="007259E2">
        <w:tab/>
      </w:r>
      <w:r w:rsidR="000A3F86" w:rsidRPr="007259E2">
        <w:t>σημειώνει ότι το 2025 προβλέπεται να αρχίσουν να λειτουργούν πέντε κέντρα (στην Αθήνα, στο Ζάγκρεμπ, στη Χάγη, στη Σόφια και στη Βουδαπέστη)· ζητεί τη δημιουργία κέντρων Europa Experience σε όλα τα κράτη μέλη το συντομότερο δυνατόν· υπενθυμίζει ότι τα κέντρα Europa Experience θα πρέπει να δίνουν σε όλους τους πολίτες τη δυνατότητα να κατανοούν καλύτερα τη λειτουργία των θεσμικών οργάνων της Ένωσης·</w:t>
      </w:r>
    </w:p>
    <w:p w:rsidR="000A3F86" w:rsidRPr="007259E2" w:rsidRDefault="000A3F86" w:rsidP="00C22DDF">
      <w:pPr>
        <w:pStyle w:val="Action"/>
        <w:widowControl/>
        <w:tabs>
          <w:tab w:val="clear" w:pos="357"/>
        </w:tabs>
        <w:ind w:left="567" w:hanging="567"/>
        <w:rPr>
          <w:b/>
          <w:i/>
        </w:rPr>
      </w:pPr>
      <w:r w:rsidRPr="007259E2">
        <w:rPr>
          <w:b/>
          <w:i/>
        </w:rPr>
        <w:t>Υποδομές</w:t>
      </w:r>
    </w:p>
    <w:p w:rsidR="000A3F86" w:rsidRPr="007259E2" w:rsidRDefault="007259E2" w:rsidP="007259E2">
      <w:pPr>
        <w:widowControl/>
        <w:spacing w:after="240"/>
        <w:ind w:left="570" w:hanging="570"/>
        <w:rPr>
          <w:color w:val="000000" w:themeColor="text1"/>
        </w:rPr>
      </w:pPr>
      <w:r w:rsidRPr="007259E2">
        <w:rPr>
          <w:color w:val="000000" w:themeColor="text1"/>
        </w:rPr>
        <w:t>12.</w:t>
      </w:r>
      <w:r w:rsidRPr="007259E2">
        <w:rPr>
          <w:color w:val="000000" w:themeColor="text1"/>
        </w:rPr>
        <w:tab/>
      </w:r>
      <w:r w:rsidR="000A3F86" w:rsidRPr="007259E2">
        <w:rPr>
          <w:color w:val="000000" w:themeColor="text1"/>
        </w:rPr>
        <w:t>σημειώνει ότι η Επιτροπή Προϋπολογισμών ενέκρινε την απόφαση του Προεδρείου να προβεί σε ριζική ανακαίνιση του κτιρίου SPAAK, σύμφωνα με το ψήφισμά του της 19ης Οκτωβρίου 2022 σχετικά με τη θέση του Συμβουλίου επί του σχεδίου γενικού προϋπολογισμού της Ευρωπαϊκής Ένωσης για το οικονομικό έτος 2023</w:t>
      </w:r>
      <w:r w:rsidR="002C4155">
        <w:rPr>
          <w:rStyle w:val="FootnoteReference"/>
          <w:color w:val="000000" w:themeColor="text1"/>
        </w:rPr>
        <w:footnoteReference w:id="14"/>
      </w:r>
      <w:r w:rsidR="000A3F86" w:rsidRPr="007259E2">
        <w:rPr>
          <w:color w:val="000000" w:themeColor="text1"/>
        </w:rPr>
        <w:t>·</w:t>
      </w:r>
      <w:r w:rsidR="000A3F86" w:rsidRPr="007259E2">
        <w:t xml:space="preserve"> </w:t>
      </w:r>
      <w:r w:rsidR="000A3F86" w:rsidRPr="007259E2">
        <w:rPr>
          <w:color w:val="000000" w:themeColor="text1"/>
        </w:rPr>
        <w:t xml:space="preserve">τονίζει ότι το </w:t>
      </w:r>
      <w:r w:rsidR="000A3F86" w:rsidRPr="007259E2">
        <w:rPr>
          <w:color w:val="000000" w:themeColor="text1"/>
        </w:rPr>
        <w:lastRenderedPageBreak/>
        <w:t>σημερινό κτίριο έχει πολύ χαμηλή βαθμολογία ενεργειακής απόδοσης και δεν έχει την απαραίτητη ευελιξία ώστε να είναι κατάλληλο για τον επιδιωκόμενο σκοπό· επισημαίνει ότι το Κοινοβούλιο θα πρέπει να διαχειρίζεται το χαρτοφυλάκιο κτιρίων του όσον αφορά την ενεργειακή απόδοση και τη βιωσιμότητα, κατά τρόπο ώστε να ευθυγραμμίζεται με τους στόχους της Πράσινης Συμφωνίας· σημειώνει ότι η ανακαίνιση θα επιφέρει σημαντική εξοικονόμηση σε ετήσια βάση και μείωση των εκπομπών CO</w:t>
      </w:r>
      <w:r w:rsidR="000A3F86" w:rsidRPr="007259E2">
        <w:rPr>
          <w:color w:val="000000" w:themeColor="text1"/>
          <w:vertAlign w:val="subscript"/>
        </w:rPr>
        <w:t>2</w:t>
      </w:r>
      <w:r w:rsidR="000A3F86" w:rsidRPr="007259E2">
        <w:rPr>
          <w:color w:val="000000" w:themeColor="text1"/>
        </w:rPr>
        <w:t xml:space="preserve"> και θα συμβάλει στη συμμόρφωση με τις απαιτήσεις της αναθεωρημένης οδηγίας για την ενεργειακή απόδοση και της οδηγίας για την ενεργειακή απόδοση των κτιρίων· υπενθυμίζει στο Προεδρείο ότι απαιτείται διαφάνεια, κατάλληλη ενημέρωση και διαβούλευση με την Επιτροπή Προϋπολογισμών, συμπεριλαμβανομένης της πρόσβασης σε περιεκτικές λεπτομέρειες, πριν από την έγκριση οποιασδήποτε σημαντικής απόφασης σχετικά με ζητήματα που αφορούν κτίρια και χρηματοδότηση, λόγω των σημαντικών δημοσιονομικών επιπτώσεων τέτοιων αποφάσεων·</w:t>
      </w:r>
    </w:p>
    <w:p w:rsidR="000A3F86" w:rsidRPr="007259E2" w:rsidRDefault="007259E2" w:rsidP="007259E2">
      <w:pPr>
        <w:pStyle w:val="action0"/>
        <w:ind w:left="570" w:hanging="570"/>
      </w:pPr>
      <w:r w:rsidRPr="007259E2">
        <w:t>13.</w:t>
      </w:r>
      <w:r w:rsidRPr="007259E2">
        <w:tab/>
      </w:r>
      <w:r w:rsidR="000A3F86" w:rsidRPr="007259E2">
        <w:t xml:space="preserve">αναγνωρίζει ότι το 2025 χρειάζεται να αρχίσουν εργασίες ανακαίνισης του κτιρίου TREVES II, προκειμένου να διευκολυνθεί η προσωρινή στέγαση του προσωπικού που θα εκκενωθεί στο πλαίσιο των εργασιών ανακαίνισης του κτιρίου SPAAK· </w:t>
      </w:r>
    </w:p>
    <w:p w:rsidR="000A3F86" w:rsidRPr="007259E2" w:rsidRDefault="007259E2" w:rsidP="007259E2">
      <w:pPr>
        <w:pStyle w:val="NormalHanging12a"/>
        <w:widowControl/>
        <w:ind w:left="570" w:hanging="570"/>
        <w:rPr>
          <w:szCs w:val="24"/>
        </w:rPr>
      </w:pPr>
      <w:r w:rsidRPr="007259E2">
        <w:rPr>
          <w:szCs w:val="24"/>
        </w:rPr>
        <w:t>14.</w:t>
      </w:r>
      <w:r w:rsidRPr="007259E2">
        <w:rPr>
          <w:szCs w:val="24"/>
        </w:rPr>
        <w:tab/>
      </w:r>
      <w:r w:rsidR="000A3F86" w:rsidRPr="007259E2">
        <w:t>εκφράζει την ικανοποίησή του για την πολιτική του Κοινοβουλίου που αποσκοπεί στη διασφάλιση της πλήρως ανεξάρτητης χρήσης των κτιρίων του Κοινοβουλίου από άτομα με αναπηρία και υποστηρίζει περαιτέρω μέτρα και προσαρμογές που θα χρειαστούν εν προκειμένω· αναγνωρίζει ότι είναι απαραίτητο να βελτιωθεί η πρόσβαση των ατόμων με αναπηρία στο Ημικύκλιο της Ολομέλειας στο Στρασβούργο·</w:t>
      </w:r>
    </w:p>
    <w:p w:rsidR="000A3F86" w:rsidRPr="007259E2" w:rsidRDefault="007259E2" w:rsidP="007259E2">
      <w:pPr>
        <w:pStyle w:val="action0"/>
        <w:ind w:left="570" w:hanging="570"/>
      </w:pPr>
      <w:r w:rsidRPr="007259E2">
        <w:t>15.</w:t>
      </w:r>
      <w:r w:rsidRPr="007259E2">
        <w:tab/>
      </w:r>
      <w:r w:rsidR="000A3F86" w:rsidRPr="007259E2">
        <w:t xml:space="preserve">υπενθυμίζει ότι η διοίκηση του Κοινοβουλίου επεξεργάζεται επί του παρόντος μια ολοκληρωμένη προσέγγιση για τον καθορισμό της μακροπρόθεσμης κτιριακής πολιτικής του Κοινοβουλίου, λαμβάνοντας ιδίως υπόψη τις περιβαλλοντικές υποχρεώσεις, το κόστος και τους δημοσιονομικούς περιορισμούς, την ενεργειακή απόδοση και τη διαχείριση των αποβλήτων σύμφωνα με τη δέσμη μέτρων προσαρμογής στον στόχο του 55 %, και αναμένει να δημοσιοποιηθούν τα αποτελέσματα· ζητεί την αξιολόγηση των ευέλικτων τρόπων εργασίας που προέκυψαν ως συνέπεια της πανδημίας, αναγνωρίζοντας παράλληλα ότι η φυσική παρουσία για πολιτικές διαπραγματεύσεις, συζητήσεις ή ανταλλαγή απόψεων εξακολουθεί να είναι πιο αποδοτική για τη χάραξη δημόσιας πολιτικής· </w:t>
      </w:r>
    </w:p>
    <w:p w:rsidR="000A3F86" w:rsidRPr="007259E2" w:rsidRDefault="007259E2" w:rsidP="007259E2">
      <w:pPr>
        <w:pStyle w:val="action0"/>
        <w:ind w:left="570" w:hanging="570"/>
      </w:pPr>
      <w:r w:rsidRPr="007259E2">
        <w:t>16.</w:t>
      </w:r>
      <w:r w:rsidRPr="007259E2">
        <w:tab/>
      </w:r>
      <w:r w:rsidR="000A3F86" w:rsidRPr="007259E2">
        <w:t>σημειώνει την πρακτική της συγκεντρωτικής μεταφοράς υπολοίπων στο τέλος του έτους με στόχο τη συμβολή σε κτιριακά έργα· σημειώνει ότι αυτή η συγκεντρωτική μεταφορά υπολοίπων πραγματοποιείται συστηματικά στα ίδια κεφάλαια, στους ίδιους τίτλους και, συχνά, ακριβώς στις ίδιες γραμμές του προϋπολογισμού· σημειώνει ότι η ετήσια διαδικασία συγκεντρωτικής μεταφοράς υπολοίπων μπορεί επίσης να εξυπηρετεί άλλους σκοπούς, πέρα από τη χρηματοδότηση έργων σχετικών με κτίρια·</w:t>
      </w:r>
    </w:p>
    <w:p w:rsidR="000A3F86" w:rsidRPr="007259E2" w:rsidRDefault="007259E2" w:rsidP="007259E2">
      <w:pPr>
        <w:pStyle w:val="action0"/>
        <w:ind w:left="570" w:hanging="570"/>
      </w:pPr>
      <w:r w:rsidRPr="007259E2">
        <w:t>17.</w:t>
      </w:r>
      <w:r w:rsidRPr="007259E2">
        <w:tab/>
      </w:r>
      <w:r w:rsidR="000A3F86" w:rsidRPr="007259E2">
        <w:t xml:space="preserve">εκφράζει την ικανοποίησή του για τις συνεχιζόμενες προσπάθειες που καταβάλλει το Κοινοβούλιο και τα μέτρα που έχει εφαρμόσει προκειμένου να μειώσει το περιβαλλοντικό του αποτύπωμα· επαναλαμβάνει την πλήρη υποστήριξή του για την επίτευξη των στόχων του συστήματος οικολογικής διαχείρισης και οικολογικού ελέγχου (EMAS) του Κοινοβουλίου για το 2024· αναμένει από το Κοινοβούλιο να επιτύχει όλους τους στόχους των βασικών δεικτών επιδόσεων του EMAS έως το τέλος του 2024 και να προβεί στην έγκριση νέων φιλόδοξων στόχων για τα επόμενα έτη· σημειώνει ειδικότερα ορισμένα επιτεύγματα στο πλαίσιο αυτό, μεταξύ των οποίων η </w:t>
      </w:r>
      <w:r w:rsidR="000A3F86" w:rsidRPr="007259E2">
        <w:lastRenderedPageBreak/>
        <w:t>μείωση των εκπομπών διοξειδίου του άνθρακα κατά 44% από το 2006, η μείωση κατά 66% της χρήσης χαρτιού σε σύγκριση με το 2014, τα υψηλά ποσοστά μετάβασης στην εργασία με τα πόδια ή με ποδήλατο, οι σημαντικές μειώσεις στη χρήση πλαστικών υλών, και η επιτυχής ανάπτυξη υποδομών ανανεώσιμων πηγών ενέργειας, που είχε ως αποτέλεσμα την παραγωγή 458 </w:t>
      </w:r>
      <w:proofErr w:type="spellStart"/>
      <w:r w:rsidR="000A3F86" w:rsidRPr="007259E2">
        <w:t>MWh</w:t>
      </w:r>
      <w:proofErr w:type="spellEnd"/>
      <w:r w:rsidR="000A3F86" w:rsidRPr="007259E2">
        <w:t xml:space="preserve"> ηλιακής ενέργειας από το Κοινοβούλιο το 2023·</w:t>
      </w:r>
    </w:p>
    <w:p w:rsidR="000A3F86" w:rsidRPr="007259E2" w:rsidRDefault="007259E2" w:rsidP="007259E2">
      <w:pPr>
        <w:pStyle w:val="action0"/>
        <w:ind w:left="570" w:hanging="570"/>
      </w:pPr>
      <w:r w:rsidRPr="007259E2">
        <w:t>18.</w:t>
      </w:r>
      <w:r w:rsidRPr="007259E2">
        <w:tab/>
      </w:r>
      <w:r w:rsidR="000A3F86" w:rsidRPr="007259E2">
        <w:t>λαμβάνει υπόψη την αύξηση των τιμών των πιστωτικών μορίων ανθρακούχων εκπομπών· υπενθυμίζει ότι οι επενδύσεις ενεργειακής απόδοσης αποτελούν καλή μέθοδο για την επίτευξη της βέλτιστης σχέσης κόστους-οφέλους· επικροτεί και ενθαρρύνει τις επενδύσεις σε ανανεώσιμες πηγές ενέργειας και αυτές που αποσκοπούν στη σταδιακή κατάργηση των ορυκτών καυσίμων, ιδίως δεδομένης της ενεργειακής κρίσης και του γεωπολιτικού πλαισίου, και ζητεί τα στοιχεία αυτά να αντικατοπτρίζονται στην επόμενη πολυετή κτιριακή στρατηγική· σημειώνει ότι το Κοινοβούλιο έχει εγκαταστήσει και συνεχίζει να εγκαθιστά φωτοβολταϊκούς ηλιακούς συλλέκτες προκειμένου να αυξηθεί περαιτέρω το μερίδιο της ανανεώσιμης ενέργειας που παράγεται επιτόπου, ώστε να επιτευχθεί ο στόχος του 25 %· υπενθυμίζει ότι σχεδόν τα δύο τρίτα του αποτυπώματος άνθρακα του Κοινοβουλίου προέρχονται από τη μεταφορά ανθρώπων· εκφράζει την ικανοποίησή του για τις προσπάθειες του Κοινοβουλίου να μειώσει τις εκπομπές CO</w:t>
      </w:r>
      <w:r w:rsidR="000A3F86" w:rsidRPr="007259E2">
        <w:rPr>
          <w:vertAlign w:val="subscript"/>
        </w:rPr>
        <w:t>2</w:t>
      </w:r>
      <w:r w:rsidR="000A3F86" w:rsidRPr="007259E2">
        <w:t xml:space="preserve"> μέσω ναυλωμένων τρένων, και ζητεί να αυξηθεί η διαθεσιμότητα ώστε οι μετακινήσεις μεταξύ των τριών τόπων εργασίας να γίνονται πλέον σιδηροδρομικά·</w:t>
      </w:r>
    </w:p>
    <w:p w:rsidR="000A3F86" w:rsidRPr="007259E2" w:rsidRDefault="000A3F86" w:rsidP="00C22DDF">
      <w:pPr>
        <w:pStyle w:val="Action"/>
        <w:widowControl/>
        <w:tabs>
          <w:tab w:val="clear" w:pos="357"/>
        </w:tabs>
        <w:ind w:left="567" w:hanging="567"/>
        <w:rPr>
          <w:b/>
          <w:i/>
          <w:szCs w:val="24"/>
        </w:rPr>
      </w:pPr>
      <w:r w:rsidRPr="007259E2">
        <w:rPr>
          <w:b/>
          <w:i/>
        </w:rPr>
        <w:t>Άλλα ζητήματα</w:t>
      </w:r>
    </w:p>
    <w:p w:rsidR="000A3F86" w:rsidRPr="007259E2" w:rsidRDefault="007259E2" w:rsidP="007259E2">
      <w:pPr>
        <w:pStyle w:val="action0"/>
        <w:ind w:left="570" w:hanging="570"/>
      </w:pPr>
      <w:r w:rsidRPr="007259E2">
        <w:t>19.</w:t>
      </w:r>
      <w:r w:rsidRPr="007259E2">
        <w:tab/>
      </w:r>
      <w:r w:rsidR="000A3F86" w:rsidRPr="007259E2">
        <w:t>υπενθυμίζει τις συνεχιζόμενες προσπάθειες στις οποίες συμμετέχει η Ένωση για τη διαφύλαξη των ευρωπαϊκών αξιών και την υποστήριξη της ακεραιότητας των δημοκρατικών διαδικασιών μας· εκφράζει την ικανοποίησή του για τα μέτρα που έχουν ληφθεί από το Κοινοβούλιο για την επιδίωξη των στόχων αυτών, με την καταπολέμηση της παραπληροφόρησης και της χειραγώγησης των πληροφοριών· καλεί τη ΓΔ COMM και τα Γραφεία Συνδέσμου του Ευρωπαϊκού Κοινοβουλίου να συνεχίσουν να αναπτύσσουν και να εφαρμόζουν αποτελεσματικές στρατηγικές για την αντιμετώπιση της παραπληροφόρησης και της χειραγώγησης των πληροφοριών· επισημαίνει ότι ένα από τα ισχυρότερα όπλα κατά της παραπληροφόρησης είναι η θετική, τεκμηριωμένη επικοινωνία σχετικά με τις δραστηριότητες του Κοινοβουλίου·</w:t>
      </w:r>
    </w:p>
    <w:p w:rsidR="000A3F86" w:rsidRPr="007259E2" w:rsidRDefault="007259E2" w:rsidP="007259E2">
      <w:pPr>
        <w:pStyle w:val="action0"/>
        <w:ind w:left="570" w:hanging="570"/>
        <w:rPr>
          <w:rFonts w:eastAsia="Times New Roman"/>
        </w:rPr>
      </w:pPr>
      <w:r w:rsidRPr="007259E2">
        <w:rPr>
          <w:rFonts w:eastAsia="Times New Roman"/>
        </w:rPr>
        <w:t>20.</w:t>
      </w:r>
      <w:r w:rsidRPr="007259E2">
        <w:rPr>
          <w:rFonts w:eastAsia="Times New Roman"/>
        </w:rPr>
        <w:tab/>
      </w:r>
      <w:r w:rsidR="000A3F86" w:rsidRPr="007259E2">
        <w:t xml:space="preserve">υπενθυμίζει ότι το Κοινοβούλιο υποστηρίζει σθεναρά την πολυγλωσσία και προάγει τα δικαιώματα των εθνικών, περιφερειακών και γλωσσικών μειονοτήτων· θεωρεί ότι το Κοινοβούλιο μπορεί να συμβάλει ενεργά στην καταπολέμηση της παραπληροφόρησης ενισχύοντας την επικοινωνία του και στις γλώσσες των γλωσσικών μειονοτήτων και κοινοτήτων, κατά περίπτωση· ζητεί από το Προεδρείο να διευρύνει τον βαθμό παραγωγής και διάδοσης από το Κοινοβούλιο επικοινωνιακού υλικού </w:t>
      </w:r>
      <w:r w:rsidR="000A3F86" w:rsidRPr="007259E2">
        <w:rPr>
          <w:rFonts w:ascii="TimesNewRomanPSMT" w:hAnsi="TimesNewRomanPSMT"/>
        </w:rPr>
        <w:t>που συνάδει με τις ανάγκες των εθνικών, περιφερειακών και γλωσσικών μειονοτήτων στα κράτη μέλη</w:t>
      </w:r>
      <w:r w:rsidR="000A3F86" w:rsidRPr="007259E2">
        <w:t xml:space="preserve">, για παράδειγμα στα Γραφεία Συνδέσμου του Ευρωπαϊκού Κοινοβουλίου και στα κέντρα Europa Experience, ως μέσο για την αντιμετώπιση κάθε απόπειρας να υπονομευθεί η συνοχή με βάση γλωσσικές διαφορές· υπενθυμίζει σε αυτό το πλαίσιο τις προσπάθειες που έχουν καταβάλει τα Γραφεία Συνδέσμου του Ευρωπαϊκού Κοινοβουλίου στις χώρες της Βαλτικής με σκοπό την παροχή πληροφοριών στους πολίτες στην ουκρανική και τη ρωσική γλώσσα από την έναρξη του επιθετικού πολέμου της Ρωσίας στην Ουκρανία, με ιδιαίτερη έμφαση στην αντιμετώπιση της ρωσικής παραπληροφόρησης και προπαγάνδας, και ενθαρρύνει τη συνέχιση της στήριξης και της προώθησης τέτοιων δραστηριοτήτων στην ουκρανική και τη ρωσική </w:t>
      </w:r>
      <w:r w:rsidR="000A3F86" w:rsidRPr="007259E2">
        <w:lastRenderedPageBreak/>
        <w:t>γλώσσα· υπογραμμίζει τη σημασία της ενεργού συμμετοχής του Γραφείου Συνδέσμου του Ευρωπαϊκού Κοινοβουλίου στην υλοποίηση του έργου του Κοινοβουλίου για την αγωγή του πολίτη, μέσω πληθώρας προγραμμάτων με τη συμμετοχή των τοπικών κοινοτήτων, των σχολείων ή των πανεπιστημίων·</w:t>
      </w:r>
    </w:p>
    <w:p w:rsidR="000A3F86" w:rsidRPr="007259E2" w:rsidRDefault="007259E2" w:rsidP="007259E2">
      <w:pPr>
        <w:pStyle w:val="action0"/>
        <w:ind w:left="570" w:hanging="570"/>
      </w:pPr>
      <w:r w:rsidRPr="007259E2">
        <w:t>21.</w:t>
      </w:r>
      <w:r w:rsidRPr="007259E2">
        <w:tab/>
      </w:r>
      <w:r w:rsidR="000A3F86" w:rsidRPr="007259E2">
        <w:t xml:space="preserve">υπογραμμίζει τις δυνατότητες της τεχνητής νοημοσύνης (ΤΝ) όσον αφορά τη στήριξη των βουλευτών κατά την άσκηση της εντολής τους και διάφορες δραστηριότητες στο πλαίσιο της διοίκησης του Κοινοβουλίου· εκφράζει την ικανοποίησή του για το γεγονός ότι προβλέπονται ήδη για το 2025 έργα στον τομέα της ΤΝ· </w:t>
      </w:r>
    </w:p>
    <w:p w:rsidR="000A3F86" w:rsidRPr="007259E2" w:rsidRDefault="007259E2" w:rsidP="007259E2">
      <w:pPr>
        <w:pStyle w:val="action0"/>
        <w:ind w:left="570" w:hanging="570"/>
      </w:pPr>
      <w:r w:rsidRPr="007259E2">
        <w:t>22.</w:t>
      </w:r>
      <w:r w:rsidRPr="007259E2">
        <w:tab/>
      </w:r>
      <w:r w:rsidR="000A3F86" w:rsidRPr="007259E2">
        <w:t>υποστηρίζει την ανακοίνωση του Γενικού Γραμματέα στην Επιτροπή Προϋπολογισμών για μείωση του διοικητικού φόρτου και της γραφειοκρατίας για τους βουλευτές και τα γραφεία τους, επιταχύνοντας παράλληλα την ψηφιοποίηση των διαδικασιών εντός της διοίκησης· τονίζει ότι οι επενδύσεις στην ψηφιοποίηση παράγουν μεσοπρόθεσμα απόδοση των επενδύσεων και δεν θα πρέπει να καθυστερήσουν για λόγους βραχυπρόθεσμης εξοικονόμησης κόστους·</w:t>
      </w:r>
    </w:p>
    <w:p w:rsidR="000A3F86" w:rsidRPr="007259E2" w:rsidRDefault="007259E2" w:rsidP="007259E2">
      <w:pPr>
        <w:pStyle w:val="action0"/>
        <w:ind w:left="570" w:hanging="570"/>
      </w:pPr>
      <w:r w:rsidRPr="007259E2">
        <w:t>23.</w:t>
      </w:r>
      <w:r w:rsidRPr="007259E2">
        <w:tab/>
      </w:r>
      <w:r w:rsidR="000A3F86" w:rsidRPr="007259E2">
        <w:t>καλεί το Κοινοβούλιο να συνεχίσει να διενεργεί τακτικές αξιολογήσεις της οργάνωσης των αναγκών του σε προσωπικό, να βελτιστοποιήσει την κατανομή του προσωπικού στη Γραμματεία του Κοινοβουλίου, ιδίως με την ανακατανομή των κενών θέσεων μεταξύ των υπηρεσιών, προκειμένου να διατηρηθούν όσο το δυνατόν περισσότερο σταθερά επίπεδα στελέχωσης· καλεί τον Γενικό Γραμματέα να αξιολογήσει τους κινδύνους που συνδέονται με την απασχόληση αυξανόμενου αριθμού συμβασιούχων υπαλλήλων, συμπεριλαμβανομένου του κινδύνου να αναπτυχθεί μια διάρθρωση δύο ταχυτήτων όσον αφορά το προσωπικό στο Κοινοβούλιο· επιμένει ότι οι βασικές μόνιμες θέσεις θα πρέπει να καταλαμβάνονται από μόνιμο προσωπικό και τα αντίστοιχα καθήκοντα θα πρέπει να εκτελούνται από μόνιμο προσωπικό·</w:t>
      </w:r>
    </w:p>
    <w:p w:rsidR="000A3F86" w:rsidRPr="007259E2" w:rsidRDefault="007259E2" w:rsidP="007259E2">
      <w:pPr>
        <w:pStyle w:val="action0"/>
        <w:ind w:left="570" w:hanging="570"/>
      </w:pPr>
      <w:r w:rsidRPr="007259E2">
        <w:t>24.</w:t>
      </w:r>
      <w:r w:rsidRPr="007259E2">
        <w:tab/>
      </w:r>
      <w:r w:rsidR="000A3F86" w:rsidRPr="007259E2">
        <w:t>επισημαίνει ότι η διασφάλιση δίκαιης γεωγραφικής ισορροπίας αποτελεί σημαντικό μέρος της δημιουργίας μιας πραγματικά ευρωπαϊκής δημόσιας υπηρεσίας· παρατηρεί ότι, με την πάροδο των ετών, το Κοινοβούλιο έχει λάβει ορισμένα μέτρα εν προκειμένω· σημειώνει ότι υπάρχουν ακόμη περιθώρια βελτίωσης· σημειώνει ότι το Προεδρείο έχει δημιουργήσει το νομικό πλαίσιο για τη διοργάνωση ειδικών ανά εθνικότητα διαγωνισμών και αποφάσισε να διοργανώσει τον πρώτο από τους διαγωνισμούς αυτούς· επισημαίνει ότι οι διαγωνισμοί θα πρέπει πάντα να βασίζονται σε αξιοκρατικά κριτήρια·</w:t>
      </w:r>
    </w:p>
    <w:p w:rsidR="000A3F86" w:rsidRPr="007259E2" w:rsidRDefault="007259E2" w:rsidP="007259E2">
      <w:pPr>
        <w:pStyle w:val="action0"/>
        <w:ind w:left="570" w:hanging="570"/>
      </w:pPr>
      <w:r w:rsidRPr="007259E2">
        <w:t>25.</w:t>
      </w:r>
      <w:r w:rsidRPr="007259E2">
        <w:tab/>
      </w:r>
      <w:r w:rsidR="000A3F86" w:rsidRPr="007259E2">
        <w:t>σημειώνει τη διαδικασία που εφαρμόζεται ήδη για αιτήσεις από μέλη κοινοβουλευτικών οργάνων όσον αφορά την παροχή διερμηνείας στη διεθνή νοηματική γλώσσα κατά τη διάρκεια συνεδριάσεων· ζητεί από τον Γενικό Γραμματέα να συνεχίσει να διερευνά άλλες δυνατότητες, όπως τα εργαλεία μετατροπής ομιλίας σε κείμενο και αυτόματης μετάφρασης, με γνώμονα την τήρηση της αρχής της ίσης πρόσβασης για όλους τους πολίτες·</w:t>
      </w:r>
    </w:p>
    <w:p w:rsidR="000A3F86" w:rsidRPr="007259E2" w:rsidRDefault="007259E2" w:rsidP="007259E2">
      <w:pPr>
        <w:pStyle w:val="action0"/>
        <w:ind w:left="570" w:hanging="570"/>
      </w:pPr>
      <w:r w:rsidRPr="007259E2">
        <w:t>26.</w:t>
      </w:r>
      <w:r w:rsidRPr="007259E2">
        <w:tab/>
      </w:r>
      <w:r w:rsidR="000A3F86" w:rsidRPr="007259E2">
        <w:t>επαναλαμβάνει το αίτημά του, το οποίο έχει εγκριθεί επανειλημμένα σε επίπεδο Ολομέλειας, προς το Προεδρείο, να ξεκινήσει τις εργασίες για την αναθεώρηση του Κανονισμού ώστε να επιτρέπει στους βουλευτές να ασκούν το δικαίωμά τους να ψηφίζουν εξ αποστάσεως, κατά τη διάρκεια άδειας μητρότητας ή πατρότητας, κατά τη διάρκεια μακροχρόνιας ασθένειας ή σε περιπτώσεις ανωτέρας βίας, αξιοποιώντας τα διδάγματα που αντλήθηκαν κατά τη διάρκεια της πανδημίας σχετικά με τις τεχνικές πτυχές αυτής της μεθόδου ψηφοφορίας·</w:t>
      </w:r>
    </w:p>
    <w:p w:rsidR="000A3F86" w:rsidRPr="007259E2" w:rsidRDefault="007259E2" w:rsidP="007259E2">
      <w:pPr>
        <w:pStyle w:val="NormalHanging12a"/>
        <w:widowControl/>
        <w:ind w:left="570" w:hanging="570"/>
        <w:rPr>
          <w:szCs w:val="24"/>
        </w:rPr>
      </w:pPr>
      <w:r w:rsidRPr="007259E2">
        <w:rPr>
          <w:szCs w:val="24"/>
        </w:rPr>
        <w:lastRenderedPageBreak/>
        <w:t>27.</w:t>
      </w:r>
      <w:r w:rsidRPr="007259E2">
        <w:rPr>
          <w:szCs w:val="24"/>
        </w:rPr>
        <w:tab/>
      </w:r>
      <w:r w:rsidR="000A3F86" w:rsidRPr="007259E2">
        <w:t xml:space="preserve">επαναλαμβάνει το αίτημά του προς το Προεδρείο να διασφαλίσει ότι όλα τα εστιατόρια εντός του Κοινοβουλίου τηρούν τα πρότυπα ποιότητας, αποδοτικότητας και οικονομικής </w:t>
      </w:r>
      <w:proofErr w:type="spellStart"/>
      <w:r w:rsidR="000A3F86" w:rsidRPr="007259E2">
        <w:t>προσιτότητας</w:t>
      </w:r>
      <w:proofErr w:type="spellEnd"/>
      <w:r w:rsidR="000A3F86" w:rsidRPr="007259E2">
        <w:t>, και να επαναφέρουν τον έλεγχο της πρόσβασης στις εισόδους του εστιατορίου αυτοεξυπηρέτησης κατά τις ώρες αιχμής· εκφράζει την ικανοποίησή του για την εφαρμογή ελέγχων πρόσβασης στην είσοδο του εστιατορίου αυτοεξυπηρέτησης του κτιρίου WEISS στο Στρασβούργο κατά τη διάρκεια των περιόδων συνόδου·</w:t>
      </w:r>
    </w:p>
    <w:p w:rsidR="000232FA" w:rsidRPr="007259E2" w:rsidRDefault="007259E2" w:rsidP="007259E2">
      <w:pPr>
        <w:pStyle w:val="NormalHanging12a"/>
        <w:widowControl/>
        <w:ind w:left="570" w:hanging="570"/>
        <w:rPr>
          <w:szCs w:val="24"/>
        </w:rPr>
      </w:pPr>
      <w:r w:rsidRPr="007259E2">
        <w:rPr>
          <w:szCs w:val="24"/>
        </w:rPr>
        <w:t>28.</w:t>
      </w:r>
      <w:r w:rsidRPr="007259E2">
        <w:rPr>
          <w:szCs w:val="24"/>
        </w:rPr>
        <w:tab/>
      </w:r>
      <w:r w:rsidR="000232FA" w:rsidRPr="007259E2">
        <w:rPr>
          <w:szCs w:val="24"/>
        </w:rPr>
        <w:t xml:space="preserve">ζητεί την ανάληψη ειλικρινούς δέσμευσης για την υλοποίηση της αρχής της πολυγλωσσίας· </w:t>
      </w:r>
    </w:p>
    <w:p w:rsidR="000A3F86" w:rsidRPr="007259E2" w:rsidRDefault="007259E2" w:rsidP="007259E2">
      <w:pPr>
        <w:pStyle w:val="action0"/>
        <w:ind w:left="570" w:hanging="570"/>
      </w:pPr>
      <w:r w:rsidRPr="007259E2">
        <w:t>29.</w:t>
      </w:r>
      <w:r w:rsidRPr="007259E2">
        <w:tab/>
      </w:r>
      <w:r w:rsidR="000A3F86" w:rsidRPr="007259E2">
        <w:rPr>
          <w:rStyle w:val="doceo-font-family-base"/>
          <w:shd w:val="clear" w:color="auto" w:fill="FFFFFF"/>
        </w:rPr>
        <w:t>επαναλαμβάνει το αίτημά του προς τη Διάσκεψη των Προέδρων και το Προεδρείο για αναθεώρηση των διατάξεων εφαρμογής που διέπουν τις εργασίες των αντιπροσωπειών και των αποστολών εκτός Ένωσης· υπογραμμίζει ότι μια τέτοια αναθεώρηση θα πρέπει να εξετάσει τη δυνατότητα των ΔΚΒ, υπό ορισμένες προϋποθέσεις, να συνοδεύουν βουλευτές σε επίσημες αντιπροσωπείες και αποστολές του Κοινοβουλίου·</w:t>
      </w:r>
      <w:r w:rsidR="000A3F86" w:rsidRPr="007259E2">
        <w:t xml:space="preserve"> επισημαίνει ότι η αλλαγή αυτή δεν θα επιφέρει καμία μεταβολή του κονδυλίου και θα είναι δημοσιονομικά ουδέτερη·</w:t>
      </w:r>
    </w:p>
    <w:p w:rsidR="000A3F86" w:rsidRPr="007259E2" w:rsidRDefault="007259E2" w:rsidP="007259E2">
      <w:pPr>
        <w:pStyle w:val="action0"/>
        <w:ind w:left="570" w:hanging="570"/>
        <w:rPr>
          <w:snapToGrid w:val="0"/>
        </w:rPr>
      </w:pPr>
      <w:r w:rsidRPr="007259E2">
        <w:rPr>
          <w:snapToGrid w:val="0"/>
        </w:rPr>
        <w:t>30.</w:t>
      </w:r>
      <w:r w:rsidRPr="007259E2">
        <w:rPr>
          <w:snapToGrid w:val="0"/>
        </w:rPr>
        <w:tab/>
      </w:r>
      <w:r w:rsidR="000A3F86" w:rsidRPr="007259E2">
        <w:rPr>
          <w:rStyle w:val="doceo-font-family-base"/>
          <w:shd w:val="clear" w:color="auto" w:fill="FFFFFF"/>
        </w:rPr>
        <w:t>αναμένει</w:t>
      </w:r>
      <w:r w:rsidR="000A3F86" w:rsidRPr="007259E2">
        <w:t xml:space="preserve"> </w:t>
      </w:r>
      <w:r w:rsidR="000A3F86" w:rsidRPr="007259E2">
        <w:rPr>
          <w:rFonts w:ascii="TimesNewRomanPSMT" w:hAnsi="TimesNewRomanPSMT"/>
        </w:rPr>
        <w:t>ότι τα αιτήματα που ψηφίστηκαν από την Ολομέλεια θα πρέπει να υλοποιηθούν</w:t>
      </w:r>
      <w:r w:rsidR="000A3F86" w:rsidRPr="007259E2">
        <w:t xml:space="preserve"> ως ζήτημα υψηλής προτεραιότητας</w:t>
      </w:r>
      <w:r w:rsidR="000A3F86" w:rsidRPr="007259E2">
        <w:rPr>
          <w:rFonts w:ascii="TimesNewRomanPSMT" w:hAnsi="TimesNewRomanPSMT"/>
        </w:rPr>
        <w:t>·</w:t>
      </w:r>
    </w:p>
    <w:p w:rsidR="000A3F86" w:rsidRPr="007259E2" w:rsidRDefault="000A3F86" w:rsidP="00C22DDF">
      <w:pPr>
        <w:widowControl/>
        <w:spacing w:after="240"/>
        <w:ind w:left="567" w:hanging="567"/>
        <w:jc w:val="center"/>
        <w:rPr>
          <w:szCs w:val="24"/>
        </w:rPr>
      </w:pPr>
      <w:r w:rsidRPr="007259E2">
        <w:t>°</w:t>
      </w:r>
    </w:p>
    <w:p w:rsidR="000A3F86" w:rsidRPr="007259E2" w:rsidRDefault="000A3F86" w:rsidP="00C22DDF">
      <w:pPr>
        <w:widowControl/>
        <w:spacing w:after="240"/>
        <w:ind w:left="567" w:hanging="567"/>
        <w:jc w:val="center"/>
        <w:rPr>
          <w:szCs w:val="24"/>
        </w:rPr>
      </w:pPr>
      <w:r w:rsidRPr="007259E2">
        <w:t>°         °</w:t>
      </w:r>
    </w:p>
    <w:p w:rsidR="000A3F86" w:rsidRPr="007259E2" w:rsidRDefault="007259E2" w:rsidP="007259E2">
      <w:pPr>
        <w:pStyle w:val="action0"/>
        <w:ind w:left="570" w:hanging="570"/>
      </w:pPr>
      <w:r w:rsidRPr="007259E2">
        <w:t>31.</w:t>
      </w:r>
      <w:r w:rsidRPr="007259E2">
        <w:tab/>
      </w:r>
      <w:r w:rsidR="000A3F86" w:rsidRPr="007259E2">
        <w:t>εγκρίνει την κατάσταση προβλέψεων για το οικονομικό έτος 2025·</w:t>
      </w:r>
    </w:p>
    <w:p w:rsidR="000A3F86" w:rsidRPr="007259E2" w:rsidRDefault="007259E2" w:rsidP="007259E2">
      <w:pPr>
        <w:widowControl/>
        <w:spacing w:after="240"/>
        <w:ind w:left="570" w:hanging="570"/>
      </w:pPr>
      <w:r w:rsidRPr="007259E2">
        <w:t>32.</w:t>
      </w:r>
      <w:r w:rsidRPr="007259E2">
        <w:tab/>
      </w:r>
      <w:r w:rsidR="000A3F86" w:rsidRPr="007259E2">
        <w:t xml:space="preserve">αναθέτει στην Πρόεδρό του να διαβιβάσει το παρόν ψήφισμα και την κατάσταση προβλέψεων των εσόδων και δαπανών στο </w:t>
      </w:r>
      <w:r w:rsidR="00AD068D" w:rsidRPr="007259E2">
        <w:t>Συμβούλιο και στην Επιτροπή.</w:t>
      </w:r>
    </w:p>
    <w:p w:rsidR="00C22DDF" w:rsidRPr="007259E2" w:rsidRDefault="00C22DDF" w:rsidP="00C22DDF">
      <w:pPr>
        <w:widowControl/>
        <w:spacing w:after="240"/>
        <w:ind w:left="567" w:hanging="567"/>
      </w:pPr>
    </w:p>
    <w:sectPr w:rsidR="00C22DDF" w:rsidRPr="007259E2" w:rsidSect="00AD06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F2A" w:rsidRPr="00AD068D" w:rsidRDefault="00B97F2A">
      <w:r w:rsidRPr="00AD068D">
        <w:separator/>
      </w:r>
    </w:p>
  </w:endnote>
  <w:endnote w:type="continuationSeparator" w:id="0">
    <w:p w:rsidR="00B97F2A" w:rsidRPr="00AD068D" w:rsidRDefault="00B97F2A">
      <w:r w:rsidRPr="00AD06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06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06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06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F2A" w:rsidRPr="00AD068D" w:rsidRDefault="00B97F2A">
      <w:r w:rsidRPr="00AD068D">
        <w:separator/>
      </w:r>
    </w:p>
  </w:footnote>
  <w:footnote w:type="continuationSeparator" w:id="0">
    <w:p w:rsidR="00B97F2A" w:rsidRPr="00AD068D" w:rsidRDefault="00B97F2A">
      <w:r w:rsidRPr="00AD068D">
        <w:continuationSeparator/>
      </w:r>
    </w:p>
  </w:footnote>
  <w:footnote w:id="1">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ΕΕ L 193 της 30.7.2018, σ. 1.</w:t>
      </w:r>
    </w:p>
  </w:footnote>
  <w:footnote w:id="2">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ΕΕ L 433 I της 22.12.2020, σ. 11.</w:t>
      </w:r>
    </w:p>
  </w:footnote>
  <w:footnote w:id="3">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ΕΕ C 444 I της 22.12.2020, σ. 4.</w:t>
      </w:r>
    </w:p>
  </w:footnote>
  <w:footnote w:id="4">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Κείμενα που εγκρίθηκαν, P9_TA(2020)0357.</w:t>
      </w:r>
    </w:p>
  </w:footnote>
  <w:footnote w:id="5">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ΕΕ L 433 I της 2</w:t>
      </w:r>
      <w:bookmarkStart w:id="8" w:name="_GoBack"/>
      <w:bookmarkEnd w:id="8"/>
      <w:r w:rsidRPr="00AD068D">
        <w:rPr>
          <w:sz w:val="24"/>
          <w:lang w:val="el-GR"/>
        </w:rPr>
        <w:t>2.12.2020, σ. 28.</w:t>
      </w:r>
    </w:p>
  </w:footnote>
  <w:footnote w:id="6">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Κείμενα που εγκρίθηκαν, P9_TA(2023)0335.</w:t>
      </w:r>
    </w:p>
  </w:footnote>
  <w:footnote w:id="7">
    <w:p w:rsidR="000A3F86" w:rsidRPr="00AD068D" w:rsidRDefault="000A3F86" w:rsidP="00AD068D">
      <w:pPr>
        <w:pStyle w:val="Action"/>
        <w:tabs>
          <w:tab w:val="clear" w:pos="357"/>
        </w:tabs>
        <w:spacing w:after="0"/>
        <w:ind w:left="567" w:hanging="567"/>
        <w:outlineLvl w:val="0"/>
      </w:pPr>
      <w:r w:rsidRPr="00AD068D">
        <w:rPr>
          <w:rStyle w:val="FootnoteReference"/>
        </w:rPr>
        <w:footnoteRef/>
      </w:r>
      <w:r w:rsidR="00AD068D" w:rsidRPr="00AD068D">
        <w:t xml:space="preserve"> </w:t>
      </w:r>
      <w:r w:rsidR="00AD068D" w:rsidRPr="00AD068D">
        <w:tab/>
      </w:r>
      <w:r w:rsidRPr="00AD068D">
        <w:t>ΕΕ C 177 της 17.5.2023, σ. 115.</w:t>
      </w:r>
    </w:p>
  </w:footnote>
  <w:footnote w:id="8">
    <w:p w:rsidR="000A3F86" w:rsidRPr="007259E2" w:rsidRDefault="000A3F86" w:rsidP="00AD068D">
      <w:pPr>
        <w:pStyle w:val="FootnoteText"/>
        <w:ind w:left="567" w:hanging="567"/>
        <w:rPr>
          <w:sz w:val="24"/>
          <w:szCs w:val="24"/>
          <w:lang w:val="el-GR"/>
        </w:rPr>
      </w:pPr>
      <w:r w:rsidRPr="00C22DDF">
        <w:rPr>
          <w:rStyle w:val="FootnoteReference"/>
          <w:sz w:val="24"/>
          <w:szCs w:val="24"/>
          <w:lang w:val="el-GR"/>
        </w:rPr>
        <w:footnoteRef/>
      </w:r>
      <w:r w:rsidR="00AD068D" w:rsidRPr="007259E2">
        <w:rPr>
          <w:rStyle w:val="Emphasis"/>
          <w:color w:val="333333"/>
          <w:sz w:val="24"/>
          <w:szCs w:val="24"/>
          <w:shd w:val="clear" w:color="auto" w:fill="FFFFFF"/>
          <w:lang w:val="el-GR"/>
        </w:rPr>
        <w:t xml:space="preserve"> </w:t>
      </w:r>
      <w:r w:rsidR="00AD068D" w:rsidRPr="007259E2">
        <w:rPr>
          <w:rStyle w:val="Emphasis"/>
          <w:color w:val="333333"/>
          <w:sz w:val="24"/>
          <w:szCs w:val="24"/>
          <w:shd w:val="clear" w:color="auto" w:fill="FFFFFF"/>
          <w:lang w:val="el-GR"/>
        </w:rPr>
        <w:tab/>
      </w:r>
      <w:r w:rsidRPr="00C22DDF">
        <w:rPr>
          <w:rStyle w:val="Emphasis"/>
          <w:i w:val="0"/>
          <w:color w:val="333333"/>
          <w:sz w:val="24"/>
          <w:szCs w:val="24"/>
          <w:shd w:val="clear" w:color="auto" w:fill="FFFFFF"/>
          <w:lang w:val="el-GR"/>
        </w:rPr>
        <w:t>ΕΕ</w:t>
      </w:r>
      <w:r w:rsidRPr="007259E2">
        <w:rPr>
          <w:rStyle w:val="Emphasis"/>
          <w:i w:val="0"/>
          <w:color w:val="333333"/>
          <w:sz w:val="24"/>
          <w:szCs w:val="24"/>
          <w:shd w:val="clear" w:color="auto" w:fill="FFFFFF"/>
          <w:lang w:val="el-GR"/>
        </w:rPr>
        <w:t xml:space="preserve"> </w:t>
      </w:r>
      <w:r w:rsidRPr="00524E59">
        <w:rPr>
          <w:rStyle w:val="Emphasis"/>
          <w:i w:val="0"/>
          <w:color w:val="333333"/>
          <w:sz w:val="24"/>
          <w:szCs w:val="24"/>
          <w:shd w:val="clear" w:color="auto" w:fill="FFFFFF"/>
          <w:lang w:val="fi-FI"/>
        </w:rPr>
        <w:t>L</w:t>
      </w:r>
      <w:r w:rsidRPr="007259E2">
        <w:rPr>
          <w:rStyle w:val="Emphasis"/>
          <w:i w:val="0"/>
          <w:color w:val="333333"/>
          <w:sz w:val="24"/>
          <w:szCs w:val="24"/>
          <w:shd w:val="clear" w:color="auto" w:fill="FFFFFF"/>
          <w:lang w:val="el-GR"/>
        </w:rPr>
        <w:t xml:space="preserve">, 2024/765, 29.2.2024, </w:t>
      </w:r>
      <w:r w:rsidRPr="00524E59">
        <w:rPr>
          <w:rStyle w:val="Emphasis"/>
          <w:i w:val="0"/>
          <w:color w:val="333333"/>
          <w:sz w:val="24"/>
          <w:szCs w:val="24"/>
          <w:shd w:val="clear" w:color="auto" w:fill="FFFFFF"/>
          <w:lang w:val="fi-FI"/>
        </w:rPr>
        <w:t>ELI</w:t>
      </w:r>
      <w:r w:rsidRPr="007259E2">
        <w:rPr>
          <w:rStyle w:val="Emphasis"/>
          <w:i w:val="0"/>
          <w:color w:val="333333"/>
          <w:sz w:val="24"/>
          <w:szCs w:val="24"/>
          <w:shd w:val="clear" w:color="auto" w:fill="FFFFFF"/>
          <w:lang w:val="el-GR"/>
        </w:rPr>
        <w:t xml:space="preserve">: </w:t>
      </w:r>
      <w:hyperlink r:id="rId1" w:history="1">
        <w:r w:rsidR="00C22DDF" w:rsidRPr="000232FA">
          <w:rPr>
            <w:rStyle w:val="Hyperlink"/>
            <w:rFonts w:ascii="Roboto" w:hAnsi="Roboto"/>
            <w:sz w:val="24"/>
            <w:szCs w:val="24"/>
            <w:shd w:val="clear" w:color="auto" w:fill="FFFFFF"/>
            <w:lang w:val="fi-FI"/>
          </w:rPr>
          <w:t>http</w:t>
        </w:r>
        <w:r w:rsidR="00C22DDF" w:rsidRPr="007259E2">
          <w:rPr>
            <w:rStyle w:val="Hyperlink"/>
            <w:rFonts w:ascii="Roboto" w:hAnsi="Roboto"/>
            <w:sz w:val="24"/>
            <w:szCs w:val="24"/>
            <w:shd w:val="clear" w:color="auto" w:fill="FFFFFF"/>
            <w:lang w:val="el-GR"/>
          </w:rPr>
          <w:t>://</w:t>
        </w:r>
        <w:r w:rsidR="00C22DDF" w:rsidRPr="000232FA">
          <w:rPr>
            <w:rStyle w:val="Hyperlink"/>
            <w:rFonts w:ascii="Roboto" w:hAnsi="Roboto"/>
            <w:sz w:val="24"/>
            <w:szCs w:val="24"/>
            <w:shd w:val="clear" w:color="auto" w:fill="FFFFFF"/>
            <w:lang w:val="fi-FI"/>
          </w:rPr>
          <w:t>data</w:t>
        </w:r>
        <w:r w:rsidR="00C22DDF" w:rsidRPr="007259E2">
          <w:rPr>
            <w:rStyle w:val="Hyperlink"/>
            <w:rFonts w:ascii="Roboto" w:hAnsi="Roboto"/>
            <w:sz w:val="24"/>
            <w:szCs w:val="24"/>
            <w:shd w:val="clear" w:color="auto" w:fill="FFFFFF"/>
            <w:lang w:val="el-GR"/>
          </w:rPr>
          <w:t>.</w:t>
        </w:r>
        <w:r w:rsidR="00C22DDF" w:rsidRPr="000232FA">
          <w:rPr>
            <w:rStyle w:val="Hyperlink"/>
            <w:rFonts w:ascii="Roboto" w:hAnsi="Roboto"/>
            <w:sz w:val="24"/>
            <w:szCs w:val="24"/>
            <w:shd w:val="clear" w:color="auto" w:fill="FFFFFF"/>
            <w:lang w:val="fi-FI"/>
          </w:rPr>
          <w:t>europa</w:t>
        </w:r>
        <w:r w:rsidR="00C22DDF" w:rsidRPr="007259E2">
          <w:rPr>
            <w:rStyle w:val="Hyperlink"/>
            <w:rFonts w:ascii="Roboto" w:hAnsi="Roboto"/>
            <w:sz w:val="24"/>
            <w:szCs w:val="24"/>
            <w:shd w:val="clear" w:color="auto" w:fill="FFFFFF"/>
            <w:lang w:val="el-GR"/>
          </w:rPr>
          <w:t>.</w:t>
        </w:r>
        <w:proofErr w:type="spellStart"/>
        <w:r w:rsidR="00C22DDF" w:rsidRPr="000232FA">
          <w:rPr>
            <w:rStyle w:val="Hyperlink"/>
            <w:rFonts w:ascii="Roboto" w:hAnsi="Roboto"/>
            <w:sz w:val="24"/>
            <w:szCs w:val="24"/>
            <w:shd w:val="clear" w:color="auto" w:fill="FFFFFF"/>
            <w:lang w:val="fi-FI"/>
          </w:rPr>
          <w:t>eu</w:t>
        </w:r>
        <w:proofErr w:type="spellEnd"/>
        <w:r w:rsidR="00C22DDF" w:rsidRPr="007259E2">
          <w:rPr>
            <w:rStyle w:val="Hyperlink"/>
            <w:rFonts w:ascii="Roboto" w:hAnsi="Roboto"/>
            <w:sz w:val="24"/>
            <w:szCs w:val="24"/>
            <w:shd w:val="clear" w:color="auto" w:fill="FFFFFF"/>
            <w:lang w:val="el-GR"/>
          </w:rPr>
          <w:t>/</w:t>
        </w:r>
        <w:r w:rsidR="00C22DDF" w:rsidRPr="000232FA">
          <w:rPr>
            <w:rStyle w:val="Hyperlink"/>
            <w:rFonts w:ascii="Roboto" w:hAnsi="Roboto"/>
            <w:sz w:val="24"/>
            <w:szCs w:val="24"/>
            <w:shd w:val="clear" w:color="auto" w:fill="FFFFFF"/>
            <w:lang w:val="fi-FI"/>
          </w:rPr>
          <w:t>eli</w:t>
        </w:r>
        <w:r w:rsidR="00C22DDF" w:rsidRPr="007259E2">
          <w:rPr>
            <w:rStyle w:val="Hyperlink"/>
            <w:rFonts w:ascii="Roboto" w:hAnsi="Roboto"/>
            <w:sz w:val="24"/>
            <w:szCs w:val="24"/>
            <w:shd w:val="clear" w:color="auto" w:fill="FFFFFF"/>
            <w:lang w:val="el-GR"/>
          </w:rPr>
          <w:t>/</w:t>
        </w:r>
        <w:proofErr w:type="spellStart"/>
        <w:r w:rsidR="00C22DDF" w:rsidRPr="000232FA">
          <w:rPr>
            <w:rStyle w:val="Hyperlink"/>
            <w:rFonts w:ascii="Roboto" w:hAnsi="Roboto"/>
            <w:sz w:val="24"/>
            <w:szCs w:val="24"/>
            <w:shd w:val="clear" w:color="auto" w:fill="FFFFFF"/>
            <w:lang w:val="fi-FI"/>
          </w:rPr>
          <w:t>reg</w:t>
        </w:r>
        <w:proofErr w:type="spellEnd"/>
        <w:r w:rsidR="00C22DDF" w:rsidRPr="007259E2">
          <w:rPr>
            <w:rStyle w:val="Hyperlink"/>
            <w:rFonts w:ascii="Roboto" w:hAnsi="Roboto"/>
            <w:sz w:val="24"/>
            <w:szCs w:val="24"/>
            <w:shd w:val="clear" w:color="auto" w:fill="FFFFFF"/>
            <w:lang w:val="el-GR"/>
          </w:rPr>
          <w:t>/2024/765/</w:t>
        </w:r>
        <w:proofErr w:type="spellStart"/>
        <w:r w:rsidR="00C22DDF" w:rsidRPr="000232FA">
          <w:rPr>
            <w:rStyle w:val="Hyperlink"/>
            <w:rFonts w:ascii="Roboto" w:hAnsi="Roboto"/>
            <w:sz w:val="24"/>
            <w:szCs w:val="24"/>
            <w:shd w:val="clear" w:color="auto" w:fill="FFFFFF"/>
            <w:lang w:val="fi-FI"/>
          </w:rPr>
          <w:t>oj</w:t>
        </w:r>
        <w:proofErr w:type="spellEnd"/>
      </w:hyperlink>
    </w:p>
  </w:footnote>
  <w:footnote w:id="9">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COM(2022)0223.</w:t>
      </w:r>
    </w:p>
  </w:footnote>
  <w:footnote w:id="10">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ΕΕ L 287 της 29.10.2013, σ. 15.</w:t>
      </w:r>
    </w:p>
  </w:footnote>
  <w:footnote w:id="11">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Κείμενα που εγκρίθηκαν, P9_TA(2023)0119.</w:t>
      </w:r>
    </w:p>
  </w:footnote>
  <w:footnote w:id="12">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Κείμενα που εγκρίθηκαν, P9_TA(2023)0367.</w:t>
      </w:r>
    </w:p>
  </w:footnote>
  <w:footnote w:id="13">
    <w:p w:rsidR="000A3F86" w:rsidRPr="00AD068D" w:rsidRDefault="000A3F86" w:rsidP="00AD068D">
      <w:pPr>
        <w:pStyle w:val="FootnoteText"/>
        <w:ind w:left="567" w:hanging="567"/>
        <w:rPr>
          <w:sz w:val="24"/>
          <w:lang w:val="el-GR"/>
        </w:rPr>
      </w:pPr>
      <w:r w:rsidRPr="00AD068D">
        <w:rPr>
          <w:rStyle w:val="FootnoteReference"/>
          <w:sz w:val="24"/>
          <w:lang w:val="el-GR"/>
        </w:rPr>
        <w:footnoteRef/>
      </w:r>
      <w:r w:rsidR="00AD068D" w:rsidRPr="00AD068D">
        <w:rPr>
          <w:sz w:val="24"/>
          <w:lang w:val="el-GR"/>
        </w:rPr>
        <w:t xml:space="preserve"> </w:t>
      </w:r>
      <w:r w:rsidR="00AD068D" w:rsidRPr="00AD068D">
        <w:rPr>
          <w:sz w:val="24"/>
          <w:lang w:val="el-GR"/>
        </w:rPr>
        <w:tab/>
      </w:r>
      <w:r w:rsidRPr="00AD068D">
        <w:rPr>
          <w:sz w:val="24"/>
          <w:lang w:val="el-GR"/>
        </w:rPr>
        <w:t>ΕΕ L 207 της 22.2.2024.</w:t>
      </w:r>
    </w:p>
  </w:footnote>
  <w:footnote w:id="14">
    <w:p w:rsidR="002C4155" w:rsidRPr="002C4155" w:rsidRDefault="002C4155" w:rsidP="002C4155">
      <w:pPr>
        <w:pStyle w:val="FootnoteText"/>
        <w:ind w:left="567" w:hanging="567"/>
        <w:rPr>
          <w:lang w:val="lt-LT"/>
        </w:rPr>
      </w:pPr>
      <w:r>
        <w:rPr>
          <w:rStyle w:val="FootnoteReference"/>
        </w:rPr>
        <w:footnoteRef/>
      </w:r>
      <w:r>
        <w:t xml:space="preserve"> </w:t>
      </w:r>
      <w:r>
        <w:rPr>
          <w:lang w:val="lt-LT"/>
        </w:rPr>
        <w:tab/>
      </w:r>
      <w:r w:rsidRPr="00AD068D">
        <w:rPr>
          <w:sz w:val="24"/>
          <w:lang w:val="el-GR"/>
        </w:rPr>
        <w:t>Κείμενα που εγκρίθηκαν, P9_TA(202</w:t>
      </w:r>
      <w:r>
        <w:rPr>
          <w:sz w:val="24"/>
          <w:lang w:val="lt-LT"/>
        </w:rPr>
        <w:t>2</w:t>
      </w:r>
      <w:r w:rsidRPr="00AD068D">
        <w:rPr>
          <w:sz w:val="24"/>
          <w:lang w:val="el-GR"/>
        </w:rPr>
        <w:t>)03</w:t>
      </w:r>
      <w:r>
        <w:rPr>
          <w:sz w:val="24"/>
          <w:lang w:val="lt-LT"/>
        </w:rPr>
        <w:t>66</w:t>
      </w:r>
      <w:r w:rsidRPr="00AD068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06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06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06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7FF77D5D"/>
    <w:multiLevelType w:val="hybridMultilevel"/>
    <w:tmpl w:val="0C186E76"/>
    <w:lvl w:ilvl="0" w:tplc="074890B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EL"/>
    <w:docVar w:name="dvnumam" w:val="0"/>
    <w:docVar w:name="dvpe" w:val="759.633"/>
    <w:docVar w:name="dvrapporteur" w:val="Εισηγήτρια: "/>
    <w:docVar w:name="dvtitre" w:val="Ψήφισμα του Ευρωπαϊκού Κοινοβουλίου σχετικά με την κατάσταση προβλέψεων των εσόδων και δαπανών του Ευρωπαϊκού Κοινοβουλίου για το οικονομικό έτος 2025(2023/2221(BUI))"/>
  </w:docVars>
  <w:rsids>
    <w:rsidRoot w:val="00B97F2A"/>
    <w:rsid w:val="00002272"/>
    <w:rsid w:val="000232FA"/>
    <w:rsid w:val="00064002"/>
    <w:rsid w:val="000677B9"/>
    <w:rsid w:val="000831BA"/>
    <w:rsid w:val="000A3F86"/>
    <w:rsid w:val="000A42CC"/>
    <w:rsid w:val="000E7DD9"/>
    <w:rsid w:val="0010095E"/>
    <w:rsid w:val="00125B37"/>
    <w:rsid w:val="00187494"/>
    <w:rsid w:val="001F32AE"/>
    <w:rsid w:val="002767FF"/>
    <w:rsid w:val="00286187"/>
    <w:rsid w:val="002B18FE"/>
    <w:rsid w:val="002B5493"/>
    <w:rsid w:val="002C41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E59"/>
    <w:rsid w:val="00545827"/>
    <w:rsid w:val="00560270"/>
    <w:rsid w:val="005C2568"/>
    <w:rsid w:val="006037C0"/>
    <w:rsid w:val="006631B6"/>
    <w:rsid w:val="00680577"/>
    <w:rsid w:val="006F74FA"/>
    <w:rsid w:val="007259E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68D"/>
    <w:rsid w:val="00AE0928"/>
    <w:rsid w:val="00AF3B82"/>
    <w:rsid w:val="00B12E95"/>
    <w:rsid w:val="00B22876"/>
    <w:rsid w:val="00B558F0"/>
    <w:rsid w:val="00B97F2A"/>
    <w:rsid w:val="00BD48FE"/>
    <w:rsid w:val="00BD7BD8"/>
    <w:rsid w:val="00BE6ADC"/>
    <w:rsid w:val="00C05BFE"/>
    <w:rsid w:val="00C22DDF"/>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E0EE9"/>
  <w15:chartTrackingRefBased/>
  <w15:docId w15:val="{05A02566-AF09-4E45-B842-A3A81300A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A3F86"/>
    <w:rPr>
      <w:b/>
    </w:rPr>
  </w:style>
  <w:style w:type="paragraph" w:customStyle="1" w:styleId="NormalHanging12a">
    <w:name w:val="NormalHanging12a"/>
    <w:basedOn w:val="Normal"/>
    <w:link w:val="NormalHanging12aChar"/>
    <w:rsid w:val="000A3F86"/>
    <w:pPr>
      <w:spacing w:after="240"/>
      <w:ind w:left="567" w:hanging="567"/>
    </w:pPr>
  </w:style>
  <w:style w:type="character" w:customStyle="1" w:styleId="NormalHanging12aChar">
    <w:name w:val="NormalHanging12a Char"/>
    <w:basedOn w:val="DefaultParagraphFont"/>
    <w:link w:val="NormalHanging12a"/>
    <w:locked/>
    <w:rsid w:val="000A3F86"/>
    <w:rPr>
      <w:sz w:val="24"/>
      <w:lang w:val="el-GR"/>
    </w:rPr>
  </w:style>
  <w:style w:type="paragraph" w:customStyle="1" w:styleId="EPComma">
    <w:name w:val="EPComma"/>
    <w:basedOn w:val="Normal"/>
    <w:rsid w:val="000A3F86"/>
    <w:pPr>
      <w:spacing w:before="480" w:after="240"/>
    </w:pPr>
  </w:style>
  <w:style w:type="paragraph" w:customStyle="1" w:styleId="FootnoteReference1">
    <w:name w:val="Footnote Reference1"/>
    <w:basedOn w:val="Normal"/>
    <w:link w:val="FootnoteReference"/>
    <w:rsid w:val="000A3F86"/>
    <w:pPr>
      <w:widowControl/>
      <w:spacing w:after="160" w:line="240" w:lineRule="exact"/>
    </w:pPr>
    <w:rPr>
      <w:sz w:val="20"/>
      <w:vertAlign w:val="superscript"/>
      <w:lang w:val="en-GB"/>
    </w:rPr>
  </w:style>
  <w:style w:type="paragraph" w:customStyle="1" w:styleId="Action">
    <w:name w:val="Action"/>
    <w:basedOn w:val="Normal"/>
    <w:rsid w:val="000A3F86"/>
    <w:pPr>
      <w:tabs>
        <w:tab w:val="left" w:pos="357"/>
      </w:tabs>
      <w:spacing w:after="240"/>
      <w:ind w:left="357" w:hanging="357"/>
    </w:pPr>
  </w:style>
  <w:style w:type="paragraph" w:customStyle="1" w:styleId="action0">
    <w:name w:val="action"/>
    <w:basedOn w:val="Normal"/>
    <w:rsid w:val="000A3F86"/>
    <w:pPr>
      <w:widowControl/>
      <w:spacing w:after="240"/>
      <w:ind w:left="357" w:hanging="357"/>
    </w:pPr>
    <w:rPr>
      <w:rFonts w:eastAsiaTheme="minorHAnsi"/>
      <w:szCs w:val="24"/>
    </w:rPr>
  </w:style>
  <w:style w:type="character" w:customStyle="1" w:styleId="doceo-font-family-base">
    <w:name w:val="doceo-font-family-base"/>
    <w:basedOn w:val="DefaultParagraphFont"/>
    <w:rsid w:val="000A3F86"/>
  </w:style>
  <w:style w:type="character" w:styleId="Emphasis">
    <w:name w:val="Emphasis"/>
    <w:basedOn w:val="DefaultParagraphFont"/>
    <w:uiPriority w:val="20"/>
    <w:qFormat/>
    <w:rsid w:val="000A3F86"/>
    <w:rPr>
      <w:i/>
      <w:iCs/>
    </w:rPr>
  </w:style>
  <w:style w:type="paragraph" w:styleId="BalloonText">
    <w:name w:val="Balloon Text"/>
    <w:basedOn w:val="Normal"/>
    <w:link w:val="BalloonTextChar"/>
    <w:rsid w:val="00C22DDF"/>
    <w:rPr>
      <w:rFonts w:ascii="Segoe UI" w:hAnsi="Segoe UI" w:cs="Segoe UI"/>
      <w:sz w:val="18"/>
      <w:szCs w:val="18"/>
    </w:rPr>
  </w:style>
  <w:style w:type="character" w:customStyle="1" w:styleId="BalloonTextChar">
    <w:name w:val="Balloon Text Char"/>
    <w:basedOn w:val="DefaultParagraphFont"/>
    <w:link w:val="BalloonText"/>
    <w:rsid w:val="00C22DDF"/>
    <w:rPr>
      <w:rFonts w:ascii="Segoe UI" w:hAnsi="Segoe UI" w:cs="Segoe UI"/>
      <w:sz w:val="18"/>
      <w:szCs w:val="18"/>
      <w:lang w:val="el-GR"/>
    </w:rPr>
  </w:style>
  <w:style w:type="character" w:styleId="Hyperlink">
    <w:name w:val="Hyperlink"/>
    <w:basedOn w:val="DefaultParagraphFont"/>
    <w:rsid w:val="00C22DDF"/>
    <w:rPr>
      <w:color w:val="0563C1" w:themeColor="hyperlink"/>
      <w:u w:val="single"/>
    </w:rPr>
  </w:style>
  <w:style w:type="character" w:styleId="FollowedHyperlink">
    <w:name w:val="FollowedHyperlink"/>
    <w:basedOn w:val="DefaultParagraphFont"/>
    <w:rsid w:val="00C22DDF"/>
    <w:rPr>
      <w:color w:val="954F72" w:themeColor="followedHyperlink"/>
      <w:u w:val="single"/>
    </w:rPr>
  </w:style>
  <w:style w:type="paragraph" w:styleId="ListParagraph">
    <w:name w:val="List Paragraph"/>
    <w:basedOn w:val="Normal"/>
    <w:uiPriority w:val="34"/>
    <w:qFormat/>
    <w:rsid w:val="00C22D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80B6C-86F1-45A9-B065-3A54D08C7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3486</Words>
  <Characters>20758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BINKEVICIUTE Aurelija</cp:lastModifiedBy>
  <cp:revision>3</cp:revision>
  <cp:lastPrinted>2004-11-19T15:42:00Z</cp:lastPrinted>
  <dcterms:created xsi:type="dcterms:W3CDTF">2024-04-25T12:05:00Z</dcterms:created>
  <dcterms:modified xsi:type="dcterms:W3CDTF">2024-10-16T13:37:00Z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A9-0180/2024</vt:lpwstr>
  </property>
  <property fmtid="{D5CDD505-2E9C-101B-9397-08002B2CF9AE}" pid="4" name="&lt;Type&gt;">
    <vt:lpwstr>RR</vt:lpwstr>
  </property>
</Properties>
</file>