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2354" w14:paraId="54BFC8A6" w14:textId="77777777" w:rsidTr="0010095E">
        <w:trPr>
          <w:trHeight w:hRule="exact" w:val="1418"/>
        </w:trPr>
        <w:tc>
          <w:tcPr>
            <w:tcW w:w="6804" w:type="dxa"/>
            <w:shd w:val="clear" w:color="auto" w:fill="auto"/>
            <w:vAlign w:val="center"/>
          </w:tcPr>
          <w:p w14:paraId="77337159" w14:textId="77777777" w:rsidR="00751A4A" w:rsidRPr="00832354" w:rsidRDefault="00CA7EEA" w:rsidP="0010095E">
            <w:pPr>
              <w:pStyle w:val="EPName"/>
            </w:pPr>
            <w:r w:rsidRPr="00832354">
              <w:t>Parlamento Europeo</w:t>
            </w:r>
          </w:p>
          <w:p w14:paraId="0B90559A" w14:textId="77777777" w:rsidR="00751A4A" w:rsidRPr="00832354" w:rsidRDefault="00817416" w:rsidP="00756632">
            <w:pPr>
              <w:pStyle w:val="EPTerm"/>
              <w:rPr>
                <w:rStyle w:val="HideTWBExt"/>
                <w:noProof w:val="0"/>
                <w:vanish w:val="0"/>
                <w:color w:val="auto"/>
              </w:rPr>
            </w:pPr>
            <w:r w:rsidRPr="00832354">
              <w:t>2019-2024</w:t>
            </w:r>
          </w:p>
        </w:tc>
        <w:tc>
          <w:tcPr>
            <w:tcW w:w="2268" w:type="dxa"/>
            <w:shd w:val="clear" w:color="auto" w:fill="auto"/>
          </w:tcPr>
          <w:p w14:paraId="3B30A892" w14:textId="77777777" w:rsidR="00751A4A" w:rsidRPr="00832354" w:rsidRDefault="00187494" w:rsidP="0010095E">
            <w:pPr>
              <w:pStyle w:val="EPLogo"/>
            </w:pPr>
            <w:r w:rsidRPr="00832354">
              <w:rPr>
                <w:noProof/>
                <w:lang w:val="en-GB"/>
              </w:rPr>
              <w:drawing>
                <wp:inline distT="0" distB="0" distL="0" distR="0" wp14:anchorId="2230F3DA" wp14:editId="4B07A9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815973" w14:textId="77777777" w:rsidR="00D058B8" w:rsidRPr="00832354" w:rsidRDefault="00D058B8" w:rsidP="004C5D52">
      <w:pPr>
        <w:pStyle w:val="LineTop"/>
      </w:pPr>
    </w:p>
    <w:p w14:paraId="6951861D" w14:textId="77777777" w:rsidR="00680577" w:rsidRPr="00832354" w:rsidRDefault="00CA7EEA" w:rsidP="00680577">
      <w:pPr>
        <w:pStyle w:val="EPBodyTA1"/>
      </w:pPr>
      <w:r w:rsidRPr="00832354">
        <w:t>TEXTOS APROBADOS</w:t>
      </w:r>
    </w:p>
    <w:p w14:paraId="7792F19B" w14:textId="77777777" w:rsidR="00D058B8" w:rsidRPr="00832354" w:rsidRDefault="00D058B8" w:rsidP="00D058B8">
      <w:pPr>
        <w:pStyle w:val="LineBottom"/>
      </w:pPr>
    </w:p>
    <w:p w14:paraId="5B4BB6CD" w14:textId="01F3A686" w:rsidR="00CA7EEA" w:rsidRPr="00832354" w:rsidRDefault="00CA7EEA" w:rsidP="00CA7EEA">
      <w:pPr>
        <w:pStyle w:val="ATHeading1"/>
      </w:pPr>
      <w:bookmarkStart w:id="0" w:name="TANumber"/>
      <w:r w:rsidRPr="00832354">
        <w:t>P9_</w:t>
      </w:r>
      <w:proofErr w:type="gramStart"/>
      <w:r w:rsidRPr="00832354">
        <w:t>TA(</w:t>
      </w:r>
      <w:proofErr w:type="gramEnd"/>
      <w:r w:rsidRPr="00832354">
        <w:t>2024)0</w:t>
      </w:r>
      <w:r w:rsidR="001522A1" w:rsidRPr="00832354">
        <w:t>373</w:t>
      </w:r>
      <w:bookmarkEnd w:id="0"/>
    </w:p>
    <w:p w14:paraId="02B0BB1B" w14:textId="77777777" w:rsidR="00CA7EEA" w:rsidRPr="00832354" w:rsidRDefault="00CA7EEA" w:rsidP="00CA7EEA">
      <w:pPr>
        <w:pStyle w:val="ATHeading2"/>
      </w:pPr>
      <w:bookmarkStart w:id="1" w:name="title"/>
      <w:r w:rsidRPr="00832354">
        <w:t>Estado de previsiones de ingresos y gastos para el ejercicio 2025 - Sección I - Parlamento Europeo</w:t>
      </w:r>
      <w:bookmarkEnd w:id="1"/>
    </w:p>
    <w:p w14:paraId="5106AC1C" w14:textId="77777777" w:rsidR="00CA7EEA" w:rsidRPr="00832354" w:rsidRDefault="00CA7EEA" w:rsidP="00CA7EEA">
      <w:pPr>
        <w:rPr>
          <w:i/>
          <w:vanish/>
        </w:rPr>
      </w:pPr>
      <w:r w:rsidRPr="00832354">
        <w:rPr>
          <w:i/>
        </w:rPr>
        <w:fldChar w:fldCharType="begin"/>
      </w:r>
      <w:r w:rsidRPr="00832354">
        <w:rPr>
          <w:i/>
        </w:rPr>
        <w:instrText xml:space="preserve"> TC"(</w:instrText>
      </w:r>
      <w:bookmarkStart w:id="2" w:name="DocNumber"/>
      <w:r w:rsidRPr="00832354">
        <w:rPr>
          <w:i/>
        </w:rPr>
        <w:instrText>A9-0180/2024</w:instrText>
      </w:r>
      <w:bookmarkEnd w:id="2"/>
      <w:r w:rsidRPr="00832354">
        <w:rPr>
          <w:i/>
        </w:rPr>
        <w:instrText xml:space="preserve"> - Ponente: Anna</w:instrText>
      </w:r>
      <w:r w:rsidRPr="00832354">
        <w:rPr>
          <w:i/>
        </w:rPr>
        <w:noBreakHyphen/>
        <w:instrText xml:space="preserve">Michelle </w:instrText>
      </w:r>
      <w:proofErr w:type="spellStart"/>
      <w:r w:rsidRPr="00832354">
        <w:rPr>
          <w:i/>
        </w:rPr>
        <w:instrText>Asimakopoulou</w:instrText>
      </w:r>
      <w:proofErr w:type="spellEnd"/>
      <w:r w:rsidRPr="00832354">
        <w:rPr>
          <w:i/>
        </w:rPr>
        <w:instrText xml:space="preserve">)"\l3 \n&gt; \* MERGEFORMAT </w:instrText>
      </w:r>
      <w:r w:rsidRPr="00832354">
        <w:rPr>
          <w:i/>
        </w:rPr>
        <w:fldChar w:fldCharType="end"/>
      </w:r>
    </w:p>
    <w:p w14:paraId="08059BF3" w14:textId="77777777" w:rsidR="00CA7EEA" w:rsidRPr="00832354" w:rsidRDefault="00CA7EEA" w:rsidP="00CA7EEA">
      <w:pPr>
        <w:rPr>
          <w:vanish/>
        </w:rPr>
      </w:pPr>
      <w:bookmarkStart w:id="3" w:name="Commission"/>
      <w:r w:rsidRPr="00832354">
        <w:rPr>
          <w:vanish/>
        </w:rPr>
        <w:t>Comisión de Presupuestos</w:t>
      </w:r>
      <w:bookmarkEnd w:id="3"/>
    </w:p>
    <w:p w14:paraId="5A3C615D" w14:textId="77777777" w:rsidR="00CA7EEA" w:rsidRPr="00832354" w:rsidRDefault="00CA7EEA" w:rsidP="00CA7EEA">
      <w:pPr>
        <w:rPr>
          <w:vanish/>
        </w:rPr>
      </w:pPr>
      <w:bookmarkStart w:id="4" w:name="PE"/>
      <w:r w:rsidRPr="00832354">
        <w:rPr>
          <w:vanish/>
        </w:rPr>
        <w:t>PE759.633</w:t>
      </w:r>
      <w:bookmarkEnd w:id="4"/>
    </w:p>
    <w:p w14:paraId="59700D71" w14:textId="77777777" w:rsidR="00CA7EEA" w:rsidRPr="00832354" w:rsidRDefault="00CA7EEA" w:rsidP="00CA7EEA">
      <w:pPr>
        <w:pStyle w:val="ATHeading3"/>
      </w:pPr>
      <w:bookmarkStart w:id="5" w:name="Sujet"/>
      <w:r w:rsidRPr="00832354">
        <w:t>Resolución del Parlamento Europeo, de 25 de abril de 2024, sobre el estado de previsiones de ingresos y gastos del Parlamento Europeo para el ejercicio 2025</w:t>
      </w:r>
      <w:bookmarkEnd w:id="5"/>
      <w:r w:rsidRPr="00832354">
        <w:t xml:space="preserve"> </w:t>
      </w:r>
      <w:bookmarkStart w:id="6" w:name="References"/>
      <w:r w:rsidRPr="00832354">
        <w:t>(2023/2221(BUI))</w:t>
      </w:r>
      <w:bookmarkEnd w:id="6"/>
    </w:p>
    <w:p w14:paraId="3AC08E07" w14:textId="77777777" w:rsidR="00CA7EEA" w:rsidRPr="00832354" w:rsidRDefault="00CA7EEA" w:rsidP="00CA7EEA"/>
    <w:p w14:paraId="0815848E" w14:textId="77777777" w:rsidR="006E6E7B" w:rsidRPr="00832354" w:rsidRDefault="006E6E7B" w:rsidP="00B5123C">
      <w:pPr>
        <w:pStyle w:val="EPComma"/>
        <w:spacing w:before="120"/>
        <w:rPr>
          <w:szCs w:val="24"/>
        </w:rPr>
      </w:pPr>
      <w:bookmarkStart w:id="7" w:name="TextBodyBegin"/>
      <w:bookmarkEnd w:id="7"/>
      <w:r w:rsidRPr="00832354">
        <w:rPr>
          <w:i/>
        </w:rPr>
        <w:t>El Parlamento Europeo</w:t>
      </w:r>
      <w:r w:rsidRPr="00832354">
        <w:t>,</w:t>
      </w:r>
    </w:p>
    <w:p w14:paraId="3C8ADF2D" w14:textId="77777777" w:rsidR="006E6E7B" w:rsidRPr="00832354" w:rsidRDefault="006E6E7B" w:rsidP="006E6E7B">
      <w:pPr>
        <w:pStyle w:val="NormalHanging12a"/>
        <w:rPr>
          <w:szCs w:val="24"/>
        </w:rPr>
      </w:pPr>
      <w:r w:rsidRPr="00832354">
        <w:t>–</w:t>
      </w:r>
      <w:r w:rsidRPr="00832354">
        <w:tab/>
        <w:t>Visto el artículo 314 del Tratado de Funcionamiento de la Unión Europea,</w:t>
      </w:r>
    </w:p>
    <w:p w14:paraId="36A0A5E7" w14:textId="77777777" w:rsidR="006E6E7B" w:rsidRPr="00832354" w:rsidRDefault="006E6E7B" w:rsidP="006E6E7B">
      <w:pPr>
        <w:pStyle w:val="NormalHanging12a"/>
        <w:rPr>
          <w:szCs w:val="24"/>
        </w:rPr>
      </w:pPr>
      <w:r w:rsidRPr="00832354">
        <w:t>–</w:t>
      </w:r>
      <w:r w:rsidRPr="00832354">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832354">
        <w:rPr>
          <w:rStyle w:val="FootnoteReference"/>
          <w:szCs w:val="24"/>
        </w:rPr>
        <w:footnoteReference w:id="1"/>
      </w:r>
      <w:r w:rsidRPr="00832354">
        <w:t>,</w:t>
      </w:r>
    </w:p>
    <w:p w14:paraId="4C095F9E" w14:textId="77777777" w:rsidR="006E6E7B" w:rsidRPr="00832354" w:rsidRDefault="006E6E7B" w:rsidP="006E6E7B">
      <w:pPr>
        <w:pStyle w:val="NormalHanging12a"/>
        <w:rPr>
          <w:szCs w:val="24"/>
        </w:rPr>
      </w:pPr>
      <w:r w:rsidRPr="00832354">
        <w:t>–</w:t>
      </w:r>
      <w:r w:rsidRPr="00832354">
        <w:tab/>
        <w:t>Vistos el Reglamento (UE, Euratom) 2020/2093 del Consejo, de 17 de diciembre de 2020, por el que se establece el marco financiero plurianual para el período 2021-2027</w:t>
      </w:r>
      <w:r w:rsidRPr="00832354">
        <w:rPr>
          <w:szCs w:val="24"/>
          <w:vertAlign w:val="superscript"/>
        </w:rPr>
        <w:footnoteReference w:id="2"/>
      </w:r>
      <w:r w:rsidRPr="00832354">
        <w:t xml:space="preserve"> y las declaraciones conjuntas acordadas en este contexto entre el Parlamento, el Consejo y la Comisión</w:t>
      </w:r>
      <w:r w:rsidRPr="00832354">
        <w:rPr>
          <w:szCs w:val="24"/>
          <w:vertAlign w:val="superscript"/>
        </w:rPr>
        <w:footnoteReference w:id="3"/>
      </w:r>
      <w:r w:rsidRPr="00832354">
        <w:t>, así como las declaraciones unilaterales correspondientes</w:t>
      </w:r>
      <w:r w:rsidRPr="00832354">
        <w:rPr>
          <w:szCs w:val="24"/>
          <w:vertAlign w:val="superscript"/>
        </w:rPr>
        <w:footnoteReference w:id="4"/>
      </w:r>
      <w:r w:rsidRPr="00832354">
        <w:t xml:space="preserve">, </w:t>
      </w:r>
    </w:p>
    <w:p w14:paraId="1EA5FBEE" w14:textId="77777777" w:rsidR="006E6E7B" w:rsidRPr="00832354" w:rsidRDefault="006E6E7B" w:rsidP="006E6E7B">
      <w:pPr>
        <w:pStyle w:val="NormalHanging12a"/>
        <w:rPr>
          <w:szCs w:val="24"/>
        </w:rPr>
      </w:pPr>
      <w:r w:rsidRPr="00832354">
        <w:t>–</w:t>
      </w:r>
      <w:r w:rsidRPr="00832354">
        <w:tab/>
        <w:t>Visto el Acuerdo Interinstitucional, de 16 de diciembre de 2020, entre el Parlamento Europeo, el Consejo de la Unión Europea y la C</w:t>
      </w:r>
      <w:bookmarkStart w:id="8" w:name="_GoBack"/>
      <w:bookmarkEnd w:id="8"/>
      <w:r w:rsidRPr="00832354">
        <w:t>omisión Europea sobre disciplina presupuestaria, cooperación en materia presupuestaria y buena gestión financiera, así como sobre nuevos recursos propios, en particular una hoja de ruta para la introducción de nuevos recursos propios</w:t>
      </w:r>
      <w:r w:rsidRPr="00832354">
        <w:rPr>
          <w:rStyle w:val="FootnoteReference"/>
          <w:szCs w:val="24"/>
        </w:rPr>
        <w:footnoteReference w:id="5"/>
      </w:r>
      <w:r w:rsidRPr="00832354">
        <w:t>,</w:t>
      </w:r>
    </w:p>
    <w:p w14:paraId="60BE9088" w14:textId="77777777" w:rsidR="006E6E7B" w:rsidRPr="00832354" w:rsidRDefault="006E6E7B" w:rsidP="006E6E7B">
      <w:pPr>
        <w:pStyle w:val="NormalHanging12a"/>
        <w:rPr>
          <w:szCs w:val="24"/>
        </w:rPr>
      </w:pPr>
      <w:r w:rsidRPr="00832354">
        <w:lastRenderedPageBreak/>
        <w:t>–</w:t>
      </w:r>
      <w:r w:rsidRPr="00832354">
        <w:tab/>
        <w:t>Visto su informe provisional</w:t>
      </w:r>
      <w:r w:rsidR="00B5123C" w:rsidRPr="00832354">
        <w:t>, de 3 de octubre de 2023,</w:t>
      </w:r>
      <w:r w:rsidRPr="00832354">
        <w:t xml:space="preserve"> sobre la propuesta de revisión intermedia del marco financiero plurianual 2021-2027</w:t>
      </w:r>
      <w:r w:rsidRPr="00832354">
        <w:rPr>
          <w:szCs w:val="24"/>
          <w:vertAlign w:val="superscript"/>
        </w:rPr>
        <w:footnoteReference w:id="6"/>
      </w:r>
      <w:r w:rsidRPr="00832354">
        <w:t>,</w:t>
      </w:r>
    </w:p>
    <w:p w14:paraId="09BB9EA8" w14:textId="77777777" w:rsidR="006E6E7B" w:rsidRPr="00832354" w:rsidRDefault="006E6E7B" w:rsidP="006E6E7B">
      <w:pPr>
        <w:pStyle w:val="NormalHanging12a"/>
        <w:rPr>
          <w:szCs w:val="24"/>
        </w:rPr>
      </w:pPr>
      <w:r w:rsidRPr="00832354">
        <w:t>–</w:t>
      </w:r>
      <w:r w:rsidRPr="00832354">
        <w:tab/>
        <w:t>Vista su Resolución, de 15 de diciembre de 2022, sobre la mejora del marco financiero plurianual 2021-2027: un presupuesto de la Unión resiliente y adaptado a los nuevos retos</w:t>
      </w:r>
      <w:r w:rsidRPr="00832354">
        <w:rPr>
          <w:szCs w:val="24"/>
          <w:vertAlign w:val="superscript"/>
        </w:rPr>
        <w:footnoteReference w:id="7"/>
      </w:r>
      <w:r w:rsidRPr="00832354">
        <w:t xml:space="preserve">, </w:t>
      </w:r>
    </w:p>
    <w:p w14:paraId="7DC2400F" w14:textId="77777777" w:rsidR="006E6E7B" w:rsidRPr="00832354" w:rsidRDefault="006E6E7B" w:rsidP="006E6E7B">
      <w:pPr>
        <w:pStyle w:val="NormalHanging12a"/>
        <w:rPr>
          <w:szCs w:val="24"/>
        </w:rPr>
      </w:pPr>
      <w:r w:rsidRPr="00832354">
        <w:t>–</w:t>
      </w:r>
      <w:r w:rsidRPr="00832354">
        <w:tab/>
        <w:t>Visto el Reglamento (UE, Euratom) 2024/765 del Consejo, de 29 de febrero de 2024, que modifica el Reglamento (UE, Euratom) 2020/2093 por el que se establece el marco financiero plurianual para el período 2021-2027</w:t>
      </w:r>
      <w:r w:rsidRPr="00832354">
        <w:rPr>
          <w:rStyle w:val="FootnoteReference"/>
          <w:szCs w:val="24"/>
        </w:rPr>
        <w:footnoteReference w:id="8"/>
      </w:r>
      <w:r w:rsidRPr="00832354">
        <w:t xml:space="preserve"> (revisión del MFP),</w:t>
      </w:r>
    </w:p>
    <w:p w14:paraId="20208606" w14:textId="77777777" w:rsidR="006E6E7B" w:rsidRPr="00832354" w:rsidRDefault="006E6E7B" w:rsidP="006E6E7B">
      <w:pPr>
        <w:pStyle w:val="NormalHanging12a"/>
        <w:widowControl/>
        <w:rPr>
          <w:szCs w:val="24"/>
        </w:rPr>
      </w:pPr>
      <w:r w:rsidRPr="00832354">
        <w:t>–</w:t>
      </w:r>
      <w:r w:rsidRPr="00832354">
        <w:tab/>
        <w:t>Vista la propuesta de la Comisión de Reglamento del Parlamento Europeo y del Consejo, de 16 de mayo de 2022, sobre las normas financieras aplicables al presupuesto general de la Unión</w:t>
      </w:r>
      <w:r w:rsidRPr="00832354">
        <w:rPr>
          <w:rStyle w:val="FootnoteReference"/>
          <w:szCs w:val="24"/>
        </w:rPr>
        <w:footnoteReference w:id="9"/>
      </w:r>
      <w:r w:rsidRPr="00832354">
        <w:t>,</w:t>
      </w:r>
    </w:p>
    <w:p w14:paraId="1AC2505A" w14:textId="77777777" w:rsidR="006E6E7B" w:rsidRPr="00832354" w:rsidRDefault="006E6E7B" w:rsidP="006E6E7B">
      <w:pPr>
        <w:pStyle w:val="NormalHanging12a"/>
        <w:rPr>
          <w:szCs w:val="24"/>
        </w:rPr>
      </w:pPr>
      <w:r w:rsidRPr="00832354">
        <w:t>–</w:t>
      </w:r>
      <w:r w:rsidRPr="00832354">
        <w:tab/>
        <w:t>Visto el Reglamento (UE, Euratom) n.º 1023/2013 del Parlamento Europeo y del Consejo, de 22 de octubre de 2013, por el que se modifica el Estatuto de los funcionarios de la Unión Europea y el régimen aplicable a los otros agentes de la Unión Europea</w:t>
      </w:r>
      <w:r w:rsidRPr="00832354">
        <w:rPr>
          <w:rStyle w:val="FootnoteReference"/>
          <w:szCs w:val="24"/>
        </w:rPr>
        <w:footnoteReference w:id="10"/>
      </w:r>
      <w:r w:rsidRPr="00832354">
        <w:t xml:space="preserve">, </w:t>
      </w:r>
    </w:p>
    <w:p w14:paraId="2B913AB4" w14:textId="77777777" w:rsidR="006E6E7B" w:rsidRPr="00832354" w:rsidRDefault="006E6E7B" w:rsidP="006E6E7B">
      <w:pPr>
        <w:pStyle w:val="NormalHanging12a"/>
        <w:rPr>
          <w:szCs w:val="24"/>
        </w:rPr>
      </w:pPr>
      <w:r w:rsidRPr="00832354">
        <w:t>–</w:t>
      </w:r>
      <w:r w:rsidRPr="00832354">
        <w:tab/>
        <w:t>Vista su Resolución, de 20 de abril de 2023, sobre el estado de previsiones de ingresos y gastos del Parlamento Europeo para el ejercicio 2024</w:t>
      </w:r>
      <w:r w:rsidRPr="00832354">
        <w:rPr>
          <w:rStyle w:val="FootnoteReference"/>
          <w:szCs w:val="24"/>
        </w:rPr>
        <w:footnoteReference w:id="11"/>
      </w:r>
      <w:r w:rsidRPr="00832354">
        <w:t xml:space="preserve">, </w:t>
      </w:r>
    </w:p>
    <w:p w14:paraId="7D85D318" w14:textId="77777777" w:rsidR="006E6E7B" w:rsidRPr="00832354" w:rsidRDefault="006E6E7B" w:rsidP="006E6E7B">
      <w:pPr>
        <w:pStyle w:val="NormalHanging12a"/>
        <w:rPr>
          <w:szCs w:val="24"/>
        </w:rPr>
      </w:pPr>
      <w:r w:rsidRPr="00832354">
        <w:t>–</w:t>
      </w:r>
      <w:r w:rsidRPr="00832354">
        <w:tab/>
        <w:t>Vista su Resolución, de 18 de octubre de 2023, sobre la Posición del Consejo sobre el proyecto de presupuesto general de la Unión Europea para el ejercicio 2024</w:t>
      </w:r>
      <w:r w:rsidRPr="00832354">
        <w:rPr>
          <w:rStyle w:val="FootnoteReference"/>
          <w:szCs w:val="24"/>
        </w:rPr>
        <w:footnoteReference w:id="12"/>
      </w:r>
      <w:r w:rsidRPr="00832354">
        <w:t xml:space="preserve">, </w:t>
      </w:r>
    </w:p>
    <w:p w14:paraId="12003968" w14:textId="77777777" w:rsidR="006E6E7B" w:rsidRPr="00832354" w:rsidRDefault="006E6E7B" w:rsidP="006E6E7B">
      <w:pPr>
        <w:pStyle w:val="NormalHanging12a"/>
        <w:rPr>
          <w:szCs w:val="24"/>
        </w:rPr>
      </w:pPr>
      <w:r w:rsidRPr="00832354">
        <w:t>–</w:t>
      </w:r>
      <w:r w:rsidRPr="00832354">
        <w:tab/>
        <w:t>Vistos el presupuesto general de la Unión Europea para el ejercicio 2024</w:t>
      </w:r>
      <w:r w:rsidRPr="00832354">
        <w:rPr>
          <w:rStyle w:val="FootnoteReference"/>
          <w:szCs w:val="24"/>
        </w:rPr>
        <w:footnoteReference w:id="13"/>
      </w:r>
      <w:r w:rsidRPr="00832354">
        <w:t xml:space="preserve"> y las declaraciones conjuntas acordadas entre el Parlamento, el Consejo y la Comisión que lo acompañan, </w:t>
      </w:r>
    </w:p>
    <w:p w14:paraId="2DA6FDA9" w14:textId="77777777" w:rsidR="006E6E7B" w:rsidRPr="00832354" w:rsidRDefault="006E6E7B" w:rsidP="006E6E7B">
      <w:pPr>
        <w:pStyle w:val="NormalHanging12a"/>
        <w:rPr>
          <w:szCs w:val="24"/>
        </w:rPr>
      </w:pPr>
      <w:r w:rsidRPr="00832354">
        <w:t>–</w:t>
      </w:r>
      <w:r w:rsidRPr="00832354">
        <w:tab/>
        <w:t>Visto el informe del secretario general dirigido a la Mesa con miras al establecimiento del anteproyecto de estado de previsiones del Parlamento para el ejercicio 2025,</w:t>
      </w:r>
    </w:p>
    <w:p w14:paraId="7A5DFCAE" w14:textId="77777777" w:rsidR="006E6E7B" w:rsidRPr="00832354" w:rsidRDefault="006E6E7B" w:rsidP="006E6E7B">
      <w:pPr>
        <w:pStyle w:val="NormalHanging12a"/>
        <w:rPr>
          <w:szCs w:val="24"/>
        </w:rPr>
      </w:pPr>
      <w:r w:rsidRPr="00832354">
        <w:t>–</w:t>
      </w:r>
      <w:r w:rsidRPr="00832354">
        <w:tab/>
        <w:t>Visto el anteproyecto de estado de previsiones establecido por la Mesa el 11 de marzo de 2024, de conformidad con el artículo 25, apartado 7, y el artículo 102, apartado 1, del Reglamento interno del Parlamento,</w:t>
      </w:r>
    </w:p>
    <w:p w14:paraId="02B39993" w14:textId="77777777" w:rsidR="006E6E7B" w:rsidRPr="00832354" w:rsidRDefault="006E6E7B" w:rsidP="006E6E7B">
      <w:pPr>
        <w:pStyle w:val="NormalHanging12a"/>
        <w:rPr>
          <w:szCs w:val="24"/>
        </w:rPr>
      </w:pPr>
      <w:r w:rsidRPr="00832354">
        <w:t>–</w:t>
      </w:r>
      <w:r w:rsidRPr="00832354">
        <w:tab/>
        <w:t>Visto el proyecto de estado de previsiones elaborado por la Comisión de Presupuestos, de conformidad con el artículo 102, apartado 2, del Reglamento interno del Parlamento,</w:t>
      </w:r>
    </w:p>
    <w:p w14:paraId="3F174158" w14:textId="77777777" w:rsidR="006E6E7B" w:rsidRPr="00832354" w:rsidRDefault="006E6E7B" w:rsidP="006E6E7B">
      <w:pPr>
        <w:pStyle w:val="NormalHanging12a"/>
        <w:rPr>
          <w:szCs w:val="24"/>
        </w:rPr>
      </w:pPr>
      <w:r w:rsidRPr="00832354">
        <w:t>–</w:t>
      </w:r>
      <w:r w:rsidRPr="00832354">
        <w:tab/>
        <w:t>Visto el artículo 102 de su Reglamento interno,</w:t>
      </w:r>
    </w:p>
    <w:p w14:paraId="7A329580" w14:textId="77777777" w:rsidR="006E6E7B" w:rsidRPr="00832354" w:rsidRDefault="006E6E7B" w:rsidP="006E6E7B">
      <w:pPr>
        <w:pStyle w:val="NormalHanging12a"/>
        <w:rPr>
          <w:szCs w:val="24"/>
        </w:rPr>
      </w:pPr>
      <w:r w:rsidRPr="00832354">
        <w:lastRenderedPageBreak/>
        <w:t>–</w:t>
      </w:r>
      <w:r w:rsidRPr="00832354">
        <w:tab/>
        <w:t>Visto el informe de la Comisión de Presupuestos (A9-0180/2024),</w:t>
      </w:r>
    </w:p>
    <w:p w14:paraId="019E39C1" w14:textId="77777777" w:rsidR="006E6E7B" w:rsidRPr="00832354" w:rsidRDefault="006E6E7B" w:rsidP="006E6E7B">
      <w:pPr>
        <w:pStyle w:val="Action"/>
        <w:tabs>
          <w:tab w:val="clear" w:pos="357"/>
        </w:tabs>
        <w:spacing w:after="200"/>
        <w:ind w:left="567" w:hanging="567"/>
        <w:outlineLvl w:val="0"/>
        <w:rPr>
          <w:szCs w:val="24"/>
        </w:rPr>
      </w:pPr>
      <w:r w:rsidRPr="00832354">
        <w:t>A.</w:t>
      </w:r>
      <w:r w:rsidRPr="00832354">
        <w:tab/>
        <w:t xml:space="preserve">Considerando que el presupuesto propuesto el 26 de febrero de 2024 por el secretario general para el anteproyecto de estado de previsiones del Parlamento para 2025 asciende a 2 507 233 329 EUR y representa un aumento del 5,21 %, es decir, 124 132 017 EUR, en comparación con el presupuesto de 2024; </w:t>
      </w:r>
    </w:p>
    <w:p w14:paraId="2E1A441B" w14:textId="77777777" w:rsidR="006E6E7B" w:rsidRPr="00832354" w:rsidRDefault="006E6E7B" w:rsidP="006E6E7B">
      <w:pPr>
        <w:pStyle w:val="Action"/>
        <w:tabs>
          <w:tab w:val="clear" w:pos="357"/>
        </w:tabs>
        <w:spacing w:after="200"/>
        <w:ind w:left="567" w:hanging="567"/>
        <w:outlineLvl w:val="0"/>
        <w:rPr>
          <w:szCs w:val="24"/>
        </w:rPr>
      </w:pPr>
      <w:r w:rsidRPr="00832354">
        <w:t>B.</w:t>
      </w:r>
      <w:r w:rsidRPr="00832354">
        <w:tab/>
        <w:t>Considerando que la Comisión prevé, en sus previsiones (provisionales) de invierno de 2024, que la tasa de inflación de la Unión sea del 3 % en 2024 y del 2,5 % en 2025; que el nivel de gasto de la rúbrica 7 del MFP 2021-2027 se basa en un aumento anual del 2 %;</w:t>
      </w:r>
    </w:p>
    <w:p w14:paraId="40B392FB" w14:textId="77777777" w:rsidR="006E6E7B" w:rsidRPr="00832354" w:rsidRDefault="006E6E7B" w:rsidP="006E6E7B">
      <w:pPr>
        <w:pStyle w:val="Action"/>
        <w:tabs>
          <w:tab w:val="clear" w:pos="357"/>
        </w:tabs>
        <w:spacing w:after="200"/>
        <w:ind w:left="567" w:hanging="567"/>
        <w:outlineLvl w:val="0"/>
        <w:rPr>
          <w:szCs w:val="24"/>
        </w:rPr>
      </w:pPr>
      <w:r w:rsidRPr="00832354">
        <w:t>C.</w:t>
      </w:r>
      <w:r w:rsidRPr="00832354">
        <w:tab/>
        <w:t xml:space="preserve">Considerando que la credibilidad del Parlamento depende de su capacidad para desempeñar su labor fundamental presupuestaria, legislativa y de control al más alto nivel, al tiempo que sirve de ejemplo a las demás instituciones de la Unión para lograr una planificación y ejecución del gasto prudentes y eficientes y reflejar las realidades económicas imperantes; </w:t>
      </w:r>
    </w:p>
    <w:p w14:paraId="441A7DFD" w14:textId="77777777" w:rsidR="006E6E7B" w:rsidRPr="00832354" w:rsidRDefault="006E6E7B" w:rsidP="006E6E7B">
      <w:pPr>
        <w:pStyle w:val="Action"/>
        <w:tabs>
          <w:tab w:val="clear" w:pos="357"/>
        </w:tabs>
        <w:spacing w:after="200"/>
        <w:ind w:left="567" w:hanging="567"/>
        <w:outlineLvl w:val="0"/>
        <w:rPr>
          <w:szCs w:val="24"/>
        </w:rPr>
      </w:pPr>
      <w:r w:rsidRPr="00832354">
        <w:t>D.</w:t>
      </w:r>
      <w:r w:rsidRPr="00832354">
        <w:tab/>
        <w:t>Considerando que 2025 será el primer ejercicio completo tras las elecciones y que, por ello, las principales actividades políticas y de apoyo recobrarán su ritmo normal;</w:t>
      </w:r>
    </w:p>
    <w:p w14:paraId="47602A20" w14:textId="77777777" w:rsidR="006E6E7B" w:rsidRPr="00832354" w:rsidRDefault="006E6E7B" w:rsidP="006E6E7B">
      <w:pPr>
        <w:pStyle w:val="Action"/>
        <w:tabs>
          <w:tab w:val="clear" w:pos="357"/>
        </w:tabs>
        <w:spacing w:after="200"/>
        <w:ind w:left="567" w:hanging="567"/>
        <w:outlineLvl w:val="0"/>
        <w:rPr>
          <w:szCs w:val="24"/>
        </w:rPr>
      </w:pPr>
      <w:r w:rsidRPr="00832354">
        <w:t xml:space="preserve">E. </w:t>
      </w:r>
      <w:r w:rsidRPr="00832354">
        <w:tab/>
        <w:t>Considerando que el Parlamento finalizó su profundo proceso de reforma iniciado el año pasado a fin de, por una parte, revisar sus métodos internos de trabajo para hacer más eficiente la labor parlamentaria y, por otra, reforzar su papel institucional para mejorar el funcionamiento del Parlamento como colegislador, como rama de la autoridad presupuestaria y como autoridad de aprobación de la gestión, y aumentar su capacidad para ejercer un control democrático;</w:t>
      </w:r>
    </w:p>
    <w:p w14:paraId="4F3CF7F3" w14:textId="77777777" w:rsidR="006E6E7B" w:rsidRPr="00832354" w:rsidRDefault="006E6E7B" w:rsidP="006E6E7B">
      <w:pPr>
        <w:tabs>
          <w:tab w:val="left" w:pos="567"/>
        </w:tabs>
        <w:spacing w:after="240"/>
        <w:ind w:left="567" w:hanging="567"/>
        <w:rPr>
          <w:b/>
          <w:bCs/>
          <w:i/>
          <w:iCs/>
          <w:szCs w:val="24"/>
        </w:rPr>
      </w:pPr>
      <w:r w:rsidRPr="00832354">
        <w:rPr>
          <w:b/>
          <w:i/>
        </w:rPr>
        <w:t>Marco general</w:t>
      </w:r>
    </w:p>
    <w:p w14:paraId="7100F573" w14:textId="77777777" w:rsidR="006E6E7B" w:rsidRPr="00832354" w:rsidRDefault="006E6E7B" w:rsidP="006E6E7B">
      <w:pPr>
        <w:pStyle w:val="action0"/>
        <w:spacing w:after="200"/>
        <w:ind w:left="567" w:hanging="567"/>
        <w:rPr>
          <w:bCs/>
          <w:iCs/>
        </w:rPr>
      </w:pPr>
      <w:r w:rsidRPr="00832354">
        <w:t>1.</w:t>
      </w:r>
      <w:r w:rsidRPr="00832354">
        <w:tab/>
        <w:t>Manifiesta su preocupación por la situación de la rúbrica 7 del actual MFP; recuerda que las limitaciones son el resultado de los recortes aplicados por el Consejo a la propuesta inicial de la Comisión, que ya era muy baja, al acordar el actual MFP 2021-2027; lamenta que el Consejo se opusiera a la propuesta de la Comisión de aumentar el límite máximo de la rúbrica 7 en la revisión del MFP a partir de 2024; señala que, en la revisión del MFP, no se ha abordado la cuestión del límite máximo de la rúbrica 7; destaca que el margen negativo previsto para 2025 presupone la utilización, a tal efecto, de instrumentos especiales en la rúbrica 7;</w:t>
      </w:r>
    </w:p>
    <w:p w14:paraId="4CD52441" w14:textId="77777777" w:rsidR="006E6E7B" w:rsidRPr="00832354" w:rsidRDefault="006E6E7B" w:rsidP="006E6E7B">
      <w:pPr>
        <w:pStyle w:val="action0"/>
        <w:spacing w:after="200"/>
        <w:ind w:left="567" w:hanging="567"/>
      </w:pPr>
      <w:r w:rsidRPr="00832354">
        <w:t xml:space="preserve">2. </w:t>
      </w:r>
      <w:r w:rsidRPr="00832354">
        <w:tab/>
        <w:t>Recuerda que casi dos tercios del presupuesto están fijados por obligaciones estatutarias; recuerda que la Comisión prevé actualmente que, de conformidad con el Estatuto de los funcionarios y el Estatuto de los diputados al Parlamento Europeo, la indexación salarial para julio de 2024, abril de 2025 y julio de 2025, será del 5,3 %, el 0,6 % y el 3,7 %, respectivamente; observa que el presupuesto de 2024 incluye una indexación salarial del 3,4 % a partir de julio de 2024; toma nota de que la Comisión de Presupuestos supervisará la evolución oficial prevista de la indexación salarial;</w:t>
      </w:r>
    </w:p>
    <w:p w14:paraId="27DCA59C" w14:textId="77777777" w:rsidR="006E6E7B" w:rsidRPr="00832354" w:rsidRDefault="006E6E7B" w:rsidP="006E6E7B">
      <w:pPr>
        <w:pStyle w:val="action0"/>
        <w:ind w:left="567" w:hanging="567"/>
      </w:pPr>
      <w:r w:rsidRPr="00832354">
        <w:t>3.</w:t>
      </w:r>
      <w:r w:rsidRPr="00832354">
        <w:tab/>
        <w:t xml:space="preserve">Respalda el acuerdo alcanzado en la conciliación entre la Mesa y la Comisión de Presupuestos el 9 de abril de 2024 de fijar el aumento con respecto al presupuesto de 2024 en un 4,87 %, lo que corresponde a un nivel global del estado de previsiones de 2 499 233 329 EUR para 2025, y de reducir en consecuencia los créditos propuestos en las siguientes líneas presupuestarias por un total de 11 000 000 EUR: </w:t>
      </w:r>
    </w:p>
    <w:p w14:paraId="56CA1CE6" w14:textId="77777777" w:rsidR="006E6E7B" w:rsidRPr="00832354" w:rsidRDefault="006E6E7B" w:rsidP="006E6E7B">
      <w:pPr>
        <w:pStyle w:val="action0"/>
        <w:ind w:left="567" w:firstLine="0"/>
      </w:pPr>
      <w:r w:rsidRPr="00832354">
        <w:lastRenderedPageBreak/>
        <w:t>2 0 0 0 — Alquileres, 2 0 0 7 — Construcción de inmuebles y acondicionamiento de locales, 2 3 9 0 — actividades del EMAS y de sostenibilidad, incluidas las de promoción, y plan de compensación de las emisiones de carbono del Parlamento Europeo, 3 2 4 2 — Gastos de publicación, de información y de participación en actos públicos, 3 2 4 3 — Centros de visitantes del Parlamento Europeo, 1 0 1 — Reserva para imprevistos;</w:t>
      </w:r>
    </w:p>
    <w:p w14:paraId="22C38B7B" w14:textId="77777777" w:rsidR="006E6E7B" w:rsidRPr="00832354" w:rsidRDefault="006E6E7B" w:rsidP="006E6E7B">
      <w:pPr>
        <w:pStyle w:val="action0"/>
        <w:ind w:left="567" w:firstLine="0"/>
      </w:pPr>
      <w:r w:rsidRPr="00832354">
        <w:t>además, decide aumentar el nivel de gastos del anteproyecto de estado de previsiones aprobado por la Mesa el 11 de marzo de 2024 en 3 000 000 EUR y aumentar en consecuencia los créditos propuestos en las líneas presupuestarias siguientes:</w:t>
      </w:r>
    </w:p>
    <w:p w14:paraId="42CAC50D" w14:textId="77777777" w:rsidR="006E6E7B" w:rsidRPr="00832354" w:rsidRDefault="006E6E7B" w:rsidP="006E6E7B">
      <w:pPr>
        <w:pStyle w:val="action0"/>
        <w:ind w:left="567" w:firstLine="0"/>
      </w:pPr>
      <w:r w:rsidRPr="00832354">
        <w:t xml:space="preserve">3 2 4 4 — Organización y acogida de grupos de visitantes, programa </w:t>
      </w:r>
      <w:proofErr w:type="spellStart"/>
      <w:r w:rsidRPr="00832354">
        <w:t>Euroscola</w:t>
      </w:r>
      <w:proofErr w:type="spellEnd"/>
      <w:r w:rsidRPr="00832354">
        <w:t xml:space="preserve"> e invitaciones a multiplicadores de opinión de terceros países, 4 0 3 — Financiación de las fundaciones políticas europeas;</w:t>
      </w:r>
    </w:p>
    <w:p w14:paraId="77F6559E" w14:textId="77777777" w:rsidR="006E6E7B" w:rsidRPr="00832354" w:rsidRDefault="006E6E7B" w:rsidP="006E6E7B">
      <w:pPr>
        <w:pStyle w:val="action0"/>
        <w:spacing w:after="200"/>
        <w:ind w:left="567" w:hanging="567"/>
      </w:pPr>
      <w:r w:rsidRPr="00832354">
        <w:t>4.</w:t>
      </w:r>
      <w:r w:rsidRPr="00832354">
        <w:tab/>
        <w:t>Observa que, del aumento de 116 millones EUR en comparación con el presupuesto de 2024, el aumento de 98 millones EUR se debe a obligaciones estatutarias, principalmente a la actualización de los salarios (54,7 millones EUR) y a los gastos relacionados con la asistencia parlamentaria (33,2 millones EUR); observa que el aumento de los gastos no estatutarios entre 2024 y 2025 no supera el 2 %;</w:t>
      </w:r>
    </w:p>
    <w:p w14:paraId="403F7CB1" w14:textId="77777777" w:rsidR="006E6E7B" w:rsidRPr="00832354" w:rsidRDefault="006E6E7B" w:rsidP="006E6E7B">
      <w:pPr>
        <w:pStyle w:val="action0"/>
        <w:spacing w:after="200"/>
        <w:ind w:left="567" w:hanging="567"/>
      </w:pPr>
      <w:r w:rsidRPr="00832354">
        <w:t xml:space="preserve">5. </w:t>
      </w:r>
      <w:r w:rsidRPr="00832354">
        <w:tab/>
        <w:t>Observa que el Parlamento no solicita ningún puesto adicional para 2025;</w:t>
      </w:r>
    </w:p>
    <w:p w14:paraId="5E9F7A86" w14:textId="77777777" w:rsidR="006E6E7B" w:rsidRPr="00832354" w:rsidRDefault="006E6E7B" w:rsidP="006E6E7B">
      <w:pPr>
        <w:pStyle w:val="action0"/>
        <w:spacing w:after="200"/>
        <w:ind w:left="567" w:hanging="567"/>
      </w:pPr>
      <w:r w:rsidRPr="00832354">
        <w:t xml:space="preserve">6. </w:t>
      </w:r>
      <w:r w:rsidRPr="00832354">
        <w:tab/>
        <w:t>Observa que en la plantilla de personal de 2025 se han eliminado los 98 puestos permanentes creados en el presupuesto de 2023 para facilitar la aplicación del artículo 29, apartado 4, del Estatuto de los funcionarios;</w:t>
      </w:r>
    </w:p>
    <w:p w14:paraId="272C59EC" w14:textId="77777777" w:rsidR="006E6E7B" w:rsidRPr="00832354" w:rsidRDefault="006E6E7B" w:rsidP="006E6E7B">
      <w:pPr>
        <w:pStyle w:val="Action"/>
        <w:spacing w:after="200"/>
        <w:outlineLvl w:val="0"/>
        <w:rPr>
          <w:b/>
          <w:i/>
          <w:szCs w:val="24"/>
        </w:rPr>
      </w:pPr>
      <w:r w:rsidRPr="00832354">
        <w:rPr>
          <w:b/>
          <w:i/>
        </w:rPr>
        <w:t xml:space="preserve">Grupos de visitantes y Europa </w:t>
      </w:r>
      <w:proofErr w:type="spellStart"/>
      <w:r w:rsidRPr="00832354">
        <w:rPr>
          <w:b/>
          <w:i/>
        </w:rPr>
        <w:t>Experience</w:t>
      </w:r>
      <w:proofErr w:type="spellEnd"/>
    </w:p>
    <w:p w14:paraId="6B827425" w14:textId="77777777" w:rsidR="006E6E7B" w:rsidRPr="00832354" w:rsidRDefault="006E6E7B" w:rsidP="006E6E7B">
      <w:pPr>
        <w:pStyle w:val="action0"/>
        <w:spacing w:after="200"/>
        <w:ind w:left="567" w:hanging="567"/>
      </w:pPr>
      <w:r w:rsidRPr="00832354">
        <w:t>7.</w:t>
      </w:r>
      <w:r w:rsidRPr="00832354">
        <w:tab/>
        <w:t>Recuerda que los grupos de visitantes a los tres lugares de trabajo del Parlamento representan un instrumento importante para que los diputados estén en contacto con los electores y les puedan mostrar la labor parlamentaria que desempeñan; destaca que los grupos de visitantes contribuyen a promover el papel del Parlamento entre los votantes de toda la Unión;</w:t>
      </w:r>
    </w:p>
    <w:p w14:paraId="06AE9F3D" w14:textId="77777777" w:rsidR="006E6E7B" w:rsidRPr="00832354" w:rsidRDefault="006E6E7B" w:rsidP="006E6E7B">
      <w:pPr>
        <w:pStyle w:val="action0"/>
        <w:spacing w:after="200"/>
        <w:ind w:left="567" w:hanging="567"/>
      </w:pPr>
      <w:r w:rsidRPr="00832354">
        <w:t>8.</w:t>
      </w:r>
      <w:r w:rsidRPr="00832354">
        <w:tab/>
        <w:t xml:space="preserve">Observa con preocupación las crecientes dificultades para organizar estas visitas debido a las limitaciones financieras del presupuesto vigente, en particular para los diputados de Estados miembros geográficamente alejados de Bruselas y Estrasburgo; pide suficiente financiación para cubrir los gastos de viaje y alojamiento habida cuenta de las tasas de inflación y los precios tanto en los países de origen de los grupos de visitantes como en Bruselas y Estrasburgo; considera que es necesario un aumento del 10 % de la asignación por persona para abordar las condiciones actuales; pide al secretario general que proponga cuanto antes a los Cuestores un aumento de los límites máximos de los costes cubiertos a fin de mantener y reforzar el apoyo de los diputados para permitir que los grupos de visitantes sean recibidos en el Parlamento; </w:t>
      </w:r>
    </w:p>
    <w:p w14:paraId="741F9AEF" w14:textId="77777777" w:rsidR="006E6E7B" w:rsidRPr="00832354" w:rsidRDefault="006E6E7B" w:rsidP="006E6E7B">
      <w:pPr>
        <w:pStyle w:val="action0"/>
        <w:spacing w:after="200"/>
        <w:ind w:left="567" w:hanging="567"/>
      </w:pPr>
      <w:r w:rsidRPr="00832354">
        <w:t>9.</w:t>
      </w:r>
      <w:r w:rsidRPr="00832354">
        <w:tab/>
        <w:t xml:space="preserve">Manifiesta su preocupación por las normas internas que rigen los grupos de visitantes de los diputados al Parlamento Europeo, que conducen a que, en determinadas circunstancias, los asistentes parlamentarios acreditados deban soportar el 30 % de los costes iniciales; resalta el carácter poco práctico de esas normas y la carga financiera que representa para los asistentes parlamentarios acreditados; pide a la Mesa que revise </w:t>
      </w:r>
      <w:r w:rsidRPr="00832354">
        <w:lastRenderedPageBreak/>
        <w:t>y actualice las normas que rigen actualmente dichas visitas para superar las dificultades de planificación y organización de las mismas;</w:t>
      </w:r>
    </w:p>
    <w:p w14:paraId="7B87B05E" w14:textId="77777777" w:rsidR="006E6E7B" w:rsidRPr="00832354" w:rsidRDefault="006E6E7B" w:rsidP="006E6E7B">
      <w:pPr>
        <w:pStyle w:val="NormalHanging12a"/>
        <w:spacing w:after="200"/>
        <w:rPr>
          <w:szCs w:val="24"/>
        </w:rPr>
      </w:pPr>
      <w:r w:rsidRPr="00832354">
        <w:t>10.</w:t>
      </w:r>
      <w:r w:rsidRPr="00832354">
        <w:tab/>
        <w:t xml:space="preserve">Recuerda la decisión de la Mesa, de 25 de noviembre de 2019, de crear centros Europa </w:t>
      </w:r>
      <w:proofErr w:type="spellStart"/>
      <w:r w:rsidRPr="00832354">
        <w:t>Experience</w:t>
      </w:r>
      <w:proofErr w:type="spellEnd"/>
      <w:r w:rsidRPr="00832354">
        <w:t xml:space="preserve"> en todos los Estados miembros a más tardar a finales de 2024; lamenta los retrasos en la creación de espacios Europa </w:t>
      </w:r>
      <w:proofErr w:type="spellStart"/>
      <w:r w:rsidRPr="00832354">
        <w:t>Experience</w:t>
      </w:r>
      <w:proofErr w:type="spellEnd"/>
      <w:r w:rsidRPr="00832354">
        <w:t xml:space="preserve"> en todos los Estados miembros antes de las elecciones al Parlamento de 2024 y observa que actualmente solo doce están en funcionamiento; reconoce que una serie de factores externos, como la volatilidad de los mercados inmobiliarios, han contribuido a esos retrasos;</w:t>
      </w:r>
    </w:p>
    <w:p w14:paraId="1F85F592" w14:textId="77777777" w:rsidR="006E6E7B" w:rsidRPr="00832354" w:rsidRDefault="006E6E7B" w:rsidP="006E6E7B">
      <w:pPr>
        <w:pStyle w:val="action0"/>
        <w:spacing w:after="200"/>
        <w:ind w:left="567" w:hanging="567"/>
      </w:pPr>
      <w:r w:rsidRPr="00832354">
        <w:t>11.</w:t>
      </w:r>
      <w:r w:rsidRPr="00832354">
        <w:tab/>
        <w:t xml:space="preserve">Toma nota de que está previsto abrir cinco centros en 2025 (Atenas, Zagreb, La Haya, Sofía y Budapest); pide que se creen espacios Europa </w:t>
      </w:r>
      <w:proofErr w:type="spellStart"/>
      <w:r w:rsidRPr="00832354">
        <w:t>Experience</w:t>
      </w:r>
      <w:proofErr w:type="spellEnd"/>
      <w:r w:rsidRPr="00832354">
        <w:t xml:space="preserve"> en todos los Estados miembros lo antes posible; recuerda que los espacios Europa </w:t>
      </w:r>
      <w:proofErr w:type="spellStart"/>
      <w:r w:rsidRPr="00832354">
        <w:t>Experience</w:t>
      </w:r>
      <w:proofErr w:type="spellEnd"/>
      <w:r w:rsidRPr="00832354">
        <w:t xml:space="preserve"> deben permitir a todos los ciudadanos comprender mejor el funcionamiento de las instituciones de la Unión;</w:t>
      </w:r>
    </w:p>
    <w:p w14:paraId="712A9969" w14:textId="77777777" w:rsidR="006E6E7B" w:rsidRPr="00832354" w:rsidRDefault="006E6E7B" w:rsidP="006E6E7B">
      <w:pPr>
        <w:pStyle w:val="Action"/>
        <w:keepNext/>
        <w:spacing w:after="200"/>
        <w:outlineLvl w:val="0"/>
        <w:rPr>
          <w:b/>
          <w:bCs/>
          <w:i/>
          <w:szCs w:val="24"/>
        </w:rPr>
      </w:pPr>
      <w:r w:rsidRPr="00832354">
        <w:rPr>
          <w:b/>
          <w:i/>
        </w:rPr>
        <w:t>Infraestructura</w:t>
      </w:r>
    </w:p>
    <w:p w14:paraId="0A4C33E7" w14:textId="77777777" w:rsidR="006E6E7B" w:rsidRPr="00832354" w:rsidRDefault="006E6E7B" w:rsidP="006E6E7B">
      <w:pPr>
        <w:pStyle w:val="action0"/>
        <w:ind w:left="567" w:hanging="567"/>
      </w:pPr>
      <w:r w:rsidRPr="00832354">
        <w:t xml:space="preserve">12. </w:t>
      </w:r>
      <w:r w:rsidRPr="00832354">
        <w:tab/>
        <w:t>Toma nota de que la Comisión de Presupuestos aprobó la decisión de la Mesa de llevar a cabo una profunda renovación del edificio SPAAK, en consonancia con su Resolución, de 19 de octubre de 2022, sobre la Posición del Consejo sobre el proyecto de presupuesto general de la Unión Europea para el ejercicio 2023</w:t>
      </w:r>
      <w:r w:rsidRPr="00832354">
        <w:rPr>
          <w:rStyle w:val="FootnoteReference"/>
        </w:rPr>
        <w:footnoteReference w:id="14"/>
      </w:r>
      <w:r w:rsidRPr="00832354">
        <w:t>; resalta que el edificio actual tiene una calificación de eficiencia energética muy baja y carece de la muy necesaria flexibilidad para su adecuación a tal fin; destaca que el Parlamento debe gestionar su propio parque inmobiliario en términos de eficiencia energética y sostenibilidad para ajustarse a los objetivos del Pacto Verde; observa que la renovación conducirá a importantes ahorros anuales y a la reducción de las emisiones de CO</w:t>
      </w:r>
      <w:r w:rsidRPr="00832354">
        <w:rPr>
          <w:vertAlign w:val="subscript"/>
        </w:rPr>
        <w:t>2</w:t>
      </w:r>
      <w:r w:rsidRPr="00832354">
        <w:t>, y contribuirá a cumplir los requisitos de la Directiva relativa a la eficiencia energética revisada y de la Directiva relativa a la eficiencia energética de los edificios; recuerda a la Mesa que, antes de adoptar decisiones importantes sobre cuestiones relacionadas con los edificios y su financiación, es necesario informar y consultar de manera transparente y adecuada a la Comisión de Presupuestos, dándole acceso también a los detalles pormenorizados, habida cuenta de sus importantes implicaciones presupuestarias;</w:t>
      </w:r>
    </w:p>
    <w:p w14:paraId="286FE7FB" w14:textId="77777777" w:rsidR="006E6E7B" w:rsidRPr="00832354" w:rsidRDefault="006E6E7B" w:rsidP="006E6E7B">
      <w:pPr>
        <w:pStyle w:val="action0"/>
        <w:spacing w:after="200"/>
        <w:ind w:left="567" w:hanging="567"/>
      </w:pPr>
      <w:r w:rsidRPr="00832354">
        <w:t>13.</w:t>
      </w:r>
      <w:r w:rsidRPr="00832354">
        <w:tab/>
        <w:t xml:space="preserve">Reconoce la necesidad de iniciar las obras de renovación del edificio TREVES II en 2025 con el fin de facilitar acoger temporalmente al personal que será desplazado como parte de la renovación del edificio SPAAK; </w:t>
      </w:r>
    </w:p>
    <w:p w14:paraId="68235176" w14:textId="77777777" w:rsidR="006E6E7B" w:rsidRPr="00832354" w:rsidRDefault="006E6E7B" w:rsidP="006E6E7B">
      <w:pPr>
        <w:pStyle w:val="NormalHanging12a"/>
        <w:rPr>
          <w:szCs w:val="24"/>
        </w:rPr>
      </w:pPr>
      <w:r w:rsidRPr="00832354">
        <w:t>14.</w:t>
      </w:r>
      <w:r w:rsidRPr="00832354">
        <w:tab/>
        <w:t>Acoge con satisfacción la política del Parlamento destinada a garantizar un uso plenamente independiente de los edificios del Parlamento por parte de las personas con discapacidad, y apoya las medidas y adaptaciones adicionales que sean necesarias a este respecto; reconoce la necesidad de mejorar el acceso de las personas con discapacidad al hemiciclo de Estrasburgo;</w:t>
      </w:r>
    </w:p>
    <w:p w14:paraId="2DF90E6F" w14:textId="77777777" w:rsidR="006E6E7B" w:rsidRPr="00832354" w:rsidRDefault="006E6E7B" w:rsidP="006E6E7B">
      <w:pPr>
        <w:pStyle w:val="action0"/>
        <w:spacing w:after="200"/>
        <w:ind w:left="567" w:hanging="567"/>
      </w:pPr>
      <w:r w:rsidRPr="00832354">
        <w:t>15.</w:t>
      </w:r>
      <w:r w:rsidRPr="00832354">
        <w:tab/>
        <w:t xml:space="preserve">Recuerda que la administración del Parlamento trabaja actualmente en la adopción de un enfoque global para definir la política inmobiliaria a largo plazo del Parlamento, considerando en particular las obligaciones en materia de medio ambiente, los costes y las limitaciones presupuestarias, la eficiencia energética y la gestión de residuos, en consonancia con el paquete de medidas «Objetivo 55», y espera que se publiquen sus resultados; pide que se tengan en cuenta las formas flexibles de trabajo que han surgido </w:t>
      </w:r>
      <w:r w:rsidRPr="00832354">
        <w:lastRenderedPageBreak/>
        <w:t xml:space="preserve">como consecuencia de la pandemia, reconociendo al mismo tiempo que la presencia física en las negociaciones políticas, los debates o el intercambio de puntos de vista sigue siendo más eficiente para la elaboración de políticas públicas; </w:t>
      </w:r>
    </w:p>
    <w:p w14:paraId="46AB87C0" w14:textId="77777777" w:rsidR="006E6E7B" w:rsidRPr="00832354" w:rsidRDefault="006E6E7B" w:rsidP="006E6E7B">
      <w:pPr>
        <w:pStyle w:val="action0"/>
        <w:spacing w:after="200"/>
        <w:ind w:left="567" w:hanging="567"/>
      </w:pPr>
      <w:r w:rsidRPr="00832354">
        <w:t xml:space="preserve">16. </w:t>
      </w:r>
      <w:r w:rsidRPr="00832354">
        <w:tab/>
        <w:t>Toma nota de la práctica de «transferencia de remanentes» al final del ejercicio para contribuir a proyectos inmobiliarios; toma nota de que tal transferencia de remanentes se realiza de forma sistemática en los mismos capítulos, títulos y a menudo, en exactamente las mismas líneas presupuestarias; considera que el ejercicio anual de «limpieza» también puede servir a propósitos distintos de la financiación de proyectos relativos a los edificios;</w:t>
      </w:r>
    </w:p>
    <w:p w14:paraId="3D8398E8" w14:textId="77777777" w:rsidR="006E6E7B" w:rsidRPr="00832354" w:rsidRDefault="006E6E7B" w:rsidP="006E6E7B">
      <w:pPr>
        <w:pStyle w:val="action0"/>
        <w:spacing w:after="200"/>
        <w:ind w:left="567" w:hanging="567"/>
      </w:pPr>
      <w:r w:rsidRPr="00832354">
        <w:t>17.</w:t>
      </w:r>
      <w:r w:rsidRPr="00832354">
        <w:tab/>
        <w:t>Acoge con satisfacción la acción continuada y las medidas puestas en marcha por el Parlamento a fin de reducir su huella ambiental; reitera su pleno apoyo a los objetivos del sistema de gestión medioambiental del Parlamento (EMAS) para 2024; espera que el Parlamento alcance a finales de 2024 todos los objetivos de los indicadores clave de rendimiento del EMAS y que adopte objetivos nuevos y ambiciosos para los próximos años; señala, en particular, una serie de logros a este respecto, como la reducción del 44 % de las emisiones de carbono desde 2006, la reducción del 66 % del uso de papel en comparación con 2014, altas tasas de personal que acude al trabajo a pie o en bicicleta, una disminución significativa del uso de plástico y el exitoso despliegue de la infraestructura de energía renovable, que ha conducido a la generación de 458 </w:t>
      </w:r>
      <w:proofErr w:type="spellStart"/>
      <w:r w:rsidRPr="00832354">
        <w:t>MWh</w:t>
      </w:r>
      <w:proofErr w:type="spellEnd"/>
      <w:r w:rsidRPr="00832354">
        <w:t xml:space="preserve"> de energía solar por el Parlamento en 2023;</w:t>
      </w:r>
    </w:p>
    <w:p w14:paraId="7C8DD30B" w14:textId="77777777" w:rsidR="006E6E7B" w:rsidRPr="00832354" w:rsidRDefault="006E6E7B" w:rsidP="006E6E7B">
      <w:pPr>
        <w:pStyle w:val="action0"/>
        <w:spacing w:after="200"/>
        <w:ind w:left="567" w:hanging="567"/>
      </w:pPr>
      <w:r w:rsidRPr="00832354">
        <w:t>18.</w:t>
      </w:r>
      <w:r w:rsidRPr="00832354">
        <w:tab/>
        <w:t xml:space="preserve">Toma nota del aumento de los precios del crédito de carbono; recuerda que las inversiones en eficiencia energética son un buen método para lograr rentabilidad; acoge con satisfacción y alienta las inversiones en energías renovables y en la eliminación progresiva de los combustibles fósiles, en particular teniendo en cuenta la crisis energética y el contexto geopolítico, y que se refleje en la próxima estrategia inmobiliaria plurianual; señala que el Parlamento ha instalado y sigue instalando paneles solares fotovoltaicos para seguir aumentando la cuota de energía renovable producida </w:t>
      </w:r>
      <w:r w:rsidRPr="00832354">
        <w:rPr>
          <w:i/>
        </w:rPr>
        <w:t>in situ</w:t>
      </w:r>
      <w:r w:rsidRPr="00832354">
        <w:t xml:space="preserve"> a fin de alcanzar el objetivo del 25 %; recuerda que casi dos tercios de la huella de carbono del Parlamento proceden del transporte de personas; celebra los esfuerzos del Parlamento por reducir las emisiones de CO</w:t>
      </w:r>
      <w:r w:rsidRPr="00832354">
        <w:rPr>
          <w:vertAlign w:val="subscript"/>
        </w:rPr>
        <w:t>2</w:t>
      </w:r>
      <w:r w:rsidRPr="00832354">
        <w:t xml:space="preserve"> mediante el flete de trenes y pide que se amplíe la disponibilidad para pasar al tren los desplazamientos entre los tres lugares de trabajo;</w:t>
      </w:r>
    </w:p>
    <w:p w14:paraId="67E65A3C" w14:textId="77777777" w:rsidR="006E6E7B" w:rsidRPr="00832354" w:rsidRDefault="006E6E7B" w:rsidP="006E6E7B">
      <w:pPr>
        <w:pStyle w:val="Action"/>
        <w:keepNext/>
        <w:spacing w:after="200"/>
        <w:outlineLvl w:val="0"/>
        <w:rPr>
          <w:b/>
          <w:i/>
          <w:szCs w:val="24"/>
        </w:rPr>
      </w:pPr>
      <w:r w:rsidRPr="00832354">
        <w:rPr>
          <w:b/>
          <w:i/>
        </w:rPr>
        <w:t>Asuntos varios</w:t>
      </w:r>
    </w:p>
    <w:p w14:paraId="0B2098C6" w14:textId="77777777" w:rsidR="006E6E7B" w:rsidRPr="00832354" w:rsidRDefault="006E6E7B" w:rsidP="006E6E7B">
      <w:pPr>
        <w:pStyle w:val="action0"/>
        <w:spacing w:after="200"/>
        <w:ind w:left="567" w:hanging="567"/>
      </w:pPr>
      <w:r w:rsidRPr="00832354">
        <w:t>19.</w:t>
      </w:r>
      <w:r w:rsidRPr="00832354">
        <w:tab/>
        <w:t>Recuerda la lucha continua de la Unión por salvaguardar los valores europeos y defender la integridad de nuestros procesos democráticos; acoge con satisfacción las medidas emprendidas por el Parlamento en la persecución de esos objetivos, combatiendo la desinformación y la manipulación de la información; pide a la DG COMM y a las Oficinas de Enlace del Parlamento Europeo que sigan desarrollando y aplicando estrategias eficaces para combatir la desinformación y la manipulación de la información; destaca que una de las armas más poderosas contra la desinformación es la comunicación positiva y basada en hechos sobre las actividades del Parlamento;</w:t>
      </w:r>
    </w:p>
    <w:p w14:paraId="7C91A9C2" w14:textId="77777777" w:rsidR="006E6E7B" w:rsidRPr="00832354" w:rsidRDefault="006E6E7B" w:rsidP="006E6E7B">
      <w:pPr>
        <w:pStyle w:val="action0"/>
        <w:spacing w:after="200"/>
        <w:ind w:left="567" w:hanging="567"/>
        <w:rPr>
          <w:rFonts w:eastAsia="Times New Roman"/>
        </w:rPr>
      </w:pPr>
      <w:r w:rsidRPr="00832354">
        <w:t>20.</w:t>
      </w:r>
      <w:r w:rsidRPr="00832354">
        <w:tab/>
        <w:t xml:space="preserve">Recuerda que el Parlamento apoya firmemente el multilingüismo y promueve los derechos de las minorías nacionales, regionales y lingüísticas; considera que el Parlamento puede contribuir activamente a la lucha contra la desinformación profundizando en su comunicación también en las lenguas de las comunidades y las minorías lingüísticas cuando proceda; pide a la Mesa que amplíe el alcance de la </w:t>
      </w:r>
      <w:r w:rsidRPr="00832354">
        <w:lastRenderedPageBreak/>
        <w:t xml:space="preserve">producción y la difusión de materiales de comunicación del Parlamento, que estén en consonancia con las necesidades de las minorías nacionales, regionales y lingüísticas de los Estados miembros, por ejemplo en las Oficinas de Enlace del Parlamento Europeo y los espacios «Europa </w:t>
      </w:r>
      <w:proofErr w:type="spellStart"/>
      <w:r w:rsidRPr="00832354">
        <w:t>Experience</w:t>
      </w:r>
      <w:proofErr w:type="spellEnd"/>
      <w:r w:rsidRPr="00832354">
        <w:t>», como forma de contrarrestar cualquier intento de utilizar las diferencias lingüísticas como pretexto para obstaculizar la cohesión; recuerda en ese sentido los importantes esfuerzos realizados por las Oficinas de Enlace del Parlamento Europeo en los países bálticos para proporcionar información a los ciudadanos en ucraniano y ruso desde el comienzo de la guerra de agresión rusa contra Ucrania, prestando especial atención a la lucha contra la desinformación y la propaganda rusas y alienta a seguir apoyando y promoviendo dichas actividades en ucraniano y ruso; subraya la importancia de la participación activa de las Oficinas de Enlace del Parlamento Europeo en la ejecución de los trabajos de este en materia de educación para la ciudadanía a través de múltiples programas con la participación de comunidades locales, escuelas y universidades;</w:t>
      </w:r>
    </w:p>
    <w:p w14:paraId="7B2A82C4" w14:textId="77777777" w:rsidR="006E6E7B" w:rsidRPr="00832354" w:rsidRDefault="006E6E7B" w:rsidP="006E6E7B">
      <w:pPr>
        <w:pStyle w:val="action0"/>
        <w:spacing w:after="200"/>
        <w:ind w:left="567" w:hanging="567"/>
      </w:pPr>
      <w:r w:rsidRPr="00832354">
        <w:t>21.</w:t>
      </w:r>
      <w:r w:rsidRPr="00832354">
        <w:tab/>
        <w:t xml:space="preserve">Subraya el potencial de la inteligencia artificial para apoyar a los diputados en el ejercicio de su mandato y para varias actividades de la administración del Parlamento; celebra que varios proyectos en el ámbito de la inteligencia artificial se encuentren ya en fase de preparación para 2025; </w:t>
      </w:r>
    </w:p>
    <w:p w14:paraId="28E78CD2" w14:textId="77777777" w:rsidR="006E6E7B" w:rsidRPr="00832354" w:rsidRDefault="006E6E7B" w:rsidP="006E6E7B">
      <w:pPr>
        <w:pStyle w:val="action0"/>
        <w:spacing w:after="200"/>
        <w:ind w:left="567" w:hanging="567"/>
      </w:pPr>
      <w:r w:rsidRPr="00832354">
        <w:t>22.</w:t>
      </w:r>
      <w:r w:rsidRPr="00832354">
        <w:tab/>
        <w:t>Apoya el anuncio realizado por el secretario general en la Comisión de Presupuestos de reducir la carga administrativa y la burocracia para los diputados y sus despachos al tiempo que se acelera la digitalización de los procesos en la administración; resalta que las inversiones en digitalización están generando un retorno de la inversión a medio plazo y no deben aplazarse para ahorrar costes a corto plazo;</w:t>
      </w:r>
    </w:p>
    <w:p w14:paraId="56121241" w14:textId="77777777" w:rsidR="006E6E7B" w:rsidRPr="00832354" w:rsidRDefault="006E6E7B" w:rsidP="006E6E7B">
      <w:pPr>
        <w:pStyle w:val="action0"/>
        <w:ind w:left="567" w:hanging="567"/>
      </w:pPr>
      <w:r w:rsidRPr="00832354">
        <w:t>23.</w:t>
      </w:r>
      <w:r w:rsidRPr="00832354">
        <w:tab/>
        <w:t>Pide al Parlamento que siga efectuando evaluaciones periódicas de la organización de sus necesidades de personal para optimizar el reparto de personal en la Secretaría del parlamento, en particular reasignando puestos vacantes entre servicios a fin de mantener constantes, en la mayor medida posible, los niveles de personal; pide al secretario general que evalúe los riesgos que entraña la contratación de un número creciente de agentes contractuales, en particular el peligro de crear una estructura de personal de dos niveles dentro del Parlamento; insiste en que los puestos y funciones fundamentales permanentes deben ser desempeñados por personal permanente;</w:t>
      </w:r>
    </w:p>
    <w:p w14:paraId="0E5329C6" w14:textId="77777777" w:rsidR="006E6E7B" w:rsidRPr="00832354" w:rsidRDefault="006E6E7B" w:rsidP="006E6E7B">
      <w:pPr>
        <w:pStyle w:val="action0"/>
        <w:spacing w:after="200"/>
        <w:ind w:left="567" w:hanging="567"/>
      </w:pPr>
      <w:r w:rsidRPr="00832354">
        <w:t>24.</w:t>
      </w:r>
      <w:r w:rsidRPr="00832354">
        <w:tab/>
        <w:t>Destaca que garantizar un equilibrio geográfico justo es un aspecto importante de la creación de un auténtico servicio público europeo; resalta que, con el paso de los años, el Parlamento ha adoptado una serie de medidas en este sentido; observa que aún hay margen de mejora; toma nota de que la Mesa ha creado el marco jurídico para la organización de oposiciones específicas por nacionalidad y ha decidido organizar la primera de ellas; destaca que las oposiciones deben basarse siempre en el mérito;</w:t>
      </w:r>
    </w:p>
    <w:p w14:paraId="27764276" w14:textId="77777777" w:rsidR="006E6E7B" w:rsidRPr="00832354" w:rsidRDefault="006E6E7B" w:rsidP="006E6E7B">
      <w:pPr>
        <w:pStyle w:val="action0"/>
        <w:ind w:left="567" w:hanging="567"/>
      </w:pPr>
      <w:r w:rsidRPr="00832354">
        <w:t>25.</w:t>
      </w:r>
      <w:r w:rsidRPr="00832354">
        <w:tab/>
        <w:t>Toma nota del procedimiento ya en vigor para las solicitudes de interpretación en la lengua de signos internacional por parte de un usuario de un órgano parlamentario en una reunión; pide al secretario general que siga explorando otras posibilidades, como las herramientas de transcripción automática de voz a texto y de traducción automática, respetando el principio de igualdad de acceso para todos los ciudadanos;</w:t>
      </w:r>
    </w:p>
    <w:p w14:paraId="7EE05ED0" w14:textId="77777777" w:rsidR="006E6E7B" w:rsidRPr="00832354" w:rsidRDefault="006E6E7B" w:rsidP="006E6E7B">
      <w:pPr>
        <w:pStyle w:val="NormalHanging12a"/>
        <w:rPr>
          <w:szCs w:val="24"/>
        </w:rPr>
      </w:pPr>
      <w:r w:rsidRPr="00832354">
        <w:t>26.</w:t>
      </w:r>
      <w:r w:rsidRPr="00832354">
        <w:tab/>
        <w:t xml:space="preserve">Reitera su petición a la Mesa, adoptada por el Pleno en varias ocasiones, de que inicie el trabajo de revisión del Reglamento para que los diputados puedan ejercer su derecho de voto de forma remota mientras están de baja de maternidad o paternidad, durante una enfermedad de larga duración o en casos de fuerza mayor, aprovechando las enseñanzas </w:t>
      </w:r>
      <w:r w:rsidRPr="00832354">
        <w:lastRenderedPageBreak/>
        <w:t>aprendidas durante la pandemia sobre los aspectos técnicos de este método de votación;</w:t>
      </w:r>
    </w:p>
    <w:p w14:paraId="00A24961" w14:textId="77777777" w:rsidR="006E6E7B" w:rsidRPr="00832354" w:rsidRDefault="006E6E7B" w:rsidP="006E6E7B">
      <w:pPr>
        <w:pStyle w:val="NormalHanging12a"/>
      </w:pPr>
      <w:r w:rsidRPr="00832354">
        <w:t>27.</w:t>
      </w:r>
      <w:r w:rsidRPr="00832354">
        <w:tab/>
        <w:t>Reitera su petición a la Mesa de que garantice que todos los restaurantes del Parlamento mantengan sus niveles de calidad, eficiencia y asequibilidad y reintroduzca el control de acceso a la entrada del restaurante de autoservicio en las horas punta; celebra la aplicación de controles de acceso a la entrada del autoservicio WEISS en Estrasburgo durante los períodos parciales de sesiones;</w:t>
      </w:r>
    </w:p>
    <w:p w14:paraId="6CE5AC6F" w14:textId="11A42D21" w:rsidR="001522A1" w:rsidRPr="00832354" w:rsidRDefault="001522A1" w:rsidP="006E6E7B">
      <w:pPr>
        <w:pStyle w:val="NormalHanging12a"/>
        <w:rPr>
          <w:szCs w:val="24"/>
        </w:rPr>
      </w:pPr>
      <w:r w:rsidRPr="00832354">
        <w:t>28.</w:t>
      </w:r>
      <w:r w:rsidRPr="00832354">
        <w:tab/>
        <w:t xml:space="preserve">Pide un verdadero compromiso con la realización del principio del multilingüismo; </w:t>
      </w:r>
    </w:p>
    <w:p w14:paraId="4214FFE2" w14:textId="62640B20" w:rsidR="006E6E7B" w:rsidRPr="00832354" w:rsidRDefault="006E6E7B" w:rsidP="006E6E7B">
      <w:pPr>
        <w:pStyle w:val="action0"/>
        <w:spacing w:after="200"/>
        <w:ind w:left="567" w:hanging="567"/>
      </w:pPr>
      <w:r w:rsidRPr="00832354">
        <w:rPr>
          <w:rStyle w:val="doceo-font-family-base"/>
          <w:shd w:val="clear" w:color="auto" w:fill="FFFFFF"/>
        </w:rPr>
        <w:t>2</w:t>
      </w:r>
      <w:r w:rsidR="001522A1" w:rsidRPr="00832354">
        <w:rPr>
          <w:rStyle w:val="doceo-font-family-base"/>
          <w:shd w:val="clear" w:color="auto" w:fill="FFFFFF"/>
        </w:rPr>
        <w:t>9</w:t>
      </w:r>
      <w:r w:rsidRPr="00832354">
        <w:rPr>
          <w:rStyle w:val="doceo-font-family-base"/>
          <w:shd w:val="clear" w:color="auto" w:fill="FFFFFF"/>
        </w:rPr>
        <w:t>.</w:t>
      </w:r>
      <w:r w:rsidRPr="00832354">
        <w:rPr>
          <w:rStyle w:val="doceo-font-family-base"/>
          <w:shd w:val="clear" w:color="auto" w:fill="FFFFFF"/>
        </w:rPr>
        <w:tab/>
        <w:t>Reitera su petición a la Conferencia de Presidentes y a la Mesa de que revisen las normas de desarrollo que rigen el trabajo de las delegaciones y las misiones fuera de la Unión; subraya que en esa revisión se debe considerar la posibilidad de que los asistentes parlamentarios acreditados, bajo determinadas condiciones, acompañen a los diputados en las delegaciones y misiones oficiales del Parlamento;</w:t>
      </w:r>
      <w:r w:rsidRPr="00832354">
        <w:t xml:space="preserve"> destaca que este cambio no tendría ninguna repercusión en la dotación y sería neutro desde el punto de vista presupuestario;</w:t>
      </w:r>
    </w:p>
    <w:p w14:paraId="3AA95326" w14:textId="330BB70C" w:rsidR="006E6E7B" w:rsidRPr="00832354" w:rsidRDefault="001522A1" w:rsidP="00B5123C">
      <w:pPr>
        <w:pStyle w:val="action0"/>
        <w:spacing w:after="200"/>
        <w:ind w:left="567" w:hanging="567"/>
        <w:rPr>
          <w:snapToGrid w:val="0"/>
        </w:rPr>
      </w:pPr>
      <w:r w:rsidRPr="00832354">
        <w:rPr>
          <w:rFonts w:ascii="TimesNewRomanPSMT" w:hAnsi="TimesNewRomanPSMT"/>
        </w:rPr>
        <w:t>30</w:t>
      </w:r>
      <w:r w:rsidR="006E6E7B" w:rsidRPr="00832354">
        <w:rPr>
          <w:rFonts w:ascii="TimesNewRomanPSMT" w:hAnsi="TimesNewRomanPSMT"/>
        </w:rPr>
        <w:t>.</w:t>
      </w:r>
      <w:r w:rsidR="006E6E7B" w:rsidRPr="00832354">
        <w:rPr>
          <w:rFonts w:ascii="TimesNewRomanPSMT" w:hAnsi="TimesNewRomanPSMT"/>
        </w:rPr>
        <w:tab/>
      </w:r>
      <w:r w:rsidR="006E6E7B" w:rsidRPr="00832354">
        <w:t>Espera que las peticiones votadas por el Pleno se apliquen con carácter de alta prioridad;</w:t>
      </w:r>
    </w:p>
    <w:p w14:paraId="0CE7AEAD" w14:textId="77777777" w:rsidR="006E6E7B" w:rsidRPr="00832354" w:rsidRDefault="006E6E7B" w:rsidP="006E6E7B">
      <w:pPr>
        <w:widowControl/>
        <w:tabs>
          <w:tab w:val="left" w:pos="567"/>
        </w:tabs>
        <w:spacing w:after="240"/>
        <w:ind w:left="567" w:hanging="567"/>
        <w:jc w:val="center"/>
        <w:rPr>
          <w:szCs w:val="24"/>
        </w:rPr>
      </w:pPr>
      <w:r w:rsidRPr="00832354">
        <w:t>°</w:t>
      </w:r>
    </w:p>
    <w:p w14:paraId="2F24DC78" w14:textId="77777777" w:rsidR="006E6E7B" w:rsidRPr="00832354" w:rsidRDefault="006E6E7B" w:rsidP="006E6E7B">
      <w:pPr>
        <w:widowControl/>
        <w:tabs>
          <w:tab w:val="left" w:pos="567"/>
        </w:tabs>
        <w:spacing w:after="240"/>
        <w:ind w:left="567" w:hanging="567"/>
        <w:jc w:val="center"/>
        <w:rPr>
          <w:szCs w:val="24"/>
        </w:rPr>
      </w:pPr>
      <w:r w:rsidRPr="00832354">
        <w:t>°         °</w:t>
      </w:r>
    </w:p>
    <w:p w14:paraId="342AB538" w14:textId="637A1AD4" w:rsidR="006E6E7B" w:rsidRPr="00832354" w:rsidRDefault="006E6E7B" w:rsidP="006E6E7B">
      <w:pPr>
        <w:pStyle w:val="action0"/>
        <w:spacing w:before="200" w:after="200"/>
        <w:ind w:left="567" w:hanging="567"/>
      </w:pPr>
      <w:r w:rsidRPr="00832354">
        <w:t>3</w:t>
      </w:r>
      <w:r w:rsidR="001522A1" w:rsidRPr="00832354">
        <w:t>1</w:t>
      </w:r>
      <w:r w:rsidRPr="00832354">
        <w:t>.</w:t>
      </w:r>
      <w:r w:rsidRPr="00832354">
        <w:tab/>
        <w:t>Aprueba el estado de previsiones para el ejercicio 2025;</w:t>
      </w:r>
    </w:p>
    <w:p w14:paraId="65770613" w14:textId="5E641E31" w:rsidR="00E365E1" w:rsidRPr="00832354" w:rsidRDefault="006E6E7B" w:rsidP="00B5123C">
      <w:pPr>
        <w:pStyle w:val="action0"/>
        <w:spacing w:after="200"/>
        <w:ind w:left="567" w:hanging="567"/>
      </w:pPr>
      <w:r w:rsidRPr="00832354">
        <w:t>3</w:t>
      </w:r>
      <w:r w:rsidR="001522A1" w:rsidRPr="00832354">
        <w:t>2</w:t>
      </w:r>
      <w:r w:rsidRPr="00832354">
        <w:t>.</w:t>
      </w:r>
      <w:r w:rsidRPr="00832354">
        <w:tab/>
        <w:t xml:space="preserve">Encarga a su presidenta que transmita la presente Resolución y el estado de previsiones </w:t>
      </w:r>
      <w:r w:rsidR="006317D1" w:rsidRPr="00832354">
        <w:t>al Consejo y a la Comisión.</w:t>
      </w:r>
    </w:p>
    <w:sectPr w:rsidR="00E365E1" w:rsidRPr="00832354" w:rsidSect="006317D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296F22" w14:textId="77777777" w:rsidR="00CA7EEA" w:rsidRPr="006317D1" w:rsidRDefault="00CA7EEA">
      <w:r w:rsidRPr="006317D1">
        <w:separator/>
      </w:r>
    </w:p>
  </w:endnote>
  <w:endnote w:type="continuationSeparator" w:id="0">
    <w:p w14:paraId="2D4D96F7" w14:textId="77777777" w:rsidR="00CA7EEA" w:rsidRPr="006317D1" w:rsidRDefault="00CA7EEA">
      <w:r w:rsidRPr="006317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altName w:val="Malgun Gothic Semilight"/>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967F8" w14:textId="77777777" w:rsidR="00064002" w:rsidRPr="006317D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54ABB" w14:textId="77777777" w:rsidR="00064002" w:rsidRPr="006317D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75275" w14:textId="77777777" w:rsidR="00064002" w:rsidRPr="006317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20DB18" w14:textId="77777777" w:rsidR="00CA7EEA" w:rsidRPr="006317D1" w:rsidRDefault="00CA7EEA">
      <w:r w:rsidRPr="006317D1">
        <w:separator/>
      </w:r>
    </w:p>
  </w:footnote>
  <w:footnote w:type="continuationSeparator" w:id="0">
    <w:p w14:paraId="5F66B776" w14:textId="77777777" w:rsidR="00CA7EEA" w:rsidRPr="006317D1" w:rsidRDefault="00CA7EEA">
      <w:r w:rsidRPr="006317D1">
        <w:continuationSeparator/>
      </w:r>
    </w:p>
  </w:footnote>
  <w:footnote w:id="1">
    <w:p w14:paraId="55130921" w14:textId="77777777" w:rsidR="006E6E7B" w:rsidRPr="001522A1" w:rsidRDefault="006E6E7B" w:rsidP="006317D1">
      <w:pPr>
        <w:pStyle w:val="FootnoteText"/>
        <w:ind w:left="567" w:hanging="567"/>
        <w:rPr>
          <w:sz w:val="24"/>
          <w:lang w:val="pt-PT"/>
        </w:rPr>
      </w:pPr>
      <w:r w:rsidRPr="006317D1">
        <w:rPr>
          <w:rStyle w:val="FootnoteReference"/>
          <w:sz w:val="24"/>
          <w:lang w:val="es-ES_tradnl"/>
        </w:rPr>
        <w:footnoteRef/>
      </w:r>
      <w:r w:rsidR="006317D1" w:rsidRPr="001522A1">
        <w:rPr>
          <w:sz w:val="24"/>
          <w:lang w:val="pt-PT"/>
        </w:rPr>
        <w:t xml:space="preserve"> </w:t>
      </w:r>
      <w:r w:rsidR="006317D1" w:rsidRPr="001522A1">
        <w:rPr>
          <w:sz w:val="24"/>
          <w:lang w:val="pt-PT"/>
        </w:rPr>
        <w:tab/>
      </w:r>
      <w:r w:rsidRPr="001522A1">
        <w:rPr>
          <w:sz w:val="24"/>
          <w:lang w:val="pt-PT"/>
        </w:rPr>
        <w:t>DO L 193 de 30.7.2018, p. 1.</w:t>
      </w:r>
    </w:p>
  </w:footnote>
  <w:footnote w:id="2">
    <w:p w14:paraId="5652188B" w14:textId="77777777" w:rsidR="006E6E7B" w:rsidRPr="001522A1" w:rsidRDefault="006E6E7B" w:rsidP="006317D1">
      <w:pPr>
        <w:pStyle w:val="FootnoteText"/>
        <w:ind w:left="567" w:hanging="567"/>
        <w:rPr>
          <w:sz w:val="24"/>
          <w:lang w:val="pt-PT"/>
        </w:rPr>
      </w:pPr>
      <w:r w:rsidRPr="006317D1">
        <w:rPr>
          <w:rStyle w:val="FootnoteReference"/>
          <w:sz w:val="24"/>
          <w:lang w:val="es-ES_tradnl"/>
        </w:rPr>
        <w:footnoteRef/>
      </w:r>
      <w:r w:rsidR="006317D1" w:rsidRPr="001522A1">
        <w:rPr>
          <w:sz w:val="24"/>
          <w:lang w:val="pt-PT"/>
        </w:rPr>
        <w:t xml:space="preserve"> </w:t>
      </w:r>
      <w:r w:rsidR="006317D1" w:rsidRPr="001522A1">
        <w:rPr>
          <w:sz w:val="24"/>
          <w:lang w:val="pt-PT"/>
        </w:rPr>
        <w:tab/>
      </w:r>
      <w:r w:rsidRPr="001522A1">
        <w:rPr>
          <w:sz w:val="24"/>
          <w:lang w:val="pt-PT"/>
        </w:rPr>
        <w:t>DO L 433 I de 22.12.2020, p. 11.</w:t>
      </w:r>
    </w:p>
  </w:footnote>
  <w:footnote w:id="3">
    <w:p w14:paraId="2684795E" w14:textId="77777777" w:rsidR="006E6E7B" w:rsidRPr="001522A1" w:rsidRDefault="006E6E7B" w:rsidP="006317D1">
      <w:pPr>
        <w:pStyle w:val="FootnoteText"/>
        <w:ind w:left="567" w:hanging="567"/>
        <w:rPr>
          <w:sz w:val="24"/>
          <w:lang w:val="pt-PT"/>
        </w:rPr>
      </w:pPr>
      <w:r w:rsidRPr="006317D1">
        <w:rPr>
          <w:rStyle w:val="FootnoteReference"/>
          <w:sz w:val="24"/>
          <w:lang w:val="es-ES_tradnl"/>
        </w:rPr>
        <w:footnoteRef/>
      </w:r>
      <w:r w:rsidR="006317D1" w:rsidRPr="001522A1">
        <w:rPr>
          <w:sz w:val="24"/>
          <w:lang w:val="pt-PT"/>
        </w:rPr>
        <w:t xml:space="preserve"> </w:t>
      </w:r>
      <w:r w:rsidR="006317D1" w:rsidRPr="001522A1">
        <w:rPr>
          <w:sz w:val="24"/>
          <w:lang w:val="pt-PT"/>
        </w:rPr>
        <w:tab/>
      </w:r>
      <w:r w:rsidRPr="001522A1">
        <w:rPr>
          <w:sz w:val="24"/>
          <w:lang w:val="pt-PT"/>
        </w:rPr>
        <w:t>DO C 444 I de 22.12.2020, p. 4.</w:t>
      </w:r>
    </w:p>
  </w:footnote>
  <w:footnote w:id="4">
    <w:p w14:paraId="4330E211" w14:textId="77777777" w:rsidR="006E6E7B" w:rsidRPr="001522A1" w:rsidRDefault="006E6E7B" w:rsidP="006317D1">
      <w:pPr>
        <w:pStyle w:val="FootnoteText"/>
        <w:ind w:left="567" w:hanging="567"/>
        <w:rPr>
          <w:sz w:val="24"/>
          <w:lang w:val="pt-PT"/>
        </w:rPr>
      </w:pPr>
      <w:r w:rsidRPr="006317D1">
        <w:rPr>
          <w:rStyle w:val="FootnoteReference"/>
          <w:sz w:val="24"/>
          <w:lang w:val="es-ES_tradnl"/>
        </w:rPr>
        <w:footnoteRef/>
      </w:r>
      <w:r w:rsidR="006317D1" w:rsidRPr="001522A1">
        <w:rPr>
          <w:sz w:val="24"/>
          <w:lang w:val="pt-PT"/>
        </w:rPr>
        <w:t xml:space="preserve"> </w:t>
      </w:r>
      <w:r w:rsidR="006317D1" w:rsidRPr="001522A1">
        <w:rPr>
          <w:sz w:val="24"/>
          <w:lang w:val="pt-PT"/>
        </w:rPr>
        <w:tab/>
      </w:r>
      <w:r w:rsidRPr="001522A1">
        <w:rPr>
          <w:sz w:val="24"/>
          <w:lang w:val="pt-PT"/>
        </w:rPr>
        <w:t xml:space="preserve">Textos </w:t>
      </w:r>
      <w:proofErr w:type="spellStart"/>
      <w:r w:rsidRPr="001522A1">
        <w:rPr>
          <w:sz w:val="24"/>
          <w:lang w:val="pt-PT"/>
        </w:rPr>
        <w:t>Aprobados</w:t>
      </w:r>
      <w:proofErr w:type="spellEnd"/>
      <w:r w:rsidRPr="001522A1">
        <w:rPr>
          <w:sz w:val="24"/>
          <w:lang w:val="pt-PT"/>
        </w:rPr>
        <w:t>, P9_</w:t>
      </w:r>
      <w:proofErr w:type="gramStart"/>
      <w:r w:rsidRPr="001522A1">
        <w:rPr>
          <w:sz w:val="24"/>
          <w:lang w:val="pt-PT"/>
        </w:rPr>
        <w:t>TA(</w:t>
      </w:r>
      <w:proofErr w:type="gramEnd"/>
      <w:r w:rsidRPr="001522A1">
        <w:rPr>
          <w:sz w:val="24"/>
          <w:lang w:val="pt-PT"/>
        </w:rPr>
        <w:t>2020)0357.</w:t>
      </w:r>
    </w:p>
  </w:footnote>
  <w:footnote w:id="5">
    <w:p w14:paraId="455D74A0" w14:textId="22DFE3C9" w:rsidR="006E6E7B" w:rsidRPr="001522A1" w:rsidRDefault="006E6E7B" w:rsidP="006317D1">
      <w:pPr>
        <w:pStyle w:val="FootnoteText"/>
        <w:ind w:left="567" w:hanging="567"/>
        <w:rPr>
          <w:sz w:val="24"/>
          <w:lang w:val="pt-PT"/>
        </w:rPr>
      </w:pPr>
      <w:r w:rsidRPr="006317D1">
        <w:rPr>
          <w:rStyle w:val="FootnoteReference"/>
          <w:sz w:val="24"/>
          <w:lang w:val="es-ES_tradnl"/>
        </w:rPr>
        <w:footnoteRef/>
      </w:r>
      <w:r w:rsidR="006317D1" w:rsidRPr="001522A1">
        <w:rPr>
          <w:sz w:val="24"/>
          <w:lang w:val="pt-PT"/>
        </w:rPr>
        <w:t xml:space="preserve"> </w:t>
      </w:r>
      <w:r w:rsidR="006317D1" w:rsidRPr="001522A1">
        <w:rPr>
          <w:sz w:val="24"/>
          <w:lang w:val="pt-PT"/>
        </w:rPr>
        <w:tab/>
      </w:r>
      <w:r w:rsidRPr="001522A1">
        <w:rPr>
          <w:sz w:val="24"/>
          <w:lang w:val="pt-PT"/>
        </w:rPr>
        <w:t>DO L 433 I de 22.12.2020</w:t>
      </w:r>
      <w:r w:rsidR="003113E0">
        <w:rPr>
          <w:sz w:val="24"/>
          <w:lang w:val="pt-PT"/>
        </w:rPr>
        <w:t>,</w:t>
      </w:r>
      <w:r w:rsidRPr="001522A1">
        <w:rPr>
          <w:sz w:val="24"/>
          <w:lang w:val="pt-PT"/>
        </w:rPr>
        <w:t xml:space="preserve"> p. 28.</w:t>
      </w:r>
    </w:p>
  </w:footnote>
  <w:footnote w:id="6">
    <w:p w14:paraId="2D4FFEC9" w14:textId="77777777" w:rsidR="006E6E7B" w:rsidRPr="001522A1" w:rsidRDefault="006E6E7B" w:rsidP="006317D1">
      <w:pPr>
        <w:pStyle w:val="FootnoteText"/>
        <w:ind w:left="567" w:hanging="567"/>
        <w:rPr>
          <w:sz w:val="24"/>
          <w:lang w:val="pt-PT"/>
        </w:rPr>
      </w:pPr>
      <w:r w:rsidRPr="006317D1">
        <w:rPr>
          <w:rStyle w:val="FootnoteReference"/>
          <w:sz w:val="24"/>
          <w:lang w:val="es-ES_tradnl"/>
        </w:rPr>
        <w:footnoteRef/>
      </w:r>
      <w:r w:rsidR="006317D1" w:rsidRPr="001522A1">
        <w:rPr>
          <w:sz w:val="24"/>
          <w:lang w:val="pt-PT"/>
        </w:rPr>
        <w:t xml:space="preserve"> </w:t>
      </w:r>
      <w:r w:rsidR="006317D1" w:rsidRPr="001522A1">
        <w:rPr>
          <w:sz w:val="24"/>
          <w:lang w:val="pt-PT"/>
        </w:rPr>
        <w:tab/>
      </w:r>
      <w:r w:rsidRPr="001522A1">
        <w:rPr>
          <w:sz w:val="24"/>
          <w:lang w:val="pt-PT"/>
        </w:rPr>
        <w:t xml:space="preserve">Textos </w:t>
      </w:r>
      <w:proofErr w:type="spellStart"/>
      <w:r w:rsidRPr="001522A1">
        <w:rPr>
          <w:sz w:val="24"/>
          <w:lang w:val="pt-PT"/>
        </w:rPr>
        <w:t>Aprobados</w:t>
      </w:r>
      <w:proofErr w:type="spellEnd"/>
      <w:r w:rsidRPr="001522A1">
        <w:rPr>
          <w:sz w:val="24"/>
          <w:lang w:val="pt-PT"/>
        </w:rPr>
        <w:t>, P9_</w:t>
      </w:r>
      <w:proofErr w:type="gramStart"/>
      <w:r w:rsidRPr="001522A1">
        <w:rPr>
          <w:sz w:val="24"/>
          <w:lang w:val="pt-PT"/>
        </w:rPr>
        <w:t>TA(</w:t>
      </w:r>
      <w:proofErr w:type="gramEnd"/>
      <w:r w:rsidRPr="001522A1">
        <w:rPr>
          <w:sz w:val="24"/>
          <w:lang w:val="pt-PT"/>
        </w:rPr>
        <w:t>2023)0335.</w:t>
      </w:r>
    </w:p>
  </w:footnote>
  <w:footnote w:id="7">
    <w:p w14:paraId="70EE24A2" w14:textId="77777777" w:rsidR="006E6E7B" w:rsidRPr="001522A1" w:rsidRDefault="006E6E7B" w:rsidP="006317D1">
      <w:pPr>
        <w:pStyle w:val="Action"/>
        <w:tabs>
          <w:tab w:val="clear" w:pos="357"/>
        </w:tabs>
        <w:spacing w:after="0"/>
        <w:ind w:left="567" w:hanging="567"/>
        <w:outlineLvl w:val="0"/>
        <w:rPr>
          <w:lang w:val="pt-PT"/>
        </w:rPr>
      </w:pPr>
      <w:r w:rsidRPr="006317D1">
        <w:rPr>
          <w:rStyle w:val="FootnoteReference"/>
        </w:rPr>
        <w:footnoteRef/>
      </w:r>
      <w:r w:rsidR="006317D1" w:rsidRPr="001522A1">
        <w:rPr>
          <w:lang w:val="pt-PT"/>
        </w:rPr>
        <w:t xml:space="preserve"> </w:t>
      </w:r>
      <w:r w:rsidR="006317D1" w:rsidRPr="001522A1">
        <w:rPr>
          <w:lang w:val="pt-PT"/>
        </w:rPr>
        <w:tab/>
      </w:r>
      <w:r w:rsidRPr="001522A1">
        <w:rPr>
          <w:lang w:val="pt-PT"/>
        </w:rPr>
        <w:t>DO C 177 de 17.5.2023, p. 115.</w:t>
      </w:r>
    </w:p>
  </w:footnote>
  <w:footnote w:id="8">
    <w:p w14:paraId="7B003CDB" w14:textId="41E71C36" w:rsidR="006E6E7B" w:rsidRPr="001522A1" w:rsidRDefault="006E6E7B" w:rsidP="006317D1">
      <w:pPr>
        <w:pStyle w:val="FootnoteText"/>
        <w:ind w:left="567" w:hanging="567"/>
        <w:rPr>
          <w:sz w:val="24"/>
          <w:lang w:val="pt-PT"/>
        </w:rPr>
      </w:pPr>
      <w:r w:rsidRPr="006317D1">
        <w:rPr>
          <w:rStyle w:val="FootnoteReference"/>
          <w:sz w:val="24"/>
          <w:lang w:val="es-ES_tradnl"/>
        </w:rPr>
        <w:footnoteRef/>
      </w:r>
      <w:r w:rsidR="006317D1" w:rsidRPr="001522A1">
        <w:rPr>
          <w:rStyle w:val="Emphasis"/>
          <w:color w:val="333333"/>
          <w:sz w:val="24"/>
          <w:shd w:val="clear" w:color="auto" w:fill="FFFFFF"/>
          <w:lang w:val="pt-PT"/>
        </w:rPr>
        <w:t xml:space="preserve"> </w:t>
      </w:r>
      <w:r w:rsidR="006317D1" w:rsidRPr="001522A1">
        <w:rPr>
          <w:rStyle w:val="Emphasis"/>
          <w:color w:val="333333"/>
          <w:sz w:val="24"/>
          <w:shd w:val="clear" w:color="auto" w:fill="FFFFFF"/>
          <w:lang w:val="pt-PT"/>
        </w:rPr>
        <w:tab/>
      </w:r>
      <w:r w:rsidRPr="001522A1">
        <w:rPr>
          <w:rStyle w:val="Emphasis"/>
          <w:i w:val="0"/>
          <w:sz w:val="24"/>
          <w:shd w:val="clear" w:color="auto" w:fill="FFFFFF"/>
          <w:lang w:val="pt-PT"/>
        </w:rPr>
        <w:t xml:space="preserve">DO L, 2024/765, 29.2.2024, ELI: </w:t>
      </w:r>
      <w:hyperlink r:id="rId1" w:history="1">
        <w:r w:rsidR="00CB3317" w:rsidRPr="003E769B">
          <w:rPr>
            <w:rStyle w:val="Hyperlink"/>
            <w:sz w:val="24"/>
            <w:szCs w:val="21"/>
            <w:shd w:val="clear" w:color="auto" w:fill="FFFFFF"/>
            <w:lang w:val="pt-PT"/>
          </w:rPr>
          <w:t>http://data.europa.eu/eli/reg/2024/765/oj</w:t>
        </w:r>
      </w:hyperlink>
      <w:r w:rsidRPr="001522A1">
        <w:rPr>
          <w:rStyle w:val="Emphasis"/>
          <w:i w:val="0"/>
          <w:sz w:val="24"/>
          <w:shd w:val="clear" w:color="auto" w:fill="FFFFFF"/>
          <w:lang w:val="pt-PT"/>
        </w:rPr>
        <w:t>.</w:t>
      </w:r>
    </w:p>
  </w:footnote>
  <w:footnote w:id="9">
    <w:p w14:paraId="532B8DE0" w14:textId="77777777" w:rsidR="006E6E7B" w:rsidRPr="001522A1" w:rsidRDefault="006E6E7B" w:rsidP="006317D1">
      <w:pPr>
        <w:pStyle w:val="FootnoteText"/>
        <w:ind w:left="567" w:hanging="567"/>
        <w:rPr>
          <w:sz w:val="24"/>
          <w:lang w:val="pt-PT"/>
        </w:rPr>
      </w:pPr>
      <w:r w:rsidRPr="006317D1">
        <w:rPr>
          <w:rStyle w:val="FootnoteReference"/>
          <w:sz w:val="24"/>
          <w:lang w:val="es-ES_tradnl"/>
        </w:rPr>
        <w:footnoteRef/>
      </w:r>
      <w:r w:rsidR="006317D1" w:rsidRPr="001522A1">
        <w:rPr>
          <w:sz w:val="24"/>
          <w:lang w:val="pt-PT"/>
        </w:rPr>
        <w:t xml:space="preserve"> </w:t>
      </w:r>
      <w:r w:rsidR="006317D1" w:rsidRPr="001522A1">
        <w:rPr>
          <w:sz w:val="24"/>
          <w:lang w:val="pt-PT"/>
        </w:rPr>
        <w:tab/>
      </w:r>
      <w:proofErr w:type="gramStart"/>
      <w:r w:rsidRPr="001522A1">
        <w:rPr>
          <w:sz w:val="24"/>
          <w:lang w:val="pt-PT"/>
        </w:rPr>
        <w:t>COM(</w:t>
      </w:r>
      <w:proofErr w:type="gramEnd"/>
      <w:r w:rsidRPr="001522A1">
        <w:rPr>
          <w:sz w:val="24"/>
          <w:lang w:val="pt-PT"/>
        </w:rPr>
        <w:t>2022)0223.</w:t>
      </w:r>
    </w:p>
  </w:footnote>
  <w:footnote w:id="10">
    <w:p w14:paraId="48EEAF01" w14:textId="77777777" w:rsidR="006E6E7B" w:rsidRPr="001522A1" w:rsidRDefault="006E6E7B" w:rsidP="006317D1">
      <w:pPr>
        <w:pStyle w:val="FootnoteText"/>
        <w:ind w:left="567" w:hanging="567"/>
        <w:rPr>
          <w:sz w:val="24"/>
          <w:lang w:val="pt-PT"/>
        </w:rPr>
      </w:pPr>
      <w:r w:rsidRPr="006317D1">
        <w:rPr>
          <w:rStyle w:val="FootnoteReference"/>
          <w:sz w:val="24"/>
          <w:lang w:val="es-ES_tradnl"/>
        </w:rPr>
        <w:footnoteRef/>
      </w:r>
      <w:r w:rsidR="006317D1" w:rsidRPr="001522A1">
        <w:rPr>
          <w:sz w:val="24"/>
          <w:lang w:val="pt-PT"/>
        </w:rPr>
        <w:t xml:space="preserve"> </w:t>
      </w:r>
      <w:r w:rsidR="006317D1" w:rsidRPr="001522A1">
        <w:rPr>
          <w:sz w:val="24"/>
          <w:lang w:val="pt-PT"/>
        </w:rPr>
        <w:tab/>
      </w:r>
      <w:r w:rsidRPr="001522A1">
        <w:rPr>
          <w:sz w:val="24"/>
          <w:lang w:val="pt-PT"/>
        </w:rPr>
        <w:t>DO L 287 de 29.10.2013, p. 15.</w:t>
      </w:r>
    </w:p>
  </w:footnote>
  <w:footnote w:id="11">
    <w:p w14:paraId="07BC9108" w14:textId="77777777" w:rsidR="006E6E7B" w:rsidRPr="001522A1" w:rsidRDefault="006E6E7B" w:rsidP="006317D1">
      <w:pPr>
        <w:pStyle w:val="FootnoteText"/>
        <w:ind w:left="567" w:hanging="567"/>
        <w:rPr>
          <w:sz w:val="24"/>
          <w:lang w:val="pt-PT"/>
        </w:rPr>
      </w:pPr>
      <w:r w:rsidRPr="006317D1">
        <w:rPr>
          <w:rStyle w:val="FootnoteReference"/>
          <w:sz w:val="24"/>
          <w:lang w:val="es-ES_tradnl"/>
        </w:rPr>
        <w:footnoteRef/>
      </w:r>
      <w:r w:rsidR="006317D1" w:rsidRPr="001522A1">
        <w:rPr>
          <w:sz w:val="24"/>
          <w:lang w:val="pt-PT"/>
        </w:rPr>
        <w:t xml:space="preserve"> </w:t>
      </w:r>
      <w:r w:rsidR="006317D1" w:rsidRPr="001522A1">
        <w:rPr>
          <w:sz w:val="24"/>
          <w:lang w:val="pt-PT"/>
        </w:rPr>
        <w:tab/>
      </w:r>
      <w:r w:rsidRPr="001522A1">
        <w:rPr>
          <w:sz w:val="24"/>
          <w:lang w:val="pt-PT"/>
        </w:rPr>
        <w:t xml:space="preserve">Textos </w:t>
      </w:r>
      <w:proofErr w:type="spellStart"/>
      <w:r w:rsidRPr="001522A1">
        <w:rPr>
          <w:sz w:val="24"/>
          <w:lang w:val="pt-PT"/>
        </w:rPr>
        <w:t>Aprobados</w:t>
      </w:r>
      <w:proofErr w:type="spellEnd"/>
      <w:r w:rsidRPr="001522A1">
        <w:rPr>
          <w:sz w:val="24"/>
          <w:lang w:val="pt-PT"/>
        </w:rPr>
        <w:t>, P9_</w:t>
      </w:r>
      <w:proofErr w:type="gramStart"/>
      <w:r w:rsidRPr="001522A1">
        <w:rPr>
          <w:sz w:val="24"/>
          <w:lang w:val="pt-PT"/>
        </w:rPr>
        <w:t>TA(</w:t>
      </w:r>
      <w:proofErr w:type="gramEnd"/>
      <w:r w:rsidRPr="001522A1">
        <w:rPr>
          <w:sz w:val="24"/>
          <w:lang w:val="pt-PT"/>
        </w:rPr>
        <w:t>2023)0119.</w:t>
      </w:r>
    </w:p>
  </w:footnote>
  <w:footnote w:id="12">
    <w:p w14:paraId="6814A750" w14:textId="77777777" w:rsidR="006E6E7B" w:rsidRPr="001522A1" w:rsidRDefault="006E6E7B" w:rsidP="006317D1">
      <w:pPr>
        <w:pStyle w:val="FootnoteText"/>
        <w:ind w:left="567" w:hanging="567"/>
        <w:rPr>
          <w:sz w:val="24"/>
          <w:lang w:val="pt-PT"/>
        </w:rPr>
      </w:pPr>
      <w:r w:rsidRPr="006317D1">
        <w:rPr>
          <w:rStyle w:val="FootnoteReference"/>
          <w:sz w:val="24"/>
          <w:lang w:val="es-ES_tradnl"/>
        </w:rPr>
        <w:footnoteRef/>
      </w:r>
      <w:r w:rsidR="006317D1" w:rsidRPr="001522A1">
        <w:rPr>
          <w:sz w:val="24"/>
          <w:lang w:val="pt-PT"/>
        </w:rPr>
        <w:t xml:space="preserve"> </w:t>
      </w:r>
      <w:r w:rsidR="006317D1" w:rsidRPr="001522A1">
        <w:rPr>
          <w:sz w:val="24"/>
          <w:lang w:val="pt-PT"/>
        </w:rPr>
        <w:tab/>
      </w:r>
      <w:r w:rsidRPr="001522A1">
        <w:rPr>
          <w:sz w:val="24"/>
          <w:lang w:val="pt-PT"/>
        </w:rPr>
        <w:t xml:space="preserve">Textos </w:t>
      </w:r>
      <w:proofErr w:type="spellStart"/>
      <w:r w:rsidRPr="001522A1">
        <w:rPr>
          <w:sz w:val="24"/>
          <w:lang w:val="pt-PT"/>
        </w:rPr>
        <w:t>Aprobados</w:t>
      </w:r>
      <w:proofErr w:type="spellEnd"/>
      <w:r w:rsidRPr="001522A1">
        <w:rPr>
          <w:sz w:val="24"/>
          <w:lang w:val="pt-PT"/>
        </w:rPr>
        <w:t>, P9_</w:t>
      </w:r>
      <w:proofErr w:type="gramStart"/>
      <w:r w:rsidRPr="001522A1">
        <w:rPr>
          <w:sz w:val="24"/>
          <w:lang w:val="pt-PT"/>
        </w:rPr>
        <w:t>TA(</w:t>
      </w:r>
      <w:proofErr w:type="gramEnd"/>
      <w:r w:rsidRPr="001522A1">
        <w:rPr>
          <w:sz w:val="24"/>
          <w:lang w:val="pt-PT"/>
        </w:rPr>
        <w:t>2023)0367.</w:t>
      </w:r>
    </w:p>
  </w:footnote>
  <w:footnote w:id="13">
    <w:p w14:paraId="7B6385DF" w14:textId="77777777" w:rsidR="006E6E7B" w:rsidRPr="001522A1" w:rsidRDefault="006E6E7B" w:rsidP="006317D1">
      <w:pPr>
        <w:pStyle w:val="FootnoteText"/>
        <w:ind w:left="567" w:hanging="567"/>
        <w:rPr>
          <w:sz w:val="24"/>
          <w:lang w:val="pt-PT"/>
        </w:rPr>
      </w:pPr>
      <w:r w:rsidRPr="006317D1">
        <w:rPr>
          <w:rStyle w:val="FootnoteReference"/>
          <w:sz w:val="24"/>
          <w:lang w:val="es-ES_tradnl"/>
        </w:rPr>
        <w:footnoteRef/>
      </w:r>
      <w:r w:rsidR="006317D1" w:rsidRPr="001522A1">
        <w:rPr>
          <w:sz w:val="24"/>
          <w:lang w:val="pt-PT"/>
        </w:rPr>
        <w:t xml:space="preserve"> </w:t>
      </w:r>
      <w:r w:rsidR="006317D1" w:rsidRPr="001522A1">
        <w:rPr>
          <w:sz w:val="24"/>
          <w:lang w:val="pt-PT"/>
        </w:rPr>
        <w:tab/>
      </w:r>
      <w:r w:rsidRPr="001522A1">
        <w:rPr>
          <w:sz w:val="24"/>
          <w:lang w:val="pt-PT"/>
        </w:rPr>
        <w:t>DO L 207 de 22.2.2024.</w:t>
      </w:r>
    </w:p>
  </w:footnote>
  <w:footnote w:id="14">
    <w:p w14:paraId="3413A5BD" w14:textId="77777777" w:rsidR="006E6E7B" w:rsidRPr="006317D1" w:rsidRDefault="006E6E7B" w:rsidP="006317D1">
      <w:pPr>
        <w:pStyle w:val="FootnoteText"/>
        <w:ind w:left="567" w:hanging="567"/>
        <w:rPr>
          <w:sz w:val="24"/>
          <w:lang w:val="es-ES_tradnl"/>
        </w:rPr>
      </w:pPr>
      <w:r w:rsidRPr="006317D1">
        <w:rPr>
          <w:rStyle w:val="FootnoteReference"/>
          <w:sz w:val="24"/>
          <w:lang w:val="es-ES_tradnl"/>
        </w:rPr>
        <w:footnoteRef/>
      </w:r>
      <w:r w:rsidR="006317D1" w:rsidRPr="006317D1">
        <w:rPr>
          <w:sz w:val="24"/>
          <w:lang w:val="es-ES_tradnl"/>
        </w:rPr>
        <w:t xml:space="preserve"> </w:t>
      </w:r>
      <w:r w:rsidR="006317D1" w:rsidRPr="006317D1">
        <w:rPr>
          <w:sz w:val="24"/>
          <w:lang w:val="es-ES_tradnl"/>
        </w:rPr>
        <w:tab/>
      </w:r>
      <w:r w:rsidRPr="006317D1">
        <w:rPr>
          <w:sz w:val="24"/>
          <w:lang w:val="es-ES_tradnl"/>
        </w:rPr>
        <w:t>Textos Aprobados, P9_</w:t>
      </w:r>
      <w:proofErr w:type="gramStart"/>
      <w:r w:rsidRPr="006317D1">
        <w:rPr>
          <w:sz w:val="24"/>
          <w:lang w:val="es-ES_tradnl"/>
        </w:rPr>
        <w:t>TA(</w:t>
      </w:r>
      <w:proofErr w:type="gramEnd"/>
      <w:r w:rsidRPr="006317D1">
        <w:rPr>
          <w:sz w:val="24"/>
          <w:lang w:val="es-ES_tradnl"/>
        </w:rPr>
        <w:t>2022)0366.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FD34D" w14:textId="77777777" w:rsidR="00064002" w:rsidRPr="006317D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D79DF" w14:textId="77777777" w:rsidR="00064002" w:rsidRPr="006317D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CF1AF" w14:textId="77777777" w:rsidR="00064002" w:rsidRPr="006317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C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 w15:restartNumberingAfterBreak="0">
    <w:nsid w:val="000000C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 w15:restartNumberingAfterBreak="0">
    <w:nsid w:val="000000C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 w15:restartNumberingAfterBreak="0">
    <w:nsid w:val="000000C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4" w15:restartNumberingAfterBreak="0">
    <w:nsid w:val="000000C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5" w15:restartNumberingAfterBreak="0">
    <w:nsid w:val="000000C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6" w15:restartNumberingAfterBreak="0">
    <w:nsid w:val="000000C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7" w15:restartNumberingAfterBreak="0">
    <w:nsid w:val="000000D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8" w15:restartNumberingAfterBreak="0">
    <w:nsid w:val="000000D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9" w15:restartNumberingAfterBreak="0">
    <w:nsid w:val="000007D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0" w15:restartNumberingAfterBreak="0">
    <w:nsid w:val="000007D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1" w15:restartNumberingAfterBreak="0">
    <w:nsid w:val="000007D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2" w15:restartNumberingAfterBreak="0">
    <w:nsid w:val="000007D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3" w15:restartNumberingAfterBreak="0">
    <w:nsid w:val="000007D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4" w15:restartNumberingAfterBreak="0">
    <w:nsid w:val="000007D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5" w15:restartNumberingAfterBreak="0">
    <w:nsid w:val="000007E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6" w15:restartNumberingAfterBreak="0">
    <w:nsid w:val="000007E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7" w15:restartNumberingAfterBreak="0">
    <w:nsid w:val="000007E2"/>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8" w15:restartNumberingAfterBreak="0">
    <w:nsid w:val="000007E3"/>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9" w15:restartNumberingAfterBreak="0">
    <w:nsid w:val="000007E4"/>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0" w15:restartNumberingAfterBreak="0">
    <w:nsid w:val="000007E5"/>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1" w15:restartNumberingAfterBreak="0">
    <w:nsid w:val="000007E6"/>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2" w15:restartNumberingAfterBreak="0">
    <w:nsid w:val="000007E7"/>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3" w15:restartNumberingAfterBreak="0">
    <w:nsid w:val="000007E8"/>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4" w15:restartNumberingAfterBreak="0">
    <w:nsid w:val="000007E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5" w15:restartNumberingAfterBreak="0">
    <w:nsid w:val="000007E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6" w15:restartNumberingAfterBreak="0">
    <w:nsid w:val="000007E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7" w15:restartNumberingAfterBreak="0">
    <w:nsid w:val="000007E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8" w15:restartNumberingAfterBreak="0">
    <w:nsid w:val="000007E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9" w15:restartNumberingAfterBreak="0">
    <w:nsid w:val="000007E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0" w15:restartNumberingAfterBreak="0">
    <w:nsid w:val="000007E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1" w15:restartNumberingAfterBreak="0">
    <w:nsid w:val="000007F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3" w15:restartNumberingAfterBreak="0">
    <w:nsid w:val="1B59677E"/>
    <w:multiLevelType w:val="hybridMultilevel"/>
    <w:tmpl w:val="4374264C"/>
    <w:lvl w:ilvl="0" w:tplc="F6CC8FD4">
      <w:start w:val="1"/>
      <w:numFmt w:val="bullet"/>
      <w:lvlText w:val=""/>
      <w:lvlJc w:val="left"/>
      <w:pPr>
        <w:ind w:left="360" w:hanging="360"/>
      </w:pPr>
      <w:rPr>
        <w:rFonts w:ascii="Symbol" w:hAnsi="Symbol" w:hint="default"/>
      </w:rPr>
    </w:lvl>
    <w:lvl w:ilvl="1" w:tplc="4B2AF34A">
      <w:start w:val="1"/>
      <w:numFmt w:val="bullet"/>
      <w:lvlText w:val="o"/>
      <w:lvlJc w:val="left"/>
      <w:pPr>
        <w:ind w:left="1080" w:hanging="360"/>
      </w:pPr>
      <w:rPr>
        <w:rFonts w:ascii="Courier New" w:hAnsi="Courier New" w:cs="Courier New" w:hint="default"/>
      </w:rPr>
    </w:lvl>
    <w:lvl w:ilvl="2" w:tplc="22E61B90">
      <w:start w:val="1"/>
      <w:numFmt w:val="bullet"/>
      <w:lvlText w:val=""/>
      <w:lvlJc w:val="left"/>
      <w:pPr>
        <w:ind w:left="1800" w:hanging="360"/>
      </w:pPr>
      <w:rPr>
        <w:rFonts w:ascii="Wingdings" w:hAnsi="Wingdings" w:hint="default"/>
      </w:rPr>
    </w:lvl>
    <w:lvl w:ilvl="3" w:tplc="AF1EBE06">
      <w:start w:val="1"/>
      <w:numFmt w:val="bullet"/>
      <w:lvlText w:val=""/>
      <w:lvlJc w:val="left"/>
      <w:pPr>
        <w:ind w:left="2520" w:hanging="360"/>
      </w:pPr>
      <w:rPr>
        <w:rFonts w:ascii="Symbol" w:hAnsi="Symbol" w:hint="default"/>
      </w:rPr>
    </w:lvl>
    <w:lvl w:ilvl="4" w:tplc="705C0F0C">
      <w:start w:val="1"/>
      <w:numFmt w:val="bullet"/>
      <w:lvlText w:val="o"/>
      <w:lvlJc w:val="left"/>
      <w:pPr>
        <w:ind w:left="3240" w:hanging="360"/>
      </w:pPr>
      <w:rPr>
        <w:rFonts w:ascii="Courier New" w:hAnsi="Courier New" w:cs="Courier New" w:hint="default"/>
      </w:rPr>
    </w:lvl>
    <w:lvl w:ilvl="5" w:tplc="9B30F18E">
      <w:start w:val="1"/>
      <w:numFmt w:val="bullet"/>
      <w:lvlText w:val=""/>
      <w:lvlJc w:val="left"/>
      <w:pPr>
        <w:ind w:left="3960" w:hanging="360"/>
      </w:pPr>
      <w:rPr>
        <w:rFonts w:ascii="Wingdings" w:hAnsi="Wingdings" w:hint="default"/>
      </w:rPr>
    </w:lvl>
    <w:lvl w:ilvl="6" w:tplc="96FCB41C">
      <w:start w:val="1"/>
      <w:numFmt w:val="bullet"/>
      <w:lvlText w:val=""/>
      <w:lvlJc w:val="left"/>
      <w:pPr>
        <w:ind w:left="4680" w:hanging="360"/>
      </w:pPr>
      <w:rPr>
        <w:rFonts w:ascii="Symbol" w:hAnsi="Symbol" w:hint="default"/>
      </w:rPr>
    </w:lvl>
    <w:lvl w:ilvl="7" w:tplc="157EDE4E">
      <w:start w:val="1"/>
      <w:numFmt w:val="bullet"/>
      <w:lvlText w:val="o"/>
      <w:lvlJc w:val="left"/>
      <w:pPr>
        <w:ind w:left="5400" w:hanging="360"/>
      </w:pPr>
      <w:rPr>
        <w:rFonts w:ascii="Courier New" w:hAnsi="Courier New" w:cs="Courier New" w:hint="default"/>
      </w:rPr>
    </w:lvl>
    <w:lvl w:ilvl="8" w:tplc="F55A3AC0">
      <w:start w:val="1"/>
      <w:numFmt w:val="bullet"/>
      <w:lvlText w:val=""/>
      <w:lvlJc w:val="left"/>
      <w:pPr>
        <w:ind w:left="6120" w:hanging="360"/>
      </w:pPr>
      <w:rPr>
        <w:rFonts w:ascii="Wingdings" w:hAnsi="Wingdings" w:hint="default"/>
      </w:rPr>
    </w:lvl>
  </w:abstractNum>
  <w:abstractNum w:abstractNumId="34" w15:restartNumberingAfterBreak="0">
    <w:nsid w:val="335C0D9D"/>
    <w:multiLevelType w:val="hybridMultilevel"/>
    <w:tmpl w:val="DDB89A0A"/>
    <w:lvl w:ilvl="0" w:tplc="47B6660A">
      <w:start w:val="1"/>
      <w:numFmt w:val="bullet"/>
      <w:lvlText w:val="—"/>
      <w:lvlJc w:val="left"/>
      <w:pPr>
        <w:ind w:left="720" w:hanging="360"/>
      </w:pPr>
      <w:rPr>
        <w:rFonts w:ascii="Times New Roman" w:hAnsi="Times New Roman" w:cs="Times New Roman" w:hint="default"/>
      </w:rPr>
    </w:lvl>
    <w:lvl w:ilvl="1" w:tplc="17CA26B0">
      <w:start w:val="1"/>
      <w:numFmt w:val="bullet"/>
      <w:lvlText w:val="o"/>
      <w:lvlJc w:val="left"/>
      <w:pPr>
        <w:ind w:left="1440" w:hanging="360"/>
      </w:pPr>
      <w:rPr>
        <w:rFonts w:ascii="Courier New" w:hAnsi="Courier New" w:cs="Courier New" w:hint="default"/>
      </w:rPr>
    </w:lvl>
    <w:lvl w:ilvl="2" w:tplc="7CF8C146">
      <w:start w:val="1"/>
      <w:numFmt w:val="bullet"/>
      <w:lvlText w:val=""/>
      <w:lvlJc w:val="left"/>
      <w:pPr>
        <w:ind w:left="2160" w:hanging="360"/>
      </w:pPr>
      <w:rPr>
        <w:rFonts w:ascii="Wingdings" w:hAnsi="Wingdings" w:hint="default"/>
      </w:rPr>
    </w:lvl>
    <w:lvl w:ilvl="3" w:tplc="34180BBE">
      <w:start w:val="1"/>
      <w:numFmt w:val="bullet"/>
      <w:lvlText w:val=""/>
      <w:lvlJc w:val="left"/>
      <w:pPr>
        <w:ind w:left="2880" w:hanging="360"/>
      </w:pPr>
      <w:rPr>
        <w:rFonts w:ascii="Symbol" w:hAnsi="Symbol" w:hint="default"/>
      </w:rPr>
    </w:lvl>
    <w:lvl w:ilvl="4" w:tplc="D6A4D80C">
      <w:start w:val="1"/>
      <w:numFmt w:val="bullet"/>
      <w:lvlText w:val="o"/>
      <w:lvlJc w:val="left"/>
      <w:pPr>
        <w:ind w:left="3600" w:hanging="360"/>
      </w:pPr>
      <w:rPr>
        <w:rFonts w:ascii="Courier New" w:hAnsi="Courier New" w:cs="Courier New" w:hint="default"/>
      </w:rPr>
    </w:lvl>
    <w:lvl w:ilvl="5" w:tplc="F0D81220">
      <w:start w:val="1"/>
      <w:numFmt w:val="bullet"/>
      <w:lvlText w:val=""/>
      <w:lvlJc w:val="left"/>
      <w:pPr>
        <w:ind w:left="4320" w:hanging="360"/>
      </w:pPr>
      <w:rPr>
        <w:rFonts w:ascii="Wingdings" w:hAnsi="Wingdings" w:hint="default"/>
      </w:rPr>
    </w:lvl>
    <w:lvl w:ilvl="6" w:tplc="A774928E">
      <w:start w:val="1"/>
      <w:numFmt w:val="bullet"/>
      <w:lvlText w:val=""/>
      <w:lvlJc w:val="left"/>
      <w:pPr>
        <w:ind w:left="5040" w:hanging="360"/>
      </w:pPr>
      <w:rPr>
        <w:rFonts w:ascii="Symbol" w:hAnsi="Symbol" w:hint="default"/>
      </w:rPr>
    </w:lvl>
    <w:lvl w:ilvl="7" w:tplc="C2DAAFDE">
      <w:start w:val="1"/>
      <w:numFmt w:val="bullet"/>
      <w:lvlText w:val="o"/>
      <w:lvlJc w:val="left"/>
      <w:pPr>
        <w:ind w:left="5760" w:hanging="360"/>
      </w:pPr>
      <w:rPr>
        <w:rFonts w:ascii="Courier New" w:hAnsi="Courier New" w:cs="Courier New" w:hint="default"/>
      </w:rPr>
    </w:lvl>
    <w:lvl w:ilvl="8" w:tplc="5A4C8E30">
      <w:start w:val="1"/>
      <w:numFmt w:val="bullet"/>
      <w:lvlText w:val=""/>
      <w:lvlJc w:val="left"/>
      <w:pPr>
        <w:ind w:left="6480" w:hanging="360"/>
      </w:pPr>
      <w:rPr>
        <w:rFonts w:ascii="Wingdings" w:hAnsi="Wingdings" w:hint="default"/>
      </w:rPr>
    </w:lvl>
  </w:abstractNum>
  <w:abstractNum w:abstractNumId="3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6" w15:restartNumberingAfterBreak="0">
    <w:nsid w:val="3B15534A"/>
    <w:multiLevelType w:val="hybridMultilevel"/>
    <w:tmpl w:val="680E4B70"/>
    <w:lvl w:ilvl="0" w:tplc="2260435C">
      <w:start w:val="1"/>
      <w:numFmt w:val="bullet"/>
      <w:lvlText w:val="—"/>
      <w:lvlJc w:val="left"/>
      <w:pPr>
        <w:ind w:left="720" w:hanging="360"/>
      </w:pPr>
      <w:rPr>
        <w:rFonts w:ascii="Times New Roman" w:hAnsi="Times New Roman" w:cs="Times New Roman" w:hint="default"/>
      </w:rPr>
    </w:lvl>
    <w:lvl w:ilvl="1" w:tplc="903484BC">
      <w:start w:val="1"/>
      <w:numFmt w:val="bullet"/>
      <w:lvlText w:val="o"/>
      <w:lvlJc w:val="left"/>
      <w:pPr>
        <w:ind w:left="1440" w:hanging="360"/>
      </w:pPr>
      <w:rPr>
        <w:rFonts w:ascii="Courier New" w:hAnsi="Courier New" w:cs="Courier New" w:hint="default"/>
      </w:rPr>
    </w:lvl>
    <w:lvl w:ilvl="2" w:tplc="8A36C0AC">
      <w:start w:val="1"/>
      <w:numFmt w:val="bullet"/>
      <w:lvlText w:val=""/>
      <w:lvlJc w:val="left"/>
      <w:pPr>
        <w:ind w:left="2160" w:hanging="360"/>
      </w:pPr>
      <w:rPr>
        <w:rFonts w:ascii="Wingdings" w:hAnsi="Wingdings" w:hint="default"/>
      </w:rPr>
    </w:lvl>
    <w:lvl w:ilvl="3" w:tplc="08981FF8">
      <w:start w:val="1"/>
      <w:numFmt w:val="bullet"/>
      <w:lvlText w:val=""/>
      <w:lvlJc w:val="left"/>
      <w:pPr>
        <w:ind w:left="2880" w:hanging="360"/>
      </w:pPr>
      <w:rPr>
        <w:rFonts w:ascii="Symbol" w:hAnsi="Symbol" w:hint="default"/>
      </w:rPr>
    </w:lvl>
    <w:lvl w:ilvl="4" w:tplc="E340B76C">
      <w:start w:val="1"/>
      <w:numFmt w:val="bullet"/>
      <w:lvlText w:val="o"/>
      <w:lvlJc w:val="left"/>
      <w:pPr>
        <w:ind w:left="3600" w:hanging="360"/>
      </w:pPr>
      <w:rPr>
        <w:rFonts w:ascii="Courier New" w:hAnsi="Courier New" w:cs="Courier New" w:hint="default"/>
      </w:rPr>
    </w:lvl>
    <w:lvl w:ilvl="5" w:tplc="33DA9C0C">
      <w:start w:val="1"/>
      <w:numFmt w:val="bullet"/>
      <w:lvlText w:val=""/>
      <w:lvlJc w:val="left"/>
      <w:pPr>
        <w:ind w:left="4320" w:hanging="360"/>
      </w:pPr>
      <w:rPr>
        <w:rFonts w:ascii="Wingdings" w:hAnsi="Wingdings" w:hint="default"/>
      </w:rPr>
    </w:lvl>
    <w:lvl w:ilvl="6" w:tplc="260AAE4C">
      <w:start w:val="1"/>
      <w:numFmt w:val="bullet"/>
      <w:lvlText w:val=""/>
      <w:lvlJc w:val="left"/>
      <w:pPr>
        <w:ind w:left="5040" w:hanging="360"/>
      </w:pPr>
      <w:rPr>
        <w:rFonts w:ascii="Symbol" w:hAnsi="Symbol" w:hint="default"/>
      </w:rPr>
    </w:lvl>
    <w:lvl w:ilvl="7" w:tplc="350EB56E">
      <w:start w:val="1"/>
      <w:numFmt w:val="bullet"/>
      <w:lvlText w:val="o"/>
      <w:lvlJc w:val="left"/>
      <w:pPr>
        <w:ind w:left="5760" w:hanging="360"/>
      </w:pPr>
      <w:rPr>
        <w:rFonts w:ascii="Courier New" w:hAnsi="Courier New" w:cs="Courier New" w:hint="default"/>
      </w:rPr>
    </w:lvl>
    <w:lvl w:ilvl="8" w:tplc="F2B21D16">
      <w:start w:val="1"/>
      <w:numFmt w:val="bullet"/>
      <w:lvlText w:val=""/>
      <w:lvlJc w:val="left"/>
      <w:pPr>
        <w:ind w:left="6480" w:hanging="360"/>
      </w:pPr>
      <w:rPr>
        <w:rFonts w:ascii="Wingdings" w:hAnsi="Wingdings" w:hint="default"/>
      </w:rPr>
    </w:lvl>
  </w:abstractNum>
  <w:abstractNum w:abstractNumId="37" w15:restartNumberingAfterBreak="0">
    <w:nsid w:val="5B5B7323"/>
    <w:multiLevelType w:val="hybridMultilevel"/>
    <w:tmpl w:val="C4EC386E"/>
    <w:lvl w:ilvl="0" w:tplc="9258AB20">
      <w:start w:val="1"/>
      <w:numFmt w:val="bullet"/>
      <w:lvlText w:val="—"/>
      <w:lvlJc w:val="left"/>
      <w:pPr>
        <w:ind w:left="720" w:hanging="360"/>
      </w:pPr>
      <w:rPr>
        <w:rFonts w:ascii="Times New Roman" w:hAnsi="Times New Roman" w:cs="Times New Roman" w:hint="default"/>
      </w:rPr>
    </w:lvl>
    <w:lvl w:ilvl="1" w:tplc="540CD5D6">
      <w:start w:val="1"/>
      <w:numFmt w:val="bullet"/>
      <w:lvlText w:val="o"/>
      <w:lvlJc w:val="left"/>
      <w:pPr>
        <w:ind w:left="1440" w:hanging="360"/>
      </w:pPr>
      <w:rPr>
        <w:rFonts w:ascii="Courier New" w:hAnsi="Courier New" w:cs="Courier New" w:hint="default"/>
      </w:rPr>
    </w:lvl>
    <w:lvl w:ilvl="2" w:tplc="09D0C8BA">
      <w:start w:val="1"/>
      <w:numFmt w:val="bullet"/>
      <w:lvlText w:val=""/>
      <w:lvlJc w:val="left"/>
      <w:pPr>
        <w:ind w:left="2160" w:hanging="360"/>
      </w:pPr>
      <w:rPr>
        <w:rFonts w:ascii="Wingdings" w:hAnsi="Wingdings" w:hint="default"/>
      </w:rPr>
    </w:lvl>
    <w:lvl w:ilvl="3" w:tplc="0DB0602A">
      <w:start w:val="1"/>
      <w:numFmt w:val="bullet"/>
      <w:lvlText w:val=""/>
      <w:lvlJc w:val="left"/>
      <w:pPr>
        <w:ind w:left="2880" w:hanging="360"/>
      </w:pPr>
      <w:rPr>
        <w:rFonts w:ascii="Symbol" w:hAnsi="Symbol" w:hint="default"/>
      </w:rPr>
    </w:lvl>
    <w:lvl w:ilvl="4" w:tplc="AAE4758C">
      <w:start w:val="1"/>
      <w:numFmt w:val="bullet"/>
      <w:lvlText w:val="o"/>
      <w:lvlJc w:val="left"/>
      <w:pPr>
        <w:ind w:left="3600" w:hanging="360"/>
      </w:pPr>
      <w:rPr>
        <w:rFonts w:ascii="Courier New" w:hAnsi="Courier New" w:cs="Courier New" w:hint="default"/>
      </w:rPr>
    </w:lvl>
    <w:lvl w:ilvl="5" w:tplc="F034827A">
      <w:start w:val="1"/>
      <w:numFmt w:val="bullet"/>
      <w:lvlText w:val=""/>
      <w:lvlJc w:val="left"/>
      <w:pPr>
        <w:ind w:left="4320" w:hanging="360"/>
      </w:pPr>
      <w:rPr>
        <w:rFonts w:ascii="Wingdings" w:hAnsi="Wingdings" w:hint="default"/>
      </w:rPr>
    </w:lvl>
    <w:lvl w:ilvl="6" w:tplc="EA4AB754">
      <w:start w:val="1"/>
      <w:numFmt w:val="bullet"/>
      <w:lvlText w:val=""/>
      <w:lvlJc w:val="left"/>
      <w:pPr>
        <w:ind w:left="5040" w:hanging="360"/>
      </w:pPr>
      <w:rPr>
        <w:rFonts w:ascii="Symbol" w:hAnsi="Symbol" w:hint="default"/>
      </w:rPr>
    </w:lvl>
    <w:lvl w:ilvl="7" w:tplc="803039CE">
      <w:start w:val="1"/>
      <w:numFmt w:val="bullet"/>
      <w:lvlText w:val="o"/>
      <w:lvlJc w:val="left"/>
      <w:pPr>
        <w:ind w:left="5760" w:hanging="360"/>
      </w:pPr>
      <w:rPr>
        <w:rFonts w:ascii="Courier New" w:hAnsi="Courier New" w:cs="Courier New" w:hint="default"/>
      </w:rPr>
    </w:lvl>
    <w:lvl w:ilvl="8" w:tplc="09A07AF0">
      <w:start w:val="1"/>
      <w:numFmt w:val="bullet"/>
      <w:lvlText w:val=""/>
      <w:lvlJc w:val="left"/>
      <w:pPr>
        <w:ind w:left="6480" w:hanging="360"/>
      </w:pPr>
      <w:rPr>
        <w:rFonts w:ascii="Wingdings" w:hAnsi="Wingdings" w:hint="default"/>
      </w:rPr>
    </w:lvl>
  </w:abstractNum>
  <w:num w:numId="1">
    <w:abstractNumId w:val="32"/>
  </w:num>
  <w:num w:numId="2">
    <w:abstractNumId w:val="35"/>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1"/>
  </w:num>
  <w:num w:numId="35">
    <w:abstractNumId w:val="33"/>
  </w:num>
  <w:num w:numId="36">
    <w:abstractNumId w:val="34"/>
  </w:num>
  <w:num w:numId="37">
    <w:abstractNumId w:val="37"/>
  </w:num>
  <w:num w:numId="38">
    <w:abstractNumId w:val="3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4"/>
    <w:docVar w:name="dvlangue" w:val="ES"/>
    <w:docVar w:name="dvnumam" w:val="0"/>
    <w:docVar w:name="dvpe" w:val="759.633"/>
    <w:docVar w:name="dvrapporteur" w:val="Ponente: "/>
    <w:docVar w:name="dvtitre" w:val="Resolución legislativa del Parlamento Europeo, de 25 de abril de 2024, sobre el estado de previsiones de ingresos y gastos del Parlamento Europeo para el ejercicio 2025(2023/2221(BUI))"/>
  </w:docVars>
  <w:rsids>
    <w:rsidRoot w:val="00CA7EEA"/>
    <w:rsid w:val="00002272"/>
    <w:rsid w:val="00064002"/>
    <w:rsid w:val="000677B9"/>
    <w:rsid w:val="000831BA"/>
    <w:rsid w:val="000A42CC"/>
    <w:rsid w:val="000E7DD9"/>
    <w:rsid w:val="0010095E"/>
    <w:rsid w:val="00125B37"/>
    <w:rsid w:val="001522A1"/>
    <w:rsid w:val="00187494"/>
    <w:rsid w:val="001929C8"/>
    <w:rsid w:val="001F32AE"/>
    <w:rsid w:val="002767FF"/>
    <w:rsid w:val="002B18FE"/>
    <w:rsid w:val="002B5493"/>
    <w:rsid w:val="003113E0"/>
    <w:rsid w:val="00343214"/>
    <w:rsid w:val="00361C00"/>
    <w:rsid w:val="00395FA1"/>
    <w:rsid w:val="003E15D4"/>
    <w:rsid w:val="003E769B"/>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17D1"/>
    <w:rsid w:val="006631B6"/>
    <w:rsid w:val="00680577"/>
    <w:rsid w:val="006E6E7B"/>
    <w:rsid w:val="006F74FA"/>
    <w:rsid w:val="00731ADD"/>
    <w:rsid w:val="00734777"/>
    <w:rsid w:val="00747932"/>
    <w:rsid w:val="00751A4A"/>
    <w:rsid w:val="00756632"/>
    <w:rsid w:val="00762C74"/>
    <w:rsid w:val="00786EC0"/>
    <w:rsid w:val="007D1690"/>
    <w:rsid w:val="007E22AD"/>
    <w:rsid w:val="00817416"/>
    <w:rsid w:val="00832354"/>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123C"/>
    <w:rsid w:val="00B558F0"/>
    <w:rsid w:val="00BD48FE"/>
    <w:rsid w:val="00BD7BD8"/>
    <w:rsid w:val="00BE6ADC"/>
    <w:rsid w:val="00C05BFE"/>
    <w:rsid w:val="00C23CD4"/>
    <w:rsid w:val="00C61C0C"/>
    <w:rsid w:val="00C941CB"/>
    <w:rsid w:val="00CA7EEA"/>
    <w:rsid w:val="00CB331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CF7147"/>
  <w15:chartTrackingRefBased/>
  <w15:docId w15:val="{23CD6400-A651-4159-BDF4-D33BFD972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BVI fnr,C26 Footnote Number,Footnote,Footnote Reference Number,Footnote Reference_LVL6,Footnote Reference_LVL61,Footnote Reference_LVL62,Footnote Reference_LVL63,Footnote Reference_LVL64,Footnote Reference_LVL65,Footnote symbol"/>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E6E7B"/>
    <w:rPr>
      <w:b/>
      <w:kern w:val="28"/>
      <w:sz w:val="28"/>
      <w:lang w:val="fr-FR" w:eastAsia="fr-FR"/>
    </w:rPr>
  </w:style>
  <w:style w:type="character" w:customStyle="1" w:styleId="Heading2Char">
    <w:name w:val="Heading 2 Char"/>
    <w:basedOn w:val="DefaultParagraphFont"/>
    <w:link w:val="Heading2"/>
    <w:uiPriority w:val="9"/>
    <w:semiHidden/>
    <w:rsid w:val="006E6E7B"/>
    <w:rPr>
      <w:sz w:val="24"/>
      <w:lang w:val="fr-FR" w:eastAsia="fr-FR"/>
    </w:rPr>
  </w:style>
  <w:style w:type="character" w:customStyle="1" w:styleId="Heading3Char">
    <w:name w:val="Heading 3 Char"/>
    <w:basedOn w:val="DefaultParagraphFont"/>
    <w:link w:val="Heading3"/>
    <w:uiPriority w:val="9"/>
    <w:semiHidden/>
    <w:rsid w:val="006E6E7B"/>
    <w:rPr>
      <w:rFonts w:ascii="Arial" w:hAnsi="Arial"/>
      <w:sz w:val="24"/>
      <w:lang w:val="fr-FR" w:eastAsia="fr-FR"/>
    </w:rPr>
  </w:style>
  <w:style w:type="character" w:customStyle="1" w:styleId="Heading4Char">
    <w:name w:val="Heading 4 Char"/>
    <w:basedOn w:val="DefaultParagraphFont"/>
    <w:link w:val="Heading4"/>
    <w:uiPriority w:val="9"/>
    <w:semiHidden/>
    <w:rsid w:val="006E6E7B"/>
    <w:rPr>
      <w:sz w:val="24"/>
      <w:lang w:val="en-US" w:eastAsia="fr-FR"/>
    </w:rPr>
  </w:style>
  <w:style w:type="character" w:customStyle="1" w:styleId="Heading5Char">
    <w:name w:val="Heading 5 Char"/>
    <w:basedOn w:val="DefaultParagraphFont"/>
    <w:link w:val="Heading5"/>
    <w:uiPriority w:val="9"/>
    <w:semiHidden/>
    <w:rsid w:val="006E6E7B"/>
    <w:rPr>
      <w:sz w:val="24"/>
      <w:lang w:val="en-US" w:eastAsia="fr-FR"/>
    </w:rPr>
  </w:style>
  <w:style w:type="character" w:customStyle="1" w:styleId="Heading6Char">
    <w:name w:val="Heading 6 Char"/>
    <w:basedOn w:val="DefaultParagraphFont"/>
    <w:link w:val="Heading6"/>
    <w:uiPriority w:val="9"/>
    <w:semiHidden/>
    <w:rsid w:val="006E6E7B"/>
    <w:rPr>
      <w:i/>
      <w:sz w:val="22"/>
      <w:lang w:val="es-ES_tradnl"/>
    </w:rPr>
  </w:style>
  <w:style w:type="character" w:customStyle="1" w:styleId="Heading7Char">
    <w:name w:val="Heading 7 Char"/>
    <w:basedOn w:val="DefaultParagraphFont"/>
    <w:link w:val="Heading7"/>
    <w:uiPriority w:val="9"/>
    <w:semiHidden/>
    <w:rsid w:val="006E6E7B"/>
    <w:rPr>
      <w:rFonts w:ascii="Arial" w:hAnsi="Arial"/>
      <w:sz w:val="24"/>
      <w:lang w:val="es-ES_tradnl"/>
    </w:rPr>
  </w:style>
  <w:style w:type="character" w:customStyle="1" w:styleId="Heading8Char">
    <w:name w:val="Heading 8 Char"/>
    <w:basedOn w:val="DefaultParagraphFont"/>
    <w:link w:val="Heading8"/>
    <w:uiPriority w:val="9"/>
    <w:semiHidden/>
    <w:rsid w:val="006E6E7B"/>
    <w:rPr>
      <w:rFonts w:ascii="Arial" w:hAnsi="Arial"/>
      <w:i/>
      <w:sz w:val="24"/>
      <w:lang w:val="es-ES_tradnl"/>
    </w:rPr>
  </w:style>
  <w:style w:type="character" w:customStyle="1" w:styleId="Heading9Char">
    <w:name w:val="Heading 9 Char"/>
    <w:basedOn w:val="DefaultParagraphFont"/>
    <w:link w:val="Heading9"/>
    <w:uiPriority w:val="9"/>
    <w:semiHidden/>
    <w:rsid w:val="006E6E7B"/>
    <w:rPr>
      <w:rFonts w:ascii="Arial" w:hAnsi="Arial"/>
      <w:b/>
      <w:i/>
      <w:sz w:val="18"/>
      <w:lang w:val="es-ES_tradnl"/>
    </w:rPr>
  </w:style>
  <w:style w:type="paragraph" w:styleId="TOCHeading">
    <w:name w:val="TOC Heading"/>
    <w:basedOn w:val="Normal"/>
    <w:next w:val="Normal"/>
    <w:uiPriority w:val="39"/>
    <w:unhideWhenUsed/>
    <w:qFormat/>
    <w:rsid w:val="006E6E7B"/>
    <w:pPr>
      <w:widowControl/>
      <w:spacing w:after="240"/>
    </w:pPr>
    <w:rPr>
      <w:lang w:val="en-GB"/>
    </w:rPr>
  </w:style>
  <w:style w:type="paragraph" w:customStyle="1" w:styleId="EPFooter2">
    <w:name w:val="EPFooter2"/>
    <w:basedOn w:val="Normal"/>
    <w:next w:val="Normal"/>
    <w:rsid w:val="006E6E7B"/>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6E6E7B"/>
    <w:pPr>
      <w:spacing w:after="240"/>
    </w:pPr>
  </w:style>
  <w:style w:type="paragraph" w:customStyle="1" w:styleId="TOCPage">
    <w:name w:val="TOC Page"/>
    <w:basedOn w:val="Normal"/>
    <w:next w:val="TOC1"/>
    <w:rsid w:val="006E6E7B"/>
    <w:pPr>
      <w:keepNext/>
      <w:spacing w:after="240"/>
      <w:jc w:val="right"/>
    </w:pPr>
    <w:rPr>
      <w:rFonts w:ascii="Arial" w:hAnsi="Arial"/>
      <w:b/>
    </w:rPr>
  </w:style>
  <w:style w:type="paragraph" w:customStyle="1" w:styleId="PageHeading">
    <w:name w:val="PageHeading"/>
    <w:basedOn w:val="Normal"/>
    <w:rsid w:val="006E6E7B"/>
    <w:pPr>
      <w:keepNext/>
      <w:spacing w:after="480"/>
      <w:jc w:val="center"/>
    </w:pPr>
    <w:rPr>
      <w:rFonts w:ascii="Arial" w:hAnsi="Arial" w:cs="Arial"/>
      <w:b/>
    </w:rPr>
  </w:style>
  <w:style w:type="paragraph" w:customStyle="1" w:styleId="NormalBold">
    <w:name w:val="NormalBold"/>
    <w:basedOn w:val="Normal"/>
    <w:rsid w:val="006E6E7B"/>
    <w:rPr>
      <w:b/>
    </w:rPr>
  </w:style>
  <w:style w:type="paragraph" w:customStyle="1" w:styleId="NormalHanging12a">
    <w:name w:val="NormalHanging12a"/>
    <w:basedOn w:val="Normal"/>
    <w:link w:val="NormalHanging12aChar"/>
    <w:rsid w:val="006E6E7B"/>
    <w:pPr>
      <w:spacing w:after="240"/>
      <w:ind w:left="567" w:hanging="567"/>
    </w:pPr>
  </w:style>
  <w:style w:type="character" w:customStyle="1" w:styleId="NormalHanging12aChar">
    <w:name w:val="NormalHanging12a Char"/>
    <w:basedOn w:val="DefaultParagraphFont"/>
    <w:link w:val="NormalHanging12a"/>
    <w:locked/>
    <w:rsid w:val="006E6E7B"/>
    <w:rPr>
      <w:sz w:val="24"/>
      <w:lang w:val="es-ES_tradnl"/>
    </w:rPr>
  </w:style>
  <w:style w:type="paragraph" w:customStyle="1" w:styleId="CoverNormal24a">
    <w:name w:val="CoverNormal24a"/>
    <w:basedOn w:val="Normal"/>
    <w:rsid w:val="006E6E7B"/>
    <w:pPr>
      <w:spacing w:after="480"/>
      <w:ind w:left="1417"/>
    </w:pPr>
  </w:style>
  <w:style w:type="paragraph" w:customStyle="1" w:styleId="CoverNormal">
    <w:name w:val="CoverNormal"/>
    <w:basedOn w:val="Normal"/>
    <w:rsid w:val="006E6E7B"/>
    <w:pPr>
      <w:ind w:left="1418"/>
    </w:pPr>
  </w:style>
  <w:style w:type="paragraph" w:customStyle="1" w:styleId="CoverReference">
    <w:name w:val="CoverReference"/>
    <w:basedOn w:val="Normal"/>
    <w:rsid w:val="006E6E7B"/>
    <w:pPr>
      <w:spacing w:before="1080"/>
      <w:jc w:val="right"/>
    </w:pPr>
    <w:rPr>
      <w:rFonts w:ascii="Arial" w:hAnsi="Arial" w:cs="Arial"/>
      <w:b/>
    </w:rPr>
  </w:style>
  <w:style w:type="paragraph" w:customStyle="1" w:styleId="CoverDocType24a">
    <w:name w:val="CoverDocType24a"/>
    <w:basedOn w:val="Normal"/>
    <w:rsid w:val="006E6E7B"/>
    <w:pPr>
      <w:spacing w:after="480"/>
      <w:ind w:left="1418"/>
    </w:pPr>
    <w:rPr>
      <w:rFonts w:ascii="Arial" w:hAnsi="Arial"/>
      <w:b/>
      <w:sz w:val="48"/>
    </w:rPr>
  </w:style>
  <w:style w:type="paragraph" w:customStyle="1" w:styleId="CoverDate">
    <w:name w:val="CoverDate"/>
    <w:basedOn w:val="Normal"/>
    <w:rsid w:val="006E6E7B"/>
    <w:pPr>
      <w:spacing w:before="240" w:after="1200"/>
    </w:pPr>
  </w:style>
  <w:style w:type="paragraph" w:customStyle="1" w:styleId="EPBody">
    <w:name w:val="EPBody"/>
    <w:basedOn w:val="Normal"/>
    <w:rsid w:val="006E6E7B"/>
    <w:pPr>
      <w:jc w:val="center"/>
    </w:pPr>
    <w:rPr>
      <w:rFonts w:ascii="Arial" w:hAnsi="Arial" w:cs="Arial"/>
      <w:i/>
      <w:sz w:val="22"/>
      <w:szCs w:val="22"/>
    </w:rPr>
  </w:style>
  <w:style w:type="paragraph" w:customStyle="1" w:styleId="EPFooter">
    <w:name w:val="EPFooter"/>
    <w:basedOn w:val="Normal"/>
    <w:rsid w:val="006E6E7B"/>
    <w:pPr>
      <w:tabs>
        <w:tab w:val="center" w:pos="4535"/>
        <w:tab w:val="right" w:pos="9071"/>
      </w:tabs>
      <w:spacing w:before="240" w:after="240"/>
    </w:pPr>
    <w:rPr>
      <w:color w:val="010000"/>
      <w:sz w:val="22"/>
    </w:rPr>
  </w:style>
  <w:style w:type="paragraph" w:styleId="Header">
    <w:name w:val="header"/>
    <w:basedOn w:val="Normal"/>
    <w:link w:val="HeaderChar"/>
    <w:uiPriority w:val="99"/>
    <w:rsid w:val="006E6E7B"/>
    <w:pPr>
      <w:tabs>
        <w:tab w:val="center" w:pos="4513"/>
        <w:tab w:val="right" w:pos="9026"/>
      </w:tabs>
    </w:pPr>
  </w:style>
  <w:style w:type="character" w:customStyle="1" w:styleId="HeaderChar">
    <w:name w:val="Header Char"/>
    <w:basedOn w:val="DefaultParagraphFont"/>
    <w:link w:val="Header"/>
    <w:uiPriority w:val="99"/>
    <w:rsid w:val="006E6E7B"/>
    <w:rPr>
      <w:sz w:val="24"/>
      <w:lang w:val="es-ES_tradnl"/>
    </w:rPr>
  </w:style>
  <w:style w:type="paragraph" w:customStyle="1" w:styleId="EPComma">
    <w:name w:val="EPComma"/>
    <w:basedOn w:val="Normal"/>
    <w:rsid w:val="006E6E7B"/>
    <w:pPr>
      <w:spacing w:before="480" w:after="240"/>
    </w:pPr>
  </w:style>
  <w:style w:type="paragraph" w:customStyle="1" w:styleId="FootnoteReference1">
    <w:name w:val="Footnote Reference1"/>
    <w:basedOn w:val="Normal"/>
    <w:link w:val="FootnoteReference"/>
    <w:rsid w:val="006E6E7B"/>
    <w:pPr>
      <w:widowControl/>
      <w:spacing w:after="160" w:line="240" w:lineRule="exact"/>
    </w:pPr>
    <w:rPr>
      <w:sz w:val="20"/>
      <w:vertAlign w:val="superscript"/>
      <w:lang w:val="en-GB"/>
    </w:rPr>
  </w:style>
  <w:style w:type="paragraph" w:customStyle="1" w:styleId="Action">
    <w:name w:val="Action"/>
    <w:basedOn w:val="Normal"/>
    <w:rsid w:val="006E6E7B"/>
    <w:pPr>
      <w:tabs>
        <w:tab w:val="left" w:pos="357"/>
      </w:tabs>
      <w:spacing w:after="240"/>
      <w:ind w:left="357" w:hanging="357"/>
    </w:pPr>
  </w:style>
  <w:style w:type="paragraph" w:customStyle="1" w:styleId="action0">
    <w:name w:val="action"/>
    <w:basedOn w:val="Normal"/>
    <w:rsid w:val="006E6E7B"/>
    <w:pPr>
      <w:widowControl/>
      <w:spacing w:after="240"/>
      <w:ind w:left="357" w:hanging="357"/>
    </w:pPr>
    <w:rPr>
      <w:rFonts w:eastAsiaTheme="minorHAnsi"/>
      <w:szCs w:val="24"/>
    </w:rPr>
  </w:style>
  <w:style w:type="paragraph" w:styleId="Footer">
    <w:name w:val="footer"/>
    <w:basedOn w:val="Normal"/>
    <w:link w:val="FooterChar"/>
    <w:uiPriority w:val="99"/>
    <w:rsid w:val="006E6E7B"/>
    <w:pPr>
      <w:tabs>
        <w:tab w:val="center" w:pos="4513"/>
        <w:tab w:val="right" w:pos="9026"/>
      </w:tabs>
    </w:pPr>
  </w:style>
  <w:style w:type="character" w:customStyle="1" w:styleId="FooterChar">
    <w:name w:val="Footer Char"/>
    <w:basedOn w:val="DefaultParagraphFont"/>
    <w:link w:val="Footer"/>
    <w:uiPriority w:val="99"/>
    <w:rsid w:val="006E6E7B"/>
    <w:rPr>
      <w:sz w:val="24"/>
      <w:lang w:val="es-ES_tradnl"/>
    </w:rPr>
  </w:style>
  <w:style w:type="character" w:customStyle="1" w:styleId="doceo-font-family-base">
    <w:name w:val="doceo-font-family-base"/>
    <w:basedOn w:val="DefaultParagraphFont"/>
    <w:rsid w:val="006E6E7B"/>
  </w:style>
  <w:style w:type="paragraph" w:styleId="BalloonText">
    <w:name w:val="Balloon Text"/>
    <w:basedOn w:val="Normal"/>
    <w:link w:val="BalloonTextChar"/>
    <w:uiPriority w:val="99"/>
    <w:unhideWhenUsed/>
    <w:rsid w:val="006E6E7B"/>
    <w:rPr>
      <w:rFonts w:ascii="Segoe UI" w:hAnsi="Segoe UI" w:cs="Segoe UI"/>
      <w:sz w:val="18"/>
      <w:szCs w:val="18"/>
    </w:rPr>
  </w:style>
  <w:style w:type="character" w:customStyle="1" w:styleId="BalloonTextChar">
    <w:name w:val="Balloon Text Char"/>
    <w:basedOn w:val="DefaultParagraphFont"/>
    <w:link w:val="BalloonText"/>
    <w:uiPriority w:val="99"/>
    <w:rsid w:val="006E6E7B"/>
    <w:rPr>
      <w:rFonts w:ascii="Segoe UI" w:hAnsi="Segoe UI" w:cs="Segoe UI"/>
      <w:sz w:val="18"/>
      <w:szCs w:val="18"/>
      <w:lang w:val="es-ES_tradnl"/>
    </w:rPr>
  </w:style>
  <w:style w:type="paragraph" w:customStyle="1" w:styleId="Default">
    <w:name w:val="Default"/>
    <w:rsid w:val="006E6E7B"/>
    <w:pPr>
      <w:spacing w:before="160"/>
    </w:pPr>
    <w:rPr>
      <w:rFonts w:ascii="Helvetica Neue" w:eastAsia="Arial Unicode MS" w:hAnsi="Helvetica Neue" w:cs="Arial Unicode MS"/>
      <w:color w:val="000000"/>
      <w:sz w:val="24"/>
      <w:szCs w:val="24"/>
      <w:lang w:val="es-ES"/>
      <w14:textOutline w14:w="0" w14:cap="flat" w14:cmpd="sng" w14:algn="ctr">
        <w14:noFill/>
        <w14:prstDash w14:val="solid"/>
        <w14:bevel/>
      </w14:textOutline>
    </w:rPr>
  </w:style>
  <w:style w:type="paragraph" w:styleId="EndnoteText">
    <w:name w:val="endnote text"/>
    <w:basedOn w:val="Normal"/>
    <w:link w:val="EndnoteTextChar"/>
    <w:rsid w:val="006E6E7B"/>
    <w:rPr>
      <w:sz w:val="20"/>
    </w:rPr>
  </w:style>
  <w:style w:type="character" w:customStyle="1" w:styleId="EndnoteTextChar">
    <w:name w:val="Endnote Text Char"/>
    <w:basedOn w:val="DefaultParagraphFont"/>
    <w:link w:val="EndnoteText"/>
    <w:rsid w:val="006E6E7B"/>
    <w:rPr>
      <w:lang w:val="es-ES_tradnl"/>
    </w:rPr>
  </w:style>
  <w:style w:type="character" w:styleId="EndnoteReference">
    <w:name w:val="endnote reference"/>
    <w:basedOn w:val="DefaultParagraphFont"/>
    <w:rsid w:val="006E6E7B"/>
    <w:rPr>
      <w:vertAlign w:val="superscript"/>
    </w:rPr>
  </w:style>
  <w:style w:type="character" w:styleId="Emphasis">
    <w:name w:val="Emphasis"/>
    <w:basedOn w:val="DefaultParagraphFont"/>
    <w:uiPriority w:val="20"/>
    <w:qFormat/>
    <w:rsid w:val="006E6E7B"/>
    <w:rPr>
      <w:i/>
      <w:iCs/>
    </w:rPr>
  </w:style>
  <w:style w:type="paragraph" w:customStyle="1" w:styleId="msonormal0">
    <w:name w:val="msonormal"/>
    <w:basedOn w:val="Normal"/>
    <w:rsid w:val="006E6E7B"/>
    <w:pPr>
      <w:widowControl/>
      <w:spacing w:before="100" w:beforeAutospacing="1" w:after="100" w:afterAutospacing="1"/>
    </w:pPr>
    <w:rPr>
      <w:szCs w:val="24"/>
    </w:rPr>
  </w:style>
  <w:style w:type="paragraph" w:styleId="CommentText">
    <w:name w:val="annotation text"/>
    <w:basedOn w:val="Normal"/>
    <w:link w:val="CommentTextChar"/>
    <w:uiPriority w:val="99"/>
    <w:unhideWhenUsed/>
    <w:rsid w:val="006E6E7B"/>
    <w:pPr>
      <w:widowControl/>
      <w:jc w:val="both"/>
    </w:pPr>
    <w:rPr>
      <w:rFonts w:eastAsiaTheme="minorHAnsi"/>
      <w:sz w:val="20"/>
      <w:lang w:eastAsia="en-US"/>
    </w:rPr>
  </w:style>
  <w:style w:type="character" w:customStyle="1" w:styleId="CommentTextChar">
    <w:name w:val="Comment Text Char"/>
    <w:basedOn w:val="DefaultParagraphFont"/>
    <w:link w:val="CommentText"/>
    <w:uiPriority w:val="99"/>
    <w:rsid w:val="006E6E7B"/>
    <w:rPr>
      <w:rFonts w:eastAsiaTheme="minorHAnsi"/>
      <w:lang w:val="es-ES_tradnl" w:eastAsia="en-US"/>
    </w:rPr>
  </w:style>
  <w:style w:type="paragraph" w:styleId="Title">
    <w:name w:val="Title"/>
    <w:basedOn w:val="Normal"/>
    <w:next w:val="Normal"/>
    <w:link w:val="TitleChar"/>
    <w:uiPriority w:val="10"/>
    <w:qFormat/>
    <w:rsid w:val="006E6E7B"/>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6E6E7B"/>
    <w:rPr>
      <w:rFonts w:ascii="Arial" w:eastAsiaTheme="majorEastAsia" w:hAnsi="Arial" w:cs="Arial"/>
      <w:b/>
      <w:bCs/>
      <w:kern w:val="28"/>
      <w:sz w:val="32"/>
      <w:szCs w:val="32"/>
      <w:lang w:val="es-ES_tradnl" w:eastAsia="en-US"/>
    </w:rPr>
  </w:style>
  <w:style w:type="paragraph" w:styleId="Subtitle">
    <w:name w:val="Subtitle"/>
    <w:basedOn w:val="Normal"/>
    <w:next w:val="Normal"/>
    <w:link w:val="SubtitleChar"/>
    <w:uiPriority w:val="11"/>
    <w:qFormat/>
    <w:rsid w:val="006E6E7B"/>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6E6E7B"/>
    <w:rPr>
      <w:rFonts w:ascii="Arial" w:eastAsiaTheme="majorEastAsia" w:hAnsi="Arial" w:cs="Arial"/>
      <w:sz w:val="24"/>
      <w:szCs w:val="24"/>
      <w:lang w:val="es-ES_tradnl" w:eastAsia="en-US"/>
    </w:rPr>
  </w:style>
  <w:style w:type="paragraph" w:styleId="CommentSubject">
    <w:name w:val="annotation subject"/>
    <w:basedOn w:val="CommentText"/>
    <w:next w:val="CommentText"/>
    <w:link w:val="CommentSubjectChar"/>
    <w:uiPriority w:val="99"/>
    <w:unhideWhenUsed/>
    <w:rsid w:val="006E6E7B"/>
    <w:rPr>
      <w:b/>
      <w:bCs/>
    </w:rPr>
  </w:style>
  <w:style w:type="character" w:customStyle="1" w:styleId="CommentSubjectChar">
    <w:name w:val="Comment Subject Char"/>
    <w:basedOn w:val="CommentTextChar"/>
    <w:link w:val="CommentSubject"/>
    <w:uiPriority w:val="99"/>
    <w:rsid w:val="006E6E7B"/>
    <w:rPr>
      <w:rFonts w:eastAsiaTheme="minorHAnsi"/>
      <w:b/>
      <w:bCs/>
      <w:lang w:val="es-ES_tradnl" w:eastAsia="en-US"/>
    </w:rPr>
  </w:style>
  <w:style w:type="paragraph" w:styleId="NoSpacing">
    <w:name w:val="No Spacing"/>
    <w:basedOn w:val="Normal"/>
    <w:uiPriority w:val="1"/>
    <w:qFormat/>
    <w:rsid w:val="006E6E7B"/>
    <w:pPr>
      <w:widowControl/>
      <w:jc w:val="both"/>
    </w:pPr>
    <w:rPr>
      <w:rFonts w:eastAsiaTheme="minorHAnsi"/>
      <w:szCs w:val="32"/>
      <w:lang w:eastAsia="en-US"/>
    </w:rPr>
  </w:style>
  <w:style w:type="paragraph" w:styleId="ListParagraph">
    <w:name w:val="List Paragraph"/>
    <w:basedOn w:val="Normal"/>
    <w:uiPriority w:val="34"/>
    <w:qFormat/>
    <w:rsid w:val="006E6E7B"/>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6E6E7B"/>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6E6E7B"/>
    <w:rPr>
      <w:rFonts w:eastAsiaTheme="minorHAnsi"/>
      <w:i/>
      <w:sz w:val="24"/>
      <w:szCs w:val="24"/>
      <w:lang w:val="es-ES_tradnl" w:eastAsia="en-US"/>
    </w:rPr>
  </w:style>
  <w:style w:type="paragraph" w:styleId="IntenseQuote">
    <w:name w:val="Intense Quote"/>
    <w:basedOn w:val="Normal"/>
    <w:next w:val="Normal"/>
    <w:link w:val="IntenseQuoteChar"/>
    <w:uiPriority w:val="30"/>
    <w:qFormat/>
    <w:rsid w:val="006E6E7B"/>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6E6E7B"/>
    <w:rPr>
      <w:rFonts w:eastAsiaTheme="minorHAnsi"/>
      <w:b/>
      <w:i/>
      <w:sz w:val="24"/>
      <w:szCs w:val="22"/>
      <w:lang w:val="es-ES_tradnl" w:eastAsia="en-US"/>
    </w:rPr>
  </w:style>
  <w:style w:type="paragraph" w:customStyle="1" w:styleId="TableTitle">
    <w:name w:val="Table Title"/>
    <w:basedOn w:val="Normal"/>
    <w:uiPriority w:val="99"/>
    <w:rsid w:val="006E6E7B"/>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6E6E7B"/>
    <w:pPr>
      <w:keepNext/>
      <w:widowControl/>
    </w:pPr>
    <w:rPr>
      <w:rFonts w:eastAsiaTheme="minorEastAsia"/>
      <w:sz w:val="18"/>
      <w:szCs w:val="18"/>
    </w:rPr>
  </w:style>
  <w:style w:type="paragraph" w:customStyle="1" w:styleId="NormalRight">
    <w:name w:val="Normal Right"/>
    <w:basedOn w:val="Normal"/>
    <w:next w:val="Normal"/>
    <w:uiPriority w:val="99"/>
    <w:rsid w:val="006E6E7B"/>
    <w:pPr>
      <w:widowControl/>
      <w:spacing w:before="120" w:after="120"/>
      <w:jc w:val="right"/>
    </w:pPr>
    <w:rPr>
      <w:rFonts w:eastAsiaTheme="minorEastAsia"/>
      <w:szCs w:val="24"/>
    </w:rPr>
  </w:style>
  <w:style w:type="paragraph" w:customStyle="1" w:styleId="ReusedInfo">
    <w:name w:val="ReusedInfo"/>
    <w:next w:val="Normal"/>
    <w:uiPriority w:val="99"/>
    <w:rsid w:val="006E6E7B"/>
    <w:pPr>
      <w:shd w:val="clear" w:color="auto" w:fill="C0C0C0"/>
      <w:spacing w:before="60" w:after="60"/>
    </w:pPr>
    <w:rPr>
      <w:rFonts w:eastAsiaTheme="minorEastAsia"/>
      <w:lang w:val="es-ES"/>
    </w:rPr>
  </w:style>
  <w:style w:type="paragraph" w:customStyle="1" w:styleId="Section">
    <w:name w:val="Section"/>
    <w:basedOn w:val="Normal"/>
    <w:next w:val="Normal"/>
    <w:uiPriority w:val="99"/>
    <w:rsid w:val="006E6E7B"/>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6E6E7B"/>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6E6E7B"/>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6E6E7B"/>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6E6E7B"/>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6E6E7B"/>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6E6E7B"/>
    <w:pPr>
      <w:keepNext/>
      <w:widowControl/>
      <w:spacing w:before="480" w:after="120"/>
    </w:pPr>
    <w:rPr>
      <w:rFonts w:eastAsiaTheme="minorEastAsia"/>
      <w:b/>
      <w:bCs/>
      <w:i/>
      <w:iCs/>
      <w:szCs w:val="24"/>
    </w:rPr>
  </w:style>
  <w:style w:type="paragraph" w:customStyle="1" w:styleId="Item">
    <w:name w:val="Item"/>
    <w:basedOn w:val="Normal"/>
    <w:next w:val="Normal"/>
    <w:uiPriority w:val="99"/>
    <w:rsid w:val="006E6E7B"/>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6E6E7B"/>
    <w:pPr>
      <w:keepNext/>
      <w:widowControl/>
      <w:spacing w:before="480" w:after="120"/>
    </w:pPr>
    <w:rPr>
      <w:rFonts w:eastAsiaTheme="minorEastAsia"/>
      <w:sz w:val="20"/>
    </w:rPr>
  </w:style>
  <w:style w:type="paragraph" w:customStyle="1" w:styleId="Annex">
    <w:name w:val="Annex"/>
    <w:basedOn w:val="Normal"/>
    <w:next w:val="Normal"/>
    <w:uiPriority w:val="99"/>
    <w:rsid w:val="006E6E7B"/>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6E6E7B"/>
    <w:pPr>
      <w:widowControl/>
      <w:spacing w:before="120" w:after="120"/>
    </w:pPr>
    <w:rPr>
      <w:rFonts w:eastAsiaTheme="minorEastAsia"/>
      <w:i/>
      <w:iCs/>
      <w:sz w:val="20"/>
    </w:rPr>
  </w:style>
  <w:style w:type="paragraph" w:customStyle="1" w:styleId="Objective">
    <w:name w:val="Objective"/>
    <w:basedOn w:val="Normal"/>
    <w:next w:val="Normal"/>
    <w:uiPriority w:val="99"/>
    <w:rsid w:val="006E6E7B"/>
    <w:pPr>
      <w:keepNext/>
      <w:widowControl/>
      <w:spacing w:before="120" w:after="120"/>
    </w:pPr>
    <w:rPr>
      <w:rFonts w:eastAsiaTheme="minorEastAsia"/>
      <w:i/>
      <w:iCs/>
      <w:sz w:val="20"/>
    </w:rPr>
  </w:style>
  <w:style w:type="paragraph" w:customStyle="1" w:styleId="Figures">
    <w:name w:val="Figures"/>
    <w:basedOn w:val="Normal"/>
    <w:next w:val="Normal"/>
    <w:uiPriority w:val="99"/>
    <w:rsid w:val="006E6E7B"/>
    <w:pPr>
      <w:keepNext/>
      <w:widowControl/>
      <w:spacing w:before="120" w:after="120"/>
    </w:pPr>
    <w:rPr>
      <w:rFonts w:eastAsiaTheme="minorEastAsia"/>
      <w:i/>
      <w:iCs/>
      <w:sz w:val="20"/>
    </w:rPr>
  </w:style>
  <w:style w:type="paragraph" w:customStyle="1" w:styleId="Remarks">
    <w:name w:val="Remarks"/>
    <w:basedOn w:val="Normal"/>
    <w:next w:val="Normal"/>
    <w:uiPriority w:val="99"/>
    <w:rsid w:val="006E6E7B"/>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6E6E7B"/>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6E6E7B"/>
    <w:pPr>
      <w:keepNext/>
      <w:widowControl/>
      <w:spacing w:before="120" w:after="120"/>
    </w:pPr>
    <w:rPr>
      <w:rFonts w:eastAsiaTheme="minorEastAsia"/>
      <w:i/>
      <w:iCs/>
      <w:sz w:val="20"/>
    </w:rPr>
  </w:style>
  <w:style w:type="paragraph" w:customStyle="1" w:styleId="Reference">
    <w:name w:val="Reference"/>
    <w:basedOn w:val="Normal"/>
    <w:next w:val="Normal"/>
    <w:uiPriority w:val="99"/>
    <w:rsid w:val="006E6E7B"/>
    <w:pPr>
      <w:keepNext/>
      <w:widowControl/>
      <w:spacing w:before="120" w:after="120"/>
    </w:pPr>
    <w:rPr>
      <w:rFonts w:eastAsiaTheme="minorEastAsia"/>
      <w:i/>
      <w:iCs/>
      <w:sz w:val="20"/>
    </w:rPr>
  </w:style>
  <w:style w:type="character" w:styleId="CommentReference">
    <w:name w:val="annotation reference"/>
    <w:basedOn w:val="DefaultParagraphFont"/>
    <w:uiPriority w:val="99"/>
    <w:unhideWhenUsed/>
    <w:rsid w:val="006E6E7B"/>
    <w:rPr>
      <w:sz w:val="16"/>
      <w:szCs w:val="16"/>
    </w:rPr>
  </w:style>
  <w:style w:type="character" w:styleId="SubtleEmphasis">
    <w:name w:val="Subtle Emphasis"/>
    <w:uiPriority w:val="19"/>
    <w:qFormat/>
    <w:rsid w:val="006E6E7B"/>
    <w:rPr>
      <w:i/>
      <w:iCs w:val="0"/>
      <w:color w:val="5A5A5A" w:themeColor="text1" w:themeTint="A5"/>
    </w:rPr>
  </w:style>
  <w:style w:type="character" w:styleId="IntenseEmphasis">
    <w:name w:val="Intense Emphasis"/>
    <w:basedOn w:val="DefaultParagraphFont"/>
    <w:uiPriority w:val="21"/>
    <w:qFormat/>
    <w:rsid w:val="006E6E7B"/>
    <w:rPr>
      <w:b/>
      <w:bCs w:val="0"/>
      <w:i/>
      <w:iCs w:val="0"/>
      <w:sz w:val="24"/>
      <w:szCs w:val="24"/>
      <w:u w:val="single"/>
    </w:rPr>
  </w:style>
  <w:style w:type="character" w:styleId="SubtleReference">
    <w:name w:val="Subtle Reference"/>
    <w:basedOn w:val="DefaultParagraphFont"/>
    <w:uiPriority w:val="31"/>
    <w:qFormat/>
    <w:rsid w:val="006E6E7B"/>
    <w:rPr>
      <w:sz w:val="24"/>
      <w:szCs w:val="24"/>
      <w:u w:val="single"/>
    </w:rPr>
  </w:style>
  <w:style w:type="character" w:styleId="IntenseReference">
    <w:name w:val="Intense Reference"/>
    <w:basedOn w:val="DefaultParagraphFont"/>
    <w:uiPriority w:val="32"/>
    <w:qFormat/>
    <w:rsid w:val="006E6E7B"/>
    <w:rPr>
      <w:b/>
      <w:bCs w:val="0"/>
      <w:sz w:val="24"/>
      <w:u w:val="single"/>
    </w:rPr>
  </w:style>
  <w:style w:type="character" w:styleId="BookTitle">
    <w:name w:val="Book Title"/>
    <w:basedOn w:val="DefaultParagraphFont"/>
    <w:uiPriority w:val="33"/>
    <w:qFormat/>
    <w:rsid w:val="006E6E7B"/>
    <w:rPr>
      <w:rFonts w:asciiTheme="majorHAnsi" w:eastAsiaTheme="majorEastAsia" w:hAnsiTheme="majorHAnsi" w:cs="Calibri Light" w:hint="default"/>
      <w:b/>
      <w:bCs w:val="0"/>
      <w:i/>
      <w:iCs w:val="0"/>
      <w:sz w:val="24"/>
      <w:szCs w:val="24"/>
    </w:rPr>
  </w:style>
  <w:style w:type="character" w:customStyle="1" w:styleId="tw4winExternal">
    <w:name w:val="tw4winExternal"/>
    <w:basedOn w:val="DefaultParagraphFont"/>
    <w:uiPriority w:val="99"/>
    <w:rsid w:val="006E6E7B"/>
  </w:style>
  <w:style w:type="character" w:customStyle="1" w:styleId="tw4winInternal">
    <w:name w:val="tw4winInternal"/>
    <w:basedOn w:val="DefaultParagraphFont"/>
    <w:uiPriority w:val="99"/>
    <w:rsid w:val="006E6E7B"/>
    <w:rPr>
      <w:sz w:val="16"/>
      <w:szCs w:val="16"/>
      <w:u w:val="dash"/>
      <w:shd w:val="clear" w:color="auto" w:fill="FFFF00"/>
    </w:rPr>
  </w:style>
  <w:style w:type="character" w:customStyle="1" w:styleId="ReusedInlineInfo">
    <w:name w:val="ReusedInlineInfo"/>
    <w:basedOn w:val="DefaultParagraphFont"/>
    <w:uiPriority w:val="99"/>
    <w:rsid w:val="006E6E7B"/>
    <w:rPr>
      <w:sz w:val="16"/>
      <w:szCs w:val="16"/>
      <w:u w:val="dash"/>
      <w:shd w:val="clear" w:color="auto" w:fill="FFFF00"/>
    </w:rPr>
  </w:style>
  <w:style w:type="character" w:customStyle="1" w:styleId="Error">
    <w:name w:val="Error"/>
    <w:basedOn w:val="DefaultParagraphFont"/>
    <w:uiPriority w:val="99"/>
    <w:rsid w:val="006E6E7B"/>
    <w:rPr>
      <w:shd w:val="clear" w:color="auto" w:fill="FF0000"/>
    </w:rPr>
  </w:style>
  <w:style w:type="paragraph" w:customStyle="1" w:styleId="RollCallVotes">
    <w:name w:val="RollCallVotes"/>
    <w:basedOn w:val="Normal"/>
    <w:rsid w:val="006E6E7B"/>
    <w:pPr>
      <w:spacing w:before="120" w:after="120"/>
      <w:jc w:val="center"/>
    </w:pPr>
    <w:rPr>
      <w:b/>
      <w:bCs/>
      <w:snapToGrid w:val="0"/>
      <w:sz w:val="16"/>
      <w:lang w:eastAsia="en-US"/>
    </w:rPr>
  </w:style>
  <w:style w:type="paragraph" w:customStyle="1" w:styleId="RollCallTabs">
    <w:name w:val="RollCallTabs"/>
    <w:basedOn w:val="Normal"/>
    <w:qFormat/>
    <w:rsid w:val="006E6E7B"/>
    <w:pPr>
      <w:tabs>
        <w:tab w:val="center" w:pos="284"/>
        <w:tab w:val="left" w:pos="426"/>
      </w:tabs>
    </w:pPr>
    <w:rPr>
      <w:snapToGrid w:val="0"/>
      <w:lang w:eastAsia="en-US"/>
    </w:rPr>
  </w:style>
  <w:style w:type="paragraph" w:customStyle="1" w:styleId="RollCallSymbols14pt">
    <w:name w:val="RollCallSymbols14pt"/>
    <w:basedOn w:val="Normal"/>
    <w:rsid w:val="006E6E7B"/>
    <w:pPr>
      <w:spacing w:before="120" w:after="120"/>
      <w:jc w:val="center"/>
    </w:pPr>
    <w:rPr>
      <w:rFonts w:ascii="Arial" w:hAnsi="Arial"/>
      <w:b/>
      <w:bCs/>
      <w:snapToGrid w:val="0"/>
      <w:sz w:val="28"/>
      <w:lang w:eastAsia="en-US"/>
    </w:rPr>
  </w:style>
  <w:style w:type="paragraph" w:customStyle="1" w:styleId="RollCallTable">
    <w:name w:val="RollCallTable"/>
    <w:basedOn w:val="Normal"/>
    <w:rsid w:val="006E6E7B"/>
    <w:pPr>
      <w:spacing w:before="120" w:after="120"/>
    </w:pPr>
    <w:rPr>
      <w:snapToGrid w:val="0"/>
      <w:sz w:val="16"/>
      <w:lang w:eastAsia="en-US"/>
    </w:rPr>
  </w:style>
  <w:style w:type="paragraph" w:customStyle="1" w:styleId="Normal24a">
    <w:name w:val="Normal24a"/>
    <w:basedOn w:val="Normal"/>
    <w:rsid w:val="006E6E7B"/>
    <w:pPr>
      <w:spacing w:after="480"/>
    </w:pPr>
  </w:style>
  <w:style w:type="paragraph" w:customStyle="1" w:styleId="NormalBoldCenter">
    <w:name w:val="NormalBoldCenter"/>
    <w:basedOn w:val="Normal"/>
    <w:rsid w:val="006E6E7B"/>
    <w:pPr>
      <w:jc w:val="center"/>
    </w:pPr>
    <w:rPr>
      <w:b/>
    </w:rPr>
  </w:style>
  <w:style w:type="character" w:styleId="Hyperlink">
    <w:name w:val="Hyperlink"/>
    <w:basedOn w:val="DefaultParagraphFont"/>
    <w:rsid w:val="00CB33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7657E-1725-4296-A92E-FEE57FB97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3600</Words>
  <Characters>19007</Characters>
  <Application>Microsoft Office Word</Application>
  <DocSecurity>0</DocSecurity>
  <Lines>158</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 Start</cp:lastModifiedBy>
  <cp:revision>2</cp:revision>
  <cp:lastPrinted>2004-11-19T15:42:00Z</cp:lastPrinted>
  <dcterms:created xsi:type="dcterms:W3CDTF">2024-09-09T14:16:00Z</dcterms:created>
  <dcterms:modified xsi:type="dcterms:W3CDTF">2024-09-09T14:16:00Z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P9_TA(2024)0373_</vt:lpwstr>
  </property>
  <property fmtid="{D5CDD505-2E9C-101B-9397-08002B2CF9AE}" pid="4" name="&lt;Type&gt;">
    <vt:lpwstr>RR</vt:lpwstr>
  </property>
</Properties>
</file>