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004B" w:rsidTr="0010095E">
        <w:trPr>
          <w:trHeight w:hRule="exact" w:val="1418"/>
        </w:trPr>
        <w:tc>
          <w:tcPr>
            <w:tcW w:w="6804" w:type="dxa"/>
            <w:shd w:val="clear" w:color="auto" w:fill="auto"/>
            <w:vAlign w:val="center"/>
          </w:tcPr>
          <w:p w:rsidR="00751A4A" w:rsidRPr="00D3004B" w:rsidRDefault="00844F8B" w:rsidP="0010095E">
            <w:pPr>
              <w:pStyle w:val="EPName"/>
            </w:pPr>
            <w:r w:rsidRPr="00D3004B">
              <w:t>Euroopa Parlament</w:t>
            </w:r>
          </w:p>
          <w:p w:rsidR="00751A4A" w:rsidRPr="00D3004B" w:rsidRDefault="00817416" w:rsidP="00756632">
            <w:pPr>
              <w:pStyle w:val="EPTerm"/>
              <w:rPr>
                <w:rStyle w:val="HideTWBExt"/>
                <w:noProof w:val="0"/>
                <w:vanish w:val="0"/>
                <w:color w:val="auto"/>
              </w:rPr>
            </w:pPr>
            <w:r w:rsidRPr="00D3004B">
              <w:t>2019-2024</w:t>
            </w:r>
          </w:p>
        </w:tc>
        <w:tc>
          <w:tcPr>
            <w:tcW w:w="2268" w:type="dxa"/>
            <w:shd w:val="clear" w:color="auto" w:fill="auto"/>
          </w:tcPr>
          <w:p w:rsidR="00751A4A" w:rsidRPr="00D3004B" w:rsidRDefault="00187494" w:rsidP="0010095E">
            <w:pPr>
              <w:pStyle w:val="EPLogo"/>
            </w:pPr>
            <w:r w:rsidRPr="00D300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004B" w:rsidRDefault="00D058B8" w:rsidP="004C5D52">
      <w:pPr>
        <w:pStyle w:val="LineTop"/>
      </w:pPr>
    </w:p>
    <w:p w:rsidR="00680577" w:rsidRPr="00D3004B" w:rsidRDefault="00844F8B" w:rsidP="00680577">
      <w:pPr>
        <w:pStyle w:val="EPBodyTA1"/>
      </w:pPr>
      <w:r w:rsidRPr="00D3004B">
        <w:t>VASTUVÕETUD TEKSTID</w:t>
      </w:r>
    </w:p>
    <w:p w:rsidR="00D058B8" w:rsidRPr="00D3004B" w:rsidRDefault="00D058B8" w:rsidP="00D058B8">
      <w:pPr>
        <w:pStyle w:val="LineBottom"/>
      </w:pPr>
    </w:p>
    <w:p w:rsidR="00844F8B" w:rsidRPr="00D3004B" w:rsidRDefault="00844F8B" w:rsidP="00844F8B">
      <w:pPr>
        <w:pStyle w:val="ATHeading1"/>
      </w:pPr>
      <w:bookmarkStart w:id="0" w:name="TANumber"/>
      <w:r w:rsidRPr="00D3004B">
        <w:t>P9_TA(2024)0</w:t>
      </w:r>
      <w:r w:rsidR="006E6DA3" w:rsidRPr="00D3004B">
        <w:t>373</w:t>
      </w:r>
      <w:bookmarkEnd w:id="0"/>
    </w:p>
    <w:p w:rsidR="00844F8B" w:rsidRPr="00D3004B" w:rsidRDefault="002714C6" w:rsidP="00844F8B">
      <w:pPr>
        <w:pStyle w:val="ATHeading2"/>
      </w:pPr>
      <w:bookmarkStart w:id="1" w:name="title"/>
      <w:r w:rsidRPr="00D3004B">
        <w:t>2025. </w:t>
      </w:r>
      <w:r w:rsidR="00844F8B" w:rsidRPr="00D3004B">
        <w:t>aasta t</w:t>
      </w:r>
      <w:r w:rsidRPr="00D3004B">
        <w:t>ulude ja kulude eelarvestus – I </w:t>
      </w:r>
      <w:r w:rsidR="00844F8B" w:rsidRPr="00D3004B">
        <w:t>jagu – Euroopa Parlament</w:t>
      </w:r>
      <w:bookmarkEnd w:id="1"/>
    </w:p>
    <w:p w:rsidR="00844F8B" w:rsidRPr="00D3004B" w:rsidRDefault="00844F8B" w:rsidP="00844F8B">
      <w:pPr>
        <w:rPr>
          <w:i/>
          <w:vanish/>
        </w:rPr>
      </w:pPr>
      <w:r w:rsidRPr="00D3004B">
        <w:rPr>
          <w:i/>
        </w:rPr>
        <w:fldChar w:fldCharType="begin"/>
      </w:r>
      <w:r w:rsidRPr="00D3004B">
        <w:rPr>
          <w:i/>
        </w:rPr>
        <w:instrText xml:space="preserve"> TC"(</w:instrText>
      </w:r>
      <w:bookmarkStart w:id="2" w:name="DocNumber"/>
      <w:r w:rsidRPr="00D3004B">
        <w:rPr>
          <w:i/>
        </w:rPr>
        <w:instrText>A9-0180/2024</w:instrText>
      </w:r>
      <w:bookmarkEnd w:id="2"/>
      <w:r w:rsidRPr="00D3004B">
        <w:rPr>
          <w:i/>
        </w:rPr>
        <w:instrText xml:space="preserve"> - Raportöör: Anna</w:instrText>
      </w:r>
      <w:r w:rsidRPr="00D3004B">
        <w:rPr>
          <w:i/>
        </w:rPr>
        <w:noBreakHyphen/>
      </w:r>
      <w:proofErr w:type="spellStart"/>
      <w:r w:rsidRPr="00D3004B">
        <w:rPr>
          <w:i/>
        </w:rPr>
        <w:instrText>Michelle</w:instrText>
      </w:r>
      <w:proofErr w:type="spellEnd"/>
      <w:r w:rsidRPr="00D3004B">
        <w:rPr>
          <w:i/>
        </w:rPr>
        <w:instrText xml:space="preserve"> </w:instrText>
      </w:r>
      <w:proofErr w:type="spellStart"/>
      <w:r w:rsidRPr="00D3004B">
        <w:rPr>
          <w:i/>
        </w:rPr>
        <w:instrText>Asimakopoulou</w:instrText>
      </w:r>
      <w:proofErr w:type="spellEnd"/>
      <w:r w:rsidRPr="00D3004B">
        <w:rPr>
          <w:i/>
        </w:rPr>
        <w:instrText xml:space="preserve">)"\l3 \n&gt; \* MERGEFORMAT </w:instrText>
      </w:r>
      <w:r w:rsidRPr="00D3004B">
        <w:rPr>
          <w:i/>
        </w:rPr>
        <w:fldChar w:fldCharType="end"/>
      </w:r>
    </w:p>
    <w:p w:rsidR="00844F8B" w:rsidRPr="00D3004B" w:rsidRDefault="00844F8B" w:rsidP="00844F8B">
      <w:pPr>
        <w:rPr>
          <w:vanish/>
        </w:rPr>
      </w:pPr>
      <w:bookmarkStart w:id="3" w:name="Commission"/>
      <w:r w:rsidRPr="00D3004B">
        <w:rPr>
          <w:vanish/>
        </w:rPr>
        <w:t>Eelarvekomisjon</w:t>
      </w:r>
      <w:bookmarkEnd w:id="3"/>
    </w:p>
    <w:p w:rsidR="00844F8B" w:rsidRPr="00D3004B" w:rsidRDefault="00844F8B" w:rsidP="00844F8B">
      <w:pPr>
        <w:rPr>
          <w:vanish/>
        </w:rPr>
      </w:pPr>
      <w:bookmarkStart w:id="4" w:name="PE"/>
      <w:r w:rsidRPr="00D3004B">
        <w:rPr>
          <w:vanish/>
        </w:rPr>
        <w:t>PE759.633</w:t>
      </w:r>
      <w:bookmarkEnd w:id="4"/>
    </w:p>
    <w:p w:rsidR="00844F8B" w:rsidRPr="00D3004B" w:rsidRDefault="002714C6" w:rsidP="00844F8B">
      <w:pPr>
        <w:pStyle w:val="ATHeading3"/>
      </w:pPr>
      <w:bookmarkStart w:id="5" w:name="Sujet"/>
      <w:r w:rsidRPr="00D3004B">
        <w:t>Euroopa Parlamendi 25. aprilli 2024. </w:t>
      </w:r>
      <w:r w:rsidR="00844F8B" w:rsidRPr="00D3004B">
        <w:t>aasta resolu</w:t>
      </w:r>
      <w:r w:rsidRPr="00D3004B">
        <w:t>tsioon Euroopa Parlamendi 2025. </w:t>
      </w:r>
      <w:r w:rsidR="00844F8B" w:rsidRPr="00D3004B">
        <w:t>aasta tulude ja kulude eelarvestuse kohta</w:t>
      </w:r>
      <w:bookmarkEnd w:id="5"/>
      <w:r w:rsidR="00844F8B" w:rsidRPr="00D3004B">
        <w:t xml:space="preserve"> </w:t>
      </w:r>
      <w:bookmarkStart w:id="6" w:name="References"/>
      <w:r w:rsidR="00844F8B" w:rsidRPr="00D3004B">
        <w:t>(2023/2221(BUI))</w:t>
      </w:r>
      <w:bookmarkStart w:id="7" w:name="_GoBack"/>
      <w:bookmarkEnd w:id="6"/>
      <w:bookmarkEnd w:id="7"/>
    </w:p>
    <w:p w:rsidR="00D51253" w:rsidRPr="00D3004B" w:rsidRDefault="00D51253" w:rsidP="00D51253">
      <w:pPr>
        <w:pStyle w:val="EPComma"/>
        <w:rPr>
          <w:szCs w:val="24"/>
        </w:rPr>
      </w:pPr>
      <w:bookmarkStart w:id="8" w:name="TextBodyBegin"/>
      <w:bookmarkEnd w:id="8"/>
      <w:r w:rsidRPr="00D3004B">
        <w:rPr>
          <w:i/>
        </w:rPr>
        <w:t>Euroopa Parlament,</w:t>
      </w:r>
    </w:p>
    <w:p w:rsidR="00D51253" w:rsidRPr="00D3004B" w:rsidRDefault="00D51253" w:rsidP="00D51253">
      <w:pPr>
        <w:pStyle w:val="NormalHanging12a"/>
        <w:rPr>
          <w:szCs w:val="24"/>
        </w:rPr>
      </w:pPr>
      <w:r w:rsidRPr="00D3004B">
        <w:t>–</w:t>
      </w:r>
      <w:r w:rsidRPr="00D3004B">
        <w:tab/>
        <w:t>võttes arvesse Euroopa L</w:t>
      </w:r>
      <w:r w:rsidR="002714C6" w:rsidRPr="00D3004B">
        <w:t>iidu toimimise lepingu artiklit </w:t>
      </w:r>
      <w:r w:rsidRPr="00D3004B">
        <w:t>314,</w:t>
      </w:r>
    </w:p>
    <w:p w:rsidR="00D51253" w:rsidRPr="00D3004B" w:rsidRDefault="00D51253" w:rsidP="00D51253">
      <w:pPr>
        <w:pStyle w:val="NormalHanging12a"/>
        <w:rPr>
          <w:szCs w:val="24"/>
        </w:rPr>
      </w:pPr>
      <w:r w:rsidRPr="00D3004B">
        <w:t>–</w:t>
      </w:r>
      <w:r w:rsidRPr="00D3004B">
        <w:tab/>
        <w:t xml:space="preserve">võttes arvesse Euroopa Parlamendi ja nõukogu 18. juuli 2018. aasta määrust (EL, Euratom) 2018/1046, mis käsitleb liidu </w:t>
      </w:r>
      <w:proofErr w:type="spellStart"/>
      <w:r w:rsidRPr="00D3004B">
        <w:t>üldeelarve</w:t>
      </w:r>
      <w:proofErr w:type="spellEnd"/>
      <w:r w:rsidRPr="00D3004B">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D3004B">
        <w:rPr>
          <w:rStyle w:val="FootnoteReference"/>
          <w:szCs w:val="24"/>
        </w:rPr>
        <w:footnoteReference w:id="1"/>
      </w:r>
      <w:r w:rsidRPr="00D3004B">
        <w:t>,</w:t>
      </w:r>
    </w:p>
    <w:p w:rsidR="00D51253" w:rsidRPr="00D3004B" w:rsidRDefault="00D51253" w:rsidP="00D51253">
      <w:pPr>
        <w:pStyle w:val="NormalHanging12a"/>
        <w:rPr>
          <w:szCs w:val="24"/>
        </w:rPr>
      </w:pPr>
      <w:r w:rsidRPr="00D3004B">
        <w:t>–</w:t>
      </w:r>
      <w:r w:rsidRPr="00D3004B">
        <w:tab/>
        <w:t>võttes arvesse nõukogu 17. detsembri 2020. aasta määrust (EL, Euratom) 2020/2093, millega määratakse kindlaks mitmeaastane finantsraamistik aastateks 2021–2027</w:t>
      </w:r>
      <w:r w:rsidRPr="00D3004B">
        <w:rPr>
          <w:szCs w:val="24"/>
          <w:vertAlign w:val="superscript"/>
        </w:rPr>
        <w:footnoteReference w:id="2"/>
      </w:r>
      <w:r w:rsidRPr="00D3004B">
        <w:t xml:space="preserve">, ning sellega seoses Euroopa Parlamendi, nõukogu ja komisjoni vahel kokku lepitud </w:t>
      </w:r>
      <w:proofErr w:type="spellStart"/>
      <w:r w:rsidRPr="00D3004B">
        <w:t>ühisdeklaratsioone</w:t>
      </w:r>
      <w:proofErr w:type="spellEnd"/>
      <w:r w:rsidRPr="00D3004B">
        <w:rPr>
          <w:szCs w:val="24"/>
          <w:vertAlign w:val="superscript"/>
        </w:rPr>
        <w:footnoteReference w:id="3"/>
      </w:r>
      <w:r w:rsidRPr="00D3004B">
        <w:t xml:space="preserve"> ja asjakohaseid ühepoolseid deklaratsioone</w:t>
      </w:r>
      <w:r w:rsidRPr="00D3004B">
        <w:rPr>
          <w:szCs w:val="24"/>
          <w:vertAlign w:val="superscript"/>
        </w:rPr>
        <w:footnoteReference w:id="4"/>
      </w:r>
      <w:r w:rsidRPr="00D3004B">
        <w:t xml:space="preserve"> </w:t>
      </w:r>
    </w:p>
    <w:p w:rsidR="00D51253" w:rsidRPr="00D3004B" w:rsidRDefault="00D51253" w:rsidP="00D51253">
      <w:pPr>
        <w:pStyle w:val="NormalHanging12a"/>
        <w:rPr>
          <w:szCs w:val="24"/>
        </w:rPr>
      </w:pPr>
      <w:r w:rsidRPr="00D3004B">
        <w:t>–</w:t>
      </w:r>
      <w:r w:rsidRPr="00D3004B">
        <w:tab/>
        <w:t xml:space="preserve">võttes arvesse 16. detsembri 2020. aasta </w:t>
      </w:r>
      <w:proofErr w:type="spellStart"/>
      <w:r w:rsidRPr="00D3004B">
        <w:t>institutsioonidevahelist</w:t>
      </w:r>
      <w:proofErr w:type="spellEnd"/>
      <w:r w:rsidRPr="00D3004B">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D3004B">
        <w:rPr>
          <w:rStyle w:val="FootnoteReference"/>
          <w:szCs w:val="24"/>
        </w:rPr>
        <w:footnoteReference w:id="5"/>
      </w:r>
      <w:r w:rsidRPr="00D3004B">
        <w:t>,</w:t>
      </w:r>
    </w:p>
    <w:p w:rsidR="00D51253" w:rsidRPr="00D3004B" w:rsidRDefault="00D51253" w:rsidP="00D51253">
      <w:pPr>
        <w:pStyle w:val="NormalHanging12a"/>
        <w:rPr>
          <w:szCs w:val="24"/>
        </w:rPr>
      </w:pPr>
      <w:r w:rsidRPr="00D3004B">
        <w:t>–</w:t>
      </w:r>
      <w:r w:rsidRPr="00D3004B">
        <w:tab/>
        <w:t xml:space="preserve">võttes arvesse oma </w:t>
      </w:r>
      <w:r w:rsidR="002714C6" w:rsidRPr="00D3004B">
        <w:t xml:space="preserve">3. oktoobri 2023. aasta </w:t>
      </w:r>
      <w:r w:rsidRPr="00D3004B">
        <w:t xml:space="preserve">vaheraportit ettepaneku kohta, mis käsitleb </w:t>
      </w:r>
      <w:r w:rsidRPr="00D3004B">
        <w:lastRenderedPageBreak/>
        <w:t>mitmeaastase finantsraamistiku 2021–2027 muutmist</w:t>
      </w:r>
      <w:r w:rsidRPr="00D3004B">
        <w:rPr>
          <w:szCs w:val="24"/>
          <w:vertAlign w:val="superscript"/>
        </w:rPr>
        <w:footnoteReference w:id="6"/>
      </w:r>
    </w:p>
    <w:p w:rsidR="00D51253" w:rsidRPr="00D3004B" w:rsidRDefault="002714C6" w:rsidP="00D51253">
      <w:pPr>
        <w:pStyle w:val="NormalHanging12a"/>
        <w:rPr>
          <w:szCs w:val="24"/>
        </w:rPr>
      </w:pPr>
      <w:r w:rsidRPr="00D3004B">
        <w:t>–</w:t>
      </w:r>
      <w:r w:rsidRPr="00D3004B">
        <w:tab/>
        <w:t>võttes arvesse oma 15. detsembri 2022. </w:t>
      </w:r>
      <w:r w:rsidR="00D51253" w:rsidRPr="00D3004B">
        <w:t>aasta resolutsiooni mitmeaastase finantsraamistiku 2021–2027 täiustamise ning vastupidava ja uutele ülesannetele kohandatud ELi eelarve kohta</w:t>
      </w:r>
      <w:r w:rsidR="00D51253" w:rsidRPr="00D3004B">
        <w:rPr>
          <w:szCs w:val="24"/>
          <w:vertAlign w:val="superscript"/>
        </w:rPr>
        <w:footnoteReference w:id="7"/>
      </w:r>
      <w:r w:rsidR="00D51253" w:rsidRPr="00D3004B">
        <w:t xml:space="preserve">, </w:t>
      </w:r>
    </w:p>
    <w:p w:rsidR="00D51253" w:rsidRPr="00D3004B" w:rsidRDefault="002714C6" w:rsidP="00D51253">
      <w:pPr>
        <w:pStyle w:val="NormalHanging12a"/>
        <w:rPr>
          <w:szCs w:val="24"/>
        </w:rPr>
      </w:pPr>
      <w:r w:rsidRPr="00D3004B">
        <w:t>–</w:t>
      </w:r>
      <w:r w:rsidRPr="00D3004B">
        <w:tab/>
        <w:t>võttes arvesse nõukogu 29. veebruari 2024. </w:t>
      </w:r>
      <w:r w:rsidR="00D51253" w:rsidRPr="00D3004B">
        <w:t>aasta mää</w:t>
      </w:r>
      <w:r w:rsidRPr="00D3004B">
        <w:t>rust (EL, </w:t>
      </w:r>
      <w:r w:rsidR="00D51253" w:rsidRPr="00D3004B">
        <w:t xml:space="preserve">Euratom) 2024/765, </w:t>
      </w:r>
      <w:r w:rsidRPr="00D3004B">
        <w:t>millega muudetakse määrust (EL, Euratom) </w:t>
      </w:r>
      <w:r w:rsidR="00D51253" w:rsidRPr="00D3004B">
        <w:t>2020/2093, millega määratakse kindlaks mitmeaastane finantsraamistik aastateks 2021–2027</w:t>
      </w:r>
      <w:r w:rsidR="00D51253" w:rsidRPr="00D3004B">
        <w:rPr>
          <w:rStyle w:val="FootnoteReference"/>
          <w:szCs w:val="24"/>
        </w:rPr>
        <w:footnoteReference w:id="8"/>
      </w:r>
      <w:r w:rsidR="00D51253" w:rsidRPr="00D3004B">
        <w:t xml:space="preserve"> (mitmeaastase finantsraamistiku muutmine),</w:t>
      </w:r>
    </w:p>
    <w:p w:rsidR="00D51253" w:rsidRPr="00D3004B" w:rsidRDefault="00D51253" w:rsidP="00D51253">
      <w:pPr>
        <w:pStyle w:val="NormalHanging12a"/>
        <w:rPr>
          <w:szCs w:val="24"/>
        </w:rPr>
      </w:pPr>
      <w:r w:rsidRPr="00D3004B">
        <w:t>–</w:t>
      </w:r>
      <w:r w:rsidRPr="00D3004B">
        <w:tab/>
        <w:t xml:space="preserve">võttes arvesse komisjoni 16. mai 2022. aasta ettepanekut võtta vastu Euroopa Parlamendi ja nõukogu määrus, mis käsitleb liidu </w:t>
      </w:r>
      <w:proofErr w:type="spellStart"/>
      <w:r w:rsidRPr="00D3004B">
        <w:t>üldeelarve</w:t>
      </w:r>
      <w:proofErr w:type="spellEnd"/>
      <w:r w:rsidRPr="00D3004B">
        <w:t xml:space="preserve"> suhtes kohaldatavaid finantsreegleid</w:t>
      </w:r>
      <w:r w:rsidRPr="00D3004B">
        <w:rPr>
          <w:rStyle w:val="FootnoteReference"/>
          <w:szCs w:val="24"/>
        </w:rPr>
        <w:footnoteReference w:id="9"/>
      </w:r>
      <w:r w:rsidRPr="00D3004B">
        <w:t>,</w:t>
      </w:r>
    </w:p>
    <w:p w:rsidR="00D51253" w:rsidRPr="00D3004B" w:rsidRDefault="00D51253" w:rsidP="00D51253">
      <w:pPr>
        <w:pStyle w:val="NormalHanging12a"/>
        <w:rPr>
          <w:szCs w:val="24"/>
        </w:rPr>
      </w:pPr>
      <w:r w:rsidRPr="00D3004B">
        <w:t>–</w:t>
      </w:r>
      <w:r w:rsidRPr="00D3004B">
        <w:tab/>
        <w:t>võttes arvesse Euroopa Parlamendi ja nõukogu 22. oktoobri 2013. aasta määrust (EL, Euratom) nr 1023/2013, millega muudetakse Euroopa Liidu ametnike personalieeskirju ja Euroopa Liidu muude teenistujate teenistustingimusi</w:t>
      </w:r>
      <w:r w:rsidRPr="00D3004B">
        <w:rPr>
          <w:rStyle w:val="FootnoteReference"/>
          <w:szCs w:val="24"/>
        </w:rPr>
        <w:footnoteReference w:id="10"/>
      </w:r>
      <w:r w:rsidRPr="00D3004B">
        <w:t xml:space="preserve">,  </w:t>
      </w:r>
    </w:p>
    <w:p w:rsidR="00D51253" w:rsidRPr="00D3004B" w:rsidRDefault="00D51253" w:rsidP="00D51253">
      <w:pPr>
        <w:pStyle w:val="NormalHanging12a"/>
        <w:rPr>
          <w:szCs w:val="24"/>
        </w:rPr>
      </w:pPr>
      <w:r w:rsidRPr="00D3004B">
        <w:t>–</w:t>
      </w:r>
      <w:r w:rsidRPr="00D3004B">
        <w:tab/>
        <w:t>võttes arvesse Euroopa Parlamendi 20. aprilli 2023. aasta resolutsiooni Euroopa Parlamendi 2024. aasta tulude ja kulude eelarvestuse kohta</w:t>
      </w:r>
      <w:r w:rsidRPr="00D3004B">
        <w:rPr>
          <w:rStyle w:val="FootnoteReference"/>
          <w:szCs w:val="24"/>
        </w:rPr>
        <w:footnoteReference w:id="11"/>
      </w:r>
      <w:r w:rsidRPr="00D3004B">
        <w:t xml:space="preserve">, </w:t>
      </w:r>
    </w:p>
    <w:p w:rsidR="00D51253" w:rsidRPr="00D3004B" w:rsidRDefault="00D51253" w:rsidP="00D51253">
      <w:pPr>
        <w:pStyle w:val="NormalHanging12a"/>
        <w:rPr>
          <w:szCs w:val="24"/>
        </w:rPr>
      </w:pPr>
      <w:r w:rsidRPr="00D3004B">
        <w:t>–</w:t>
      </w:r>
      <w:r w:rsidRPr="00D3004B">
        <w:tab/>
        <w:t xml:space="preserve">võttes arvesse oma 18. oktoobri 2023. aasta resolutsiooni, mis käsitleb nõukogu seisukohta Euroopa Liidu 2024. aasta </w:t>
      </w:r>
      <w:proofErr w:type="spellStart"/>
      <w:r w:rsidRPr="00D3004B">
        <w:t>üldeelarve</w:t>
      </w:r>
      <w:proofErr w:type="spellEnd"/>
      <w:r w:rsidRPr="00D3004B">
        <w:t xml:space="preserve"> projekti kohta</w:t>
      </w:r>
      <w:r w:rsidRPr="00D3004B">
        <w:rPr>
          <w:rStyle w:val="FootnoteReference"/>
          <w:szCs w:val="24"/>
        </w:rPr>
        <w:footnoteReference w:id="12"/>
      </w:r>
      <w:r w:rsidRPr="00D3004B">
        <w:t xml:space="preserve">, </w:t>
      </w:r>
    </w:p>
    <w:p w:rsidR="00D51253" w:rsidRPr="00D3004B" w:rsidRDefault="00D51253" w:rsidP="00D51253">
      <w:pPr>
        <w:pStyle w:val="NormalHanging12a"/>
        <w:rPr>
          <w:szCs w:val="24"/>
        </w:rPr>
      </w:pPr>
      <w:r w:rsidRPr="00D3004B">
        <w:t>–</w:t>
      </w:r>
      <w:r w:rsidRPr="00D3004B">
        <w:tab/>
        <w:t xml:space="preserve">võttes arvesse Euroopa Liidu 2024. aasta </w:t>
      </w:r>
      <w:proofErr w:type="spellStart"/>
      <w:r w:rsidRPr="00D3004B">
        <w:t>üldeelarvet</w:t>
      </w:r>
      <w:proofErr w:type="spellEnd"/>
      <w:r w:rsidRPr="00D3004B">
        <w:rPr>
          <w:rStyle w:val="FootnoteReference"/>
          <w:szCs w:val="24"/>
        </w:rPr>
        <w:footnoteReference w:id="13"/>
      </w:r>
      <w:r w:rsidRPr="00D3004B">
        <w:t xml:space="preserve"> ja sellele lisatud Euroopa Parlamendi, nõukogu ja komisjoni ühisavaldusi, </w:t>
      </w:r>
    </w:p>
    <w:p w:rsidR="00D51253" w:rsidRPr="00D3004B" w:rsidRDefault="00D51253" w:rsidP="00D51253">
      <w:pPr>
        <w:pStyle w:val="NormalHanging12a"/>
        <w:rPr>
          <w:szCs w:val="24"/>
        </w:rPr>
      </w:pPr>
      <w:r w:rsidRPr="00D3004B">
        <w:t>–</w:t>
      </w:r>
      <w:r w:rsidRPr="00D3004B">
        <w:tab/>
        <w:t>võttes arvesse peasekretäri aruannet juhatusele Euroopa Parlamendi 2025. aasta esialgse eelarvestuse projekti koostamise kohta,</w:t>
      </w:r>
    </w:p>
    <w:p w:rsidR="00D51253" w:rsidRPr="00D3004B" w:rsidRDefault="00D51253" w:rsidP="00D51253">
      <w:pPr>
        <w:pStyle w:val="NormalHanging12a"/>
        <w:rPr>
          <w:szCs w:val="24"/>
        </w:rPr>
      </w:pPr>
      <w:r w:rsidRPr="00D3004B">
        <w:t>–</w:t>
      </w:r>
      <w:r w:rsidRPr="00D3004B">
        <w:tab/>
        <w:t>võttes arvesse vastavalt kodukorra artikli 25 lõikele 7 ja artikli 102 lõikele 1 juhatuse poolt 11. märtsil 2024. aastal koostatud esialgset eelarvestuse projekti,</w:t>
      </w:r>
    </w:p>
    <w:p w:rsidR="00D51253" w:rsidRPr="00D3004B" w:rsidRDefault="00D51253" w:rsidP="00D51253">
      <w:pPr>
        <w:pStyle w:val="NormalHanging12a"/>
        <w:rPr>
          <w:szCs w:val="24"/>
        </w:rPr>
      </w:pPr>
      <w:r w:rsidRPr="00D3004B">
        <w:t>–</w:t>
      </w:r>
      <w:r w:rsidRPr="00D3004B">
        <w:tab/>
        <w:t>võttes arvesse vastavalt kodukorra artikli 102 lõikele 2 eelarvekomisjoni poolt koostatud eelarvestuse projekti,</w:t>
      </w:r>
    </w:p>
    <w:p w:rsidR="00D51253" w:rsidRPr="00D3004B" w:rsidRDefault="00D51253" w:rsidP="00D51253">
      <w:pPr>
        <w:pStyle w:val="NormalHanging12a"/>
        <w:rPr>
          <w:szCs w:val="24"/>
        </w:rPr>
      </w:pPr>
      <w:r w:rsidRPr="00D3004B">
        <w:t>–</w:t>
      </w:r>
      <w:r w:rsidRPr="00D3004B">
        <w:tab/>
        <w:t>võ</w:t>
      </w:r>
      <w:r w:rsidR="002714C6" w:rsidRPr="00D3004B">
        <w:t>ttes arvesse kodukorra artiklit </w:t>
      </w:r>
      <w:r w:rsidRPr="00D3004B">
        <w:t>102,</w:t>
      </w:r>
    </w:p>
    <w:p w:rsidR="00D51253" w:rsidRPr="00D3004B" w:rsidRDefault="00D51253" w:rsidP="00D51253">
      <w:pPr>
        <w:pStyle w:val="NormalHanging12a"/>
        <w:rPr>
          <w:szCs w:val="24"/>
        </w:rPr>
      </w:pPr>
      <w:r w:rsidRPr="00D3004B">
        <w:t>–</w:t>
      </w:r>
      <w:r w:rsidRPr="00D3004B">
        <w:tab/>
        <w:t>võttes arvess</w:t>
      </w:r>
      <w:r w:rsidR="002714C6" w:rsidRPr="00D3004B">
        <w:t>e eelarvekomisjoni raportit (A9</w:t>
      </w:r>
      <w:r w:rsidR="002714C6" w:rsidRPr="00D3004B">
        <w:noBreakHyphen/>
      </w:r>
      <w:r w:rsidRPr="00D3004B">
        <w:t>0180/2024),</w:t>
      </w:r>
    </w:p>
    <w:p w:rsidR="00D51253" w:rsidRPr="00D3004B" w:rsidRDefault="00D51253" w:rsidP="00D51253">
      <w:pPr>
        <w:pStyle w:val="Action"/>
        <w:tabs>
          <w:tab w:val="clear" w:pos="357"/>
        </w:tabs>
        <w:spacing w:after="200"/>
        <w:ind w:left="567" w:hanging="567"/>
        <w:outlineLvl w:val="0"/>
        <w:rPr>
          <w:szCs w:val="24"/>
        </w:rPr>
      </w:pPr>
      <w:r w:rsidRPr="00D3004B">
        <w:t>A.</w:t>
      </w:r>
      <w:r w:rsidRPr="00D3004B">
        <w:tab/>
        <w:t>arvestades, et pe</w:t>
      </w:r>
      <w:r w:rsidR="002714C6" w:rsidRPr="00D3004B">
        <w:t>asekretäri poolt 26. veebruaril </w:t>
      </w:r>
      <w:r w:rsidRPr="00D3004B">
        <w:t xml:space="preserve">2024 Euroopa Parlamendi esialgse eelarvestuse projektis esitatud eelarve on 2 507 233 329 eurot ja 2024. aasta eelarvega </w:t>
      </w:r>
      <w:r w:rsidRPr="00D3004B">
        <w:lastRenderedPageBreak/>
        <w:t>võrrelde</w:t>
      </w:r>
      <w:r w:rsidR="002714C6" w:rsidRPr="00D3004B">
        <w:t>s on see 5,21 % ehk 124 132 017 </w:t>
      </w:r>
      <w:r w:rsidRPr="00D3004B">
        <w:t xml:space="preserve">eurot suurem; </w:t>
      </w:r>
    </w:p>
    <w:p w:rsidR="00D51253" w:rsidRPr="00D3004B" w:rsidRDefault="00D51253" w:rsidP="00D51253">
      <w:pPr>
        <w:pStyle w:val="Action"/>
        <w:tabs>
          <w:tab w:val="clear" w:pos="357"/>
        </w:tabs>
        <w:spacing w:after="200"/>
        <w:ind w:left="567" w:hanging="567"/>
        <w:outlineLvl w:val="0"/>
        <w:rPr>
          <w:szCs w:val="24"/>
        </w:rPr>
      </w:pPr>
      <w:r w:rsidRPr="00D3004B">
        <w:t>B.</w:t>
      </w:r>
      <w:r w:rsidRPr="00D3004B">
        <w:tab/>
        <w:t>arvestades, et komisjoni 2024. aasta talvise vaheprognoosi kohaselt on ELi inflatsioonimäär 2024. aastal 3 % ja 2025. aastal 2,5 %; arvestades, et mitmeaastase finantsraamistiku 2021–2027 rub</w:t>
      </w:r>
      <w:r w:rsidR="002714C6" w:rsidRPr="00D3004B">
        <w:t>riigi 7 kulude tase põhineb iga</w:t>
      </w:r>
      <w:r w:rsidR="002714C6" w:rsidRPr="00D3004B">
        <w:noBreakHyphen/>
      </w:r>
      <w:r w:rsidRPr="00D3004B">
        <w:t>aastasel 2 % suurusel kasvul;</w:t>
      </w:r>
    </w:p>
    <w:p w:rsidR="00D51253" w:rsidRPr="00D3004B" w:rsidRDefault="00D51253" w:rsidP="00D51253">
      <w:pPr>
        <w:pStyle w:val="Action"/>
        <w:tabs>
          <w:tab w:val="clear" w:pos="357"/>
        </w:tabs>
        <w:spacing w:after="200"/>
        <w:ind w:left="567" w:hanging="567"/>
        <w:outlineLvl w:val="0"/>
        <w:rPr>
          <w:szCs w:val="24"/>
        </w:rPr>
      </w:pPr>
      <w:r w:rsidRPr="00D3004B">
        <w:t>C.</w:t>
      </w:r>
      <w:r w:rsidRPr="00D3004B">
        <w:tab/>
        <w:t xml:space="preserve">arvestades, et parlamendi usaldusväärsus sõltub tema võimest täita oma eelarve-, õigusloome- ja kontrollitegevust kõrgeimate standardite kohaselt, olles samal ajal eeskujuks teistele liidu institutsioonidele, kavandades ja tehes oma kulutusi ettevaatlikult ja tõhusalt ning kajastades valitsevat majanduslikku tegelikkust; </w:t>
      </w:r>
    </w:p>
    <w:p w:rsidR="00D51253" w:rsidRPr="00D3004B" w:rsidRDefault="002714C6" w:rsidP="00D51253">
      <w:pPr>
        <w:pStyle w:val="Action"/>
        <w:tabs>
          <w:tab w:val="clear" w:pos="357"/>
        </w:tabs>
        <w:spacing w:after="200"/>
        <w:ind w:left="567" w:hanging="567"/>
        <w:outlineLvl w:val="0"/>
        <w:rPr>
          <w:szCs w:val="24"/>
        </w:rPr>
      </w:pPr>
      <w:r w:rsidRPr="00D3004B">
        <w:t>D.</w:t>
      </w:r>
      <w:r w:rsidRPr="00D3004B">
        <w:tab/>
        <w:t>arvestades, et 2025. </w:t>
      </w:r>
      <w:r w:rsidR="00D51253" w:rsidRPr="00D3004B">
        <w:t>aasta on esimene täispikk aasta pärast valimisi ning seetõttu taastub põhilise poliitilise ja toetustegevuse tavapärane tempo;</w:t>
      </w:r>
    </w:p>
    <w:p w:rsidR="00D51253" w:rsidRPr="00D3004B" w:rsidRDefault="00D51253" w:rsidP="00D51253">
      <w:pPr>
        <w:pStyle w:val="Action"/>
        <w:tabs>
          <w:tab w:val="clear" w:pos="357"/>
        </w:tabs>
        <w:spacing w:after="200"/>
        <w:ind w:left="567" w:hanging="567"/>
        <w:outlineLvl w:val="0"/>
        <w:rPr>
          <w:szCs w:val="24"/>
        </w:rPr>
      </w:pPr>
      <w:r w:rsidRPr="00D3004B">
        <w:t xml:space="preserve">E. </w:t>
      </w:r>
      <w:r w:rsidRPr="00D3004B">
        <w:tab/>
        <w:t>arvestades, et Euroopa Parlament viis lõpule eelmisel aastal alanud põhjaliku reformiprotsessi, et ühelt poolt vaadata läbi parlamendisisesed töömeetodid, mis muudavad parlamendi töö tõhusamaks, ja teiselt poolt tugevdada oma institutsioonilist rolli, mis aitab parandada parlamendi toimimist kaasseadusandja, eelarvepädeva institutsiooni ja eelarve täitmisele heakskiidu andmise eest vastutava institutsioonina ning suurendada tema suutlikkust teostada demokraatlikku järelevalvet;</w:t>
      </w:r>
    </w:p>
    <w:p w:rsidR="00D51253" w:rsidRPr="00D3004B" w:rsidRDefault="00D51253" w:rsidP="002714C6">
      <w:pPr>
        <w:keepNext/>
        <w:tabs>
          <w:tab w:val="left" w:pos="567"/>
        </w:tabs>
        <w:spacing w:after="200"/>
        <w:ind w:left="357" w:hanging="357"/>
        <w:outlineLvl w:val="0"/>
        <w:rPr>
          <w:b/>
          <w:bCs/>
          <w:i/>
          <w:iCs/>
          <w:szCs w:val="24"/>
        </w:rPr>
      </w:pPr>
      <w:proofErr w:type="spellStart"/>
      <w:r w:rsidRPr="00D3004B">
        <w:rPr>
          <w:b/>
          <w:i/>
        </w:rPr>
        <w:t>Üldraamistik</w:t>
      </w:r>
      <w:proofErr w:type="spellEnd"/>
    </w:p>
    <w:p w:rsidR="00D51253" w:rsidRPr="00D3004B" w:rsidRDefault="00D51253" w:rsidP="00D51253">
      <w:pPr>
        <w:pStyle w:val="action0"/>
        <w:spacing w:after="200"/>
        <w:ind w:left="567" w:hanging="567"/>
        <w:rPr>
          <w:bCs/>
          <w:iCs/>
        </w:rPr>
      </w:pPr>
      <w:r w:rsidRPr="00D3004B">
        <w:t>1.</w:t>
      </w:r>
      <w:r w:rsidRPr="00D3004B">
        <w:tab/>
        <w:t>väljendab muret seoses olukorraga kehtiva mitmeaastase finantsraamistiku rubriigis 7; tuletab meelde, et piirangud on tingitud kärbetest, mida nõukogu tegi komisjoni juba niigi väga väikeses mahus esitatud esialgses ettepanekus, kui lepiti kokku kehtivas mitmeaastases finantsraamistikus aastateks 2021–2027; peab kahetsusväärseks nõukogu vastuseisu komisjoni ettepanekule suurendada mitmeaastase finan</w:t>
      </w:r>
      <w:r w:rsidR="002714C6" w:rsidRPr="00D3004B">
        <w:t>tsraamistiku muutmisel rubriigi 7 ülemmäära alates 2024. </w:t>
      </w:r>
      <w:r w:rsidRPr="00D3004B">
        <w:t>aastast; juhib tähelepanu asjaolule, et mitmeaastase finantsraamistiku muutmisel jäi rubriigi 7 ülemmäära küsimus lahendamata; rõhutab, et 2025. aastaks prognoositud varu puudujääk eeldab rubriigis 7 selleks ette nähtud erivahendite kasutamist;</w:t>
      </w:r>
    </w:p>
    <w:p w:rsidR="00D51253" w:rsidRPr="00D3004B" w:rsidRDefault="00D51253" w:rsidP="00D51253">
      <w:pPr>
        <w:pStyle w:val="action0"/>
        <w:spacing w:after="200"/>
        <w:ind w:left="567" w:hanging="567"/>
      </w:pPr>
      <w:r w:rsidRPr="00D3004B">
        <w:t xml:space="preserve">2. </w:t>
      </w:r>
      <w:r w:rsidRPr="00D3004B">
        <w:tab/>
        <w:t>tuletab meelde, et peaaegu kaks kolmandikku eelarvest on kindlaks määratud õigusjärgsete kohustustega; tuletab meelde, et komisjoni praeguste prognooside kohaselt tuleb kooskõlas personalieeskirjade ja Euroopa Parlamendi liikmete põhimäärusega indekseerida töötasusid 2024. aasta juulis 5,3 %, 2025. aasta aprillis 0,6 % ja 2025. aasta juulis 3,7 % määraga; märgib, et 2024. aasta eelarve sisaldab töötasude indekseerimist alates 2024. aasta juulist 3,4 % määraga; märgib, et eelarvekomisjon jälgib ametlikke prognoositavaid arenguid seoses töötasude indekseerimisega;</w:t>
      </w:r>
    </w:p>
    <w:p w:rsidR="00D51253" w:rsidRPr="00D3004B" w:rsidRDefault="00D51253" w:rsidP="002714C6">
      <w:pPr>
        <w:pStyle w:val="action0"/>
        <w:ind w:left="567" w:hanging="567"/>
      </w:pPr>
      <w:r w:rsidRPr="00D3004B">
        <w:t>3.</w:t>
      </w:r>
      <w:r w:rsidRPr="00D3004B">
        <w:tab/>
        <w:t xml:space="preserve">kiidab heaks </w:t>
      </w:r>
      <w:r w:rsidR="002714C6" w:rsidRPr="00D3004B">
        <w:t>juhatuse ja eelarvekomisjoni 9. aprilli 2024. </w:t>
      </w:r>
      <w:r w:rsidRPr="00D3004B">
        <w:t>aasta lepitusmenetluse käigus s</w:t>
      </w:r>
      <w:r w:rsidR="002714C6" w:rsidRPr="00D3004B">
        <w:t>aavutatud kokkuleppe näha 2024. </w:t>
      </w:r>
      <w:r w:rsidRPr="00D3004B">
        <w:t>aast</w:t>
      </w:r>
      <w:r w:rsidR="002714C6" w:rsidRPr="00D3004B">
        <w:t>a eelarvega võrreldes ette 4,87 % kasv, mis vastab 2025. </w:t>
      </w:r>
      <w:r w:rsidRPr="00D3004B">
        <w:t>aasta eelarvestuse kogusummale 2 499 233 329 eurot, ning vähendada vastavalt järgmistel eelarveridadel kavandatud assigneeringuid kokku</w:t>
      </w:r>
      <w:r w:rsidR="002714C6" w:rsidRPr="00D3004B">
        <w:t xml:space="preserve"> 11 000 000 </w:t>
      </w:r>
      <w:r w:rsidRPr="00D3004B">
        <w:t xml:space="preserve">euro võrra: </w:t>
      </w:r>
    </w:p>
    <w:p w:rsidR="00D51253" w:rsidRPr="00D3004B" w:rsidRDefault="00D51253" w:rsidP="002714C6">
      <w:pPr>
        <w:pStyle w:val="action0"/>
        <w:ind w:left="567" w:firstLine="0"/>
      </w:pPr>
      <w:r w:rsidRPr="00D3004B">
        <w:t xml:space="preserve">2 0 0 0 – Üür, 2 0 0 7 – Hoonete ehitus ja ruumide sisustamine, 2 3 9 0 – EMAS ja kestlikkusega seotud tegevus, sh edendamine, ja Euroopa Parlamendi süsinikdioksiidi kompensatsiooni skeem, 3 2 4 2 – Väljaannete, teabe ja avalikel üritustel osalemise kulud, 3 2 4 3 – Euroopa Parlamendi </w:t>
      </w:r>
      <w:proofErr w:type="spellStart"/>
      <w:r w:rsidRPr="00D3004B">
        <w:t>külastajatekeskused</w:t>
      </w:r>
      <w:proofErr w:type="spellEnd"/>
      <w:r w:rsidRPr="00D3004B">
        <w:t>, 1 0 1 – Ettenägematute kulude reserv;</w:t>
      </w:r>
    </w:p>
    <w:p w:rsidR="00D51253" w:rsidRPr="00D3004B" w:rsidRDefault="00D51253" w:rsidP="002714C6">
      <w:pPr>
        <w:pStyle w:val="action0"/>
        <w:ind w:left="567" w:firstLine="0"/>
      </w:pPr>
      <w:r w:rsidRPr="00D3004B">
        <w:t>otsustab lisak</w:t>
      </w:r>
      <w:r w:rsidR="002714C6" w:rsidRPr="00D3004B">
        <w:t>s suurendada juhatuse poolt 11. märtsil </w:t>
      </w:r>
      <w:r w:rsidRPr="00D3004B">
        <w:t xml:space="preserve">2024 heaks kiidetud esialgse eelarvestuse </w:t>
      </w:r>
      <w:r w:rsidR="002714C6" w:rsidRPr="00D3004B">
        <w:t>projekti kulude taset 3 000 000 </w:t>
      </w:r>
      <w:r w:rsidRPr="00D3004B">
        <w:t>euro võrra ja vastavalt suurendada assigneeringuid järgmistel eelarveridadel:</w:t>
      </w:r>
    </w:p>
    <w:p w:rsidR="00D51253" w:rsidRPr="00D3004B" w:rsidRDefault="00D51253" w:rsidP="002714C6">
      <w:pPr>
        <w:pStyle w:val="action0"/>
        <w:ind w:left="567" w:firstLine="0"/>
      </w:pPr>
      <w:r w:rsidRPr="00D3004B">
        <w:t xml:space="preserve">3 2 4 4 — Rühmakülastuste organiseerimine ja külastusrühmade vastuvõtt, </w:t>
      </w:r>
      <w:proofErr w:type="spellStart"/>
      <w:r w:rsidRPr="00D3004B">
        <w:t>Euroscola</w:t>
      </w:r>
      <w:proofErr w:type="spellEnd"/>
      <w:r w:rsidRPr="00D3004B">
        <w:t xml:space="preserve"> programm ning arvamuskujundajate kutsumine kolmandatest riikidest; 4 0 3 — Euroopa tasandi sihtasutuste rahastamine;</w:t>
      </w:r>
    </w:p>
    <w:p w:rsidR="00D51253" w:rsidRPr="00D3004B" w:rsidRDefault="00D51253" w:rsidP="00D51253">
      <w:pPr>
        <w:pStyle w:val="action0"/>
        <w:spacing w:after="200"/>
        <w:ind w:left="567" w:hanging="567"/>
      </w:pPr>
      <w:r w:rsidRPr="00D3004B">
        <w:t>4.</w:t>
      </w:r>
      <w:r w:rsidRPr="00D3004B">
        <w:tab/>
        <w:t>märgib, et 116 miljoni euro suurusest kasvust võrreldes 2024. aasta eelarvega on 98 miljonit eurot tingitud õigusjärgsetest kohustustest, peamiselt töötajate töötasude ajakohastamisest (54,7 miljonit eurot) ja parlamendiliikmete assisteerimisega seotud kuludest (33,2 miljonit eurot); märgib, et mittekohustuslike kulude suurenemine aastatel 2024–2025 ei ületa 2 %;</w:t>
      </w:r>
    </w:p>
    <w:p w:rsidR="00D51253" w:rsidRPr="00D3004B" w:rsidRDefault="00D51253" w:rsidP="00D51253">
      <w:pPr>
        <w:pStyle w:val="action0"/>
        <w:spacing w:after="200"/>
        <w:ind w:left="567" w:hanging="567"/>
      </w:pPr>
      <w:r w:rsidRPr="00D3004B">
        <w:t xml:space="preserve">5. </w:t>
      </w:r>
      <w:r w:rsidRPr="00D3004B">
        <w:tab/>
        <w:t>märgib, et parlament ei taotle 2025. aastaks lisaametikohti;</w:t>
      </w:r>
    </w:p>
    <w:p w:rsidR="00D51253" w:rsidRPr="00D3004B" w:rsidRDefault="00D51253" w:rsidP="00D51253">
      <w:pPr>
        <w:pStyle w:val="action0"/>
        <w:spacing w:after="200"/>
        <w:ind w:left="567" w:hanging="567"/>
      </w:pPr>
      <w:r w:rsidRPr="00D3004B">
        <w:t xml:space="preserve">6. </w:t>
      </w:r>
      <w:r w:rsidRPr="00D3004B">
        <w:tab/>
        <w:t>märgib, et 2023. aasta eelar</w:t>
      </w:r>
      <w:r w:rsidR="002714C6" w:rsidRPr="00D3004B">
        <w:t>ves personalieeskirjade artikli </w:t>
      </w:r>
      <w:r w:rsidRPr="00D3004B">
        <w:t>29 lõik</w:t>
      </w:r>
      <w:r w:rsidR="002714C6" w:rsidRPr="00D3004B">
        <w:t>e </w:t>
      </w:r>
      <w:r w:rsidRPr="00D3004B">
        <w:t>4 kohal</w:t>
      </w:r>
      <w:r w:rsidR="002714C6" w:rsidRPr="00D3004B">
        <w:t>damise hõlbustamiseks loodud 98 </w:t>
      </w:r>
      <w:r w:rsidRPr="00D3004B">
        <w:t>alalist ametikohta on 2025. aasta ametikohtade loetelust välja jäetud;</w:t>
      </w:r>
    </w:p>
    <w:p w:rsidR="00D51253" w:rsidRPr="00D3004B" w:rsidRDefault="00D51253" w:rsidP="002714C6">
      <w:pPr>
        <w:pStyle w:val="Action"/>
        <w:keepNext/>
        <w:spacing w:after="200"/>
        <w:outlineLvl w:val="0"/>
        <w:rPr>
          <w:b/>
          <w:i/>
          <w:szCs w:val="24"/>
        </w:rPr>
      </w:pPr>
      <w:r w:rsidRPr="00D3004B">
        <w:rPr>
          <w:b/>
          <w:i/>
        </w:rPr>
        <w:t>Külastusrühmad ja Euroopa Elamuskeskused</w:t>
      </w:r>
    </w:p>
    <w:p w:rsidR="00D51253" w:rsidRPr="00D3004B" w:rsidRDefault="00D51253" w:rsidP="00D51253">
      <w:pPr>
        <w:pStyle w:val="action0"/>
        <w:spacing w:after="200"/>
        <w:ind w:left="567" w:hanging="567"/>
      </w:pPr>
      <w:r w:rsidRPr="00D3004B">
        <w:t>7.</w:t>
      </w:r>
      <w:r w:rsidRPr="00D3004B">
        <w:tab/>
        <w:t>tuletab meelde, et külastusrühmade kutsumine Euroopa Parlamendi kõigis kolmes töökohas on parlamendiliikmete jaoks oluline viis valijatega suhtlemiseks ja neile oma parlamentaarse töö tutvustamiseks; rõhutab, et külastusrühmad aitavad kogu liidust pärit valijatel pöörata suuremat tähelepanu parlamendi rollile;</w:t>
      </w:r>
    </w:p>
    <w:p w:rsidR="00D51253" w:rsidRPr="00D3004B" w:rsidRDefault="00D51253" w:rsidP="00D51253">
      <w:pPr>
        <w:pStyle w:val="action0"/>
        <w:spacing w:after="200"/>
        <w:ind w:left="567" w:hanging="567"/>
      </w:pPr>
      <w:r w:rsidRPr="00D3004B">
        <w:t>8.</w:t>
      </w:r>
      <w:r w:rsidRPr="00D3004B">
        <w:tab/>
        <w:t xml:space="preserve">märgib murega, et selliste külastuste korraldamine muutub olemasoleva eelarve rahaliste piirangute tõttu järjest raskemaks, eelkõige Brüsselist ja Strasbourgist geograafiliselt kaugel asuvatest liikmesriikidest pärit parlamendiliikmete jaoks; nõuab piisavat rahastamist sõidu- ja majutuskulude katmiseks, võttes arvesse inflatsioonimäärasid ja hindu nii külastusrühmade päritoluriikides kui ka Brüsselis ja Strasbourgis; on veendunud, et valitsevale olukorrale reageerimiseks on vaja eraldatud vahendeid suurendada 10 % inimese kohta; palub peasekretäril teha kvestoritele võimalikult kiiresti ettepanek suurendada kaetavate kulude ülemmäärasid, et jätkata ja suurendada parlamendiliikmete toetust, mis võimaldab külastusrühmadel parlamenti külastada; </w:t>
      </w:r>
    </w:p>
    <w:p w:rsidR="00D51253" w:rsidRPr="00D3004B" w:rsidRDefault="00D51253" w:rsidP="00D51253">
      <w:pPr>
        <w:pStyle w:val="action0"/>
        <w:spacing w:after="200"/>
        <w:ind w:left="567" w:hanging="567"/>
      </w:pPr>
      <w:r w:rsidRPr="00D3004B">
        <w:t>9.</w:t>
      </w:r>
      <w:r w:rsidRPr="00D3004B">
        <w:tab/>
        <w:t>võtab murega teadmiseks parlamendiliikmete mille kohaselt tuleb teatavatel asjaoludel 30 % esialgsetest kuludest kanda parlamendiliikmete registreeritud assistentidel; rõhutab, et need eeskirjad ei ole praktiliselt teostatavad ja et see tekitab registreeritud assistentidele rahalist koormust; kutsub juhatust üles k</w:t>
      </w:r>
      <w:r w:rsidR="002714C6" w:rsidRPr="00D3004B">
        <w:t xml:space="preserve">ülastusrühmi reguleerivaid </w:t>
      </w:r>
      <w:proofErr w:type="spellStart"/>
      <w:r w:rsidR="002714C6" w:rsidRPr="00D3004B">
        <w:t>sise</w:t>
      </w:r>
      <w:proofErr w:type="spellEnd"/>
      <w:r w:rsidR="002714C6" w:rsidRPr="00D3004B">
        <w:noBreakHyphen/>
      </w:r>
      <w:r w:rsidRPr="00D3004B">
        <w:t>eeskirju läbi vaatama läbi ja ajakohastama, et ületada probleemid külastuste kavandamisel ja korraldamisel;</w:t>
      </w:r>
    </w:p>
    <w:p w:rsidR="00D51253" w:rsidRPr="00D3004B" w:rsidRDefault="00D51253" w:rsidP="00D51253">
      <w:pPr>
        <w:pStyle w:val="NormalHanging12a"/>
        <w:spacing w:after="200"/>
        <w:rPr>
          <w:szCs w:val="24"/>
        </w:rPr>
      </w:pPr>
      <w:r w:rsidRPr="00D3004B">
        <w:t>10.</w:t>
      </w:r>
      <w:r w:rsidRPr="00D3004B">
        <w:tab/>
        <w:t xml:space="preserve">tuletab meelde juhatuse 25. novembri 2019. aasta otsust luua 2024. aasta lõpuks Euroopa Elamuskeskused kõigis liikmesriikides; peab kahetsusväärseks, et 2024. aasta Euroopa Parlamendi valimiste eel esineb kõigis liikmesriikides Euroopa Elamuskeskuste loomisel viivitusi, ja märgib, </w:t>
      </w:r>
      <w:r w:rsidR="002714C6" w:rsidRPr="00D3004B">
        <w:t>et praegu tegutseb neist ainult </w:t>
      </w:r>
      <w:r w:rsidRPr="00D3004B">
        <w:t>12; tunnistab, et nendele viivitustele on kaasa aidanud mitmed välised tegurid, sealhulgas kinnisvaraturgude volatiilsus;</w:t>
      </w:r>
    </w:p>
    <w:p w:rsidR="00D51253" w:rsidRPr="00D3004B" w:rsidRDefault="00D51253" w:rsidP="00D51253">
      <w:pPr>
        <w:pStyle w:val="action0"/>
        <w:spacing w:after="200"/>
        <w:ind w:left="567" w:hanging="567"/>
      </w:pPr>
      <w:r w:rsidRPr="00D3004B">
        <w:t>11.</w:t>
      </w:r>
      <w:r w:rsidRPr="00D3004B">
        <w:tab/>
        <w:t>võtab teadmiseks, et 2025. aastal on kavas avada viis keskust (Ateenas, Zagrebis, Haagis, Sofias ja Budapestis); nõuab, et Euroopa Elamuskeskused loodaks kõigis liikmesriikides võimalikult kiiresti; tuletab meelde, et Euroopa Elamuskeskuste abil peaksid kõik kodanikud saama liidu institutsioonide tööst parema ülevaate;</w:t>
      </w:r>
    </w:p>
    <w:p w:rsidR="00D51253" w:rsidRPr="00D3004B" w:rsidRDefault="00D51253" w:rsidP="00D51253">
      <w:pPr>
        <w:pStyle w:val="Action"/>
        <w:keepNext/>
        <w:spacing w:after="200"/>
        <w:outlineLvl w:val="0"/>
        <w:rPr>
          <w:b/>
          <w:bCs/>
          <w:i/>
          <w:szCs w:val="24"/>
        </w:rPr>
      </w:pPr>
      <w:r w:rsidRPr="00D3004B">
        <w:rPr>
          <w:b/>
          <w:i/>
        </w:rPr>
        <w:t>Taristu</w:t>
      </w:r>
    </w:p>
    <w:p w:rsidR="00D51253" w:rsidRPr="00D3004B" w:rsidRDefault="00D51253" w:rsidP="002714C6">
      <w:pPr>
        <w:pStyle w:val="action0"/>
        <w:ind w:left="567" w:hanging="567"/>
      </w:pPr>
      <w:r w:rsidRPr="00D3004B">
        <w:t xml:space="preserve">12. </w:t>
      </w:r>
      <w:r w:rsidRPr="00D3004B">
        <w:tab/>
        <w:t xml:space="preserve">võtab teadmiseks, et eelarvekomisjon kiitis heaks juhatuse otsuse viia läbi </w:t>
      </w:r>
      <w:proofErr w:type="spellStart"/>
      <w:r w:rsidRPr="00D3004B">
        <w:t>SPAAKi</w:t>
      </w:r>
      <w:proofErr w:type="spellEnd"/>
      <w:r w:rsidRPr="00D3004B">
        <w:t xml:space="preserve"> hoone põhjalik renoveerimine kooskõlas oma 19. oktoobri 2022. aasta resolutsiooniga, mis käsitleb nõukogu</w:t>
      </w:r>
      <w:r w:rsidR="002714C6" w:rsidRPr="00D3004B">
        <w:t xml:space="preserve"> seisukohta Euroopa Liidu 2023. </w:t>
      </w:r>
      <w:r w:rsidRPr="00D3004B">
        <w:t xml:space="preserve">aasta </w:t>
      </w:r>
      <w:proofErr w:type="spellStart"/>
      <w:r w:rsidRPr="00D3004B">
        <w:t>üldeelarve</w:t>
      </w:r>
      <w:proofErr w:type="spellEnd"/>
      <w:r w:rsidRPr="00D3004B">
        <w:t xml:space="preserve"> projekti kohta</w:t>
      </w:r>
      <w:r w:rsidRPr="00D3004B">
        <w:rPr>
          <w:rStyle w:val="FootnoteReference"/>
        </w:rPr>
        <w:footnoteReference w:id="14"/>
      </w:r>
      <w:r w:rsidRPr="00D3004B">
        <w:t>; rõhutab, et hoone praegune energiatõhususe tase on väga madal ja sellel puudub otstarbekohasuseks väga vajalik paindlikkus; rõhutab, et Euroopa Parlament peaks oma kinnisvaraportfelli haldama energiatõhususe ja kestlikkuse vaimus, et kindlustada vastavus rohelise kokkuleppega; märgib, et renoveerimine toob kaasa märkimisväärse kulude ja CO</w:t>
      </w:r>
      <w:r w:rsidRPr="00D3004B">
        <w:rPr>
          <w:vertAlign w:val="subscript"/>
        </w:rPr>
        <w:t>2</w:t>
      </w:r>
      <w:r w:rsidRPr="00D3004B">
        <w:t xml:space="preserve"> heite kokkuhoiu aastas ning aitab täita läbivaadatud Euroopa energiatõhususe direktiivi ja hoonete energiatõhususe direktiivi nõudeid; tuletab juhatusele meelde, et läbipaistvus, nõuetekohane teavitamine ja konsulteerimine eelarvekomisjoniga, sealhulgas juurdepääs põhjalikele üksikasjadele, enne hoonetega seotud küsimusi ja nende rahastamist käsitlevate oluliste otsuste vastuvõtmist on vajalik nende olulise mõju tõttu eelarvele;</w:t>
      </w:r>
    </w:p>
    <w:p w:rsidR="00D51253" w:rsidRPr="00D3004B" w:rsidRDefault="00D51253" w:rsidP="00D51253">
      <w:pPr>
        <w:pStyle w:val="action0"/>
        <w:spacing w:after="200"/>
        <w:ind w:left="567" w:hanging="567"/>
      </w:pPr>
      <w:r w:rsidRPr="00D3004B">
        <w:t>13.</w:t>
      </w:r>
      <w:r w:rsidRPr="00D3004B">
        <w:tab/>
        <w:t>tunnistab vajadu</w:t>
      </w:r>
      <w:r w:rsidR="002714C6" w:rsidRPr="00D3004B">
        <w:t>st alustada 2025. aastal TREVES </w:t>
      </w:r>
      <w:r w:rsidRPr="00D3004B">
        <w:t xml:space="preserve">II hoone renoveerimistöid, et hõlbustada </w:t>
      </w:r>
      <w:proofErr w:type="spellStart"/>
      <w:r w:rsidRPr="00D3004B">
        <w:t>SPAAKi</w:t>
      </w:r>
      <w:proofErr w:type="spellEnd"/>
      <w:r w:rsidRPr="00D3004B">
        <w:t xml:space="preserve"> hoone renoveerimise käigus ümberpaigutatavate töötajate ajutist vastuvõttu; </w:t>
      </w:r>
    </w:p>
    <w:p w:rsidR="00D51253" w:rsidRPr="00D3004B" w:rsidRDefault="00D51253" w:rsidP="00D51253">
      <w:pPr>
        <w:pStyle w:val="NormalHanging12a"/>
        <w:rPr>
          <w:szCs w:val="24"/>
        </w:rPr>
      </w:pPr>
      <w:r w:rsidRPr="00D3004B">
        <w:t>14.</w:t>
      </w:r>
      <w:r w:rsidRPr="00D3004B">
        <w:tab/>
        <w:t xml:space="preserve">väljendab heameelt Euroopa Parlamendi poliitika üle, mille eesmärk on tagada Euroopa Parlamendi hoonete täiesti sõltumatu kasutamine </w:t>
      </w:r>
      <w:r w:rsidR="002714C6" w:rsidRPr="00D3004B">
        <w:t xml:space="preserve">puuetega </w:t>
      </w:r>
      <w:r w:rsidRPr="00D3004B">
        <w:t>inimeste poolt, ning toetab sellega seoses vajalikke lisameetmeid ja -kohandusi; tunnistab vajadust parandada puuetega inimeste juurdepääsu Strasbourgi täiskogu istungisaalile;</w:t>
      </w:r>
    </w:p>
    <w:p w:rsidR="00D51253" w:rsidRPr="00D3004B" w:rsidRDefault="00D51253" w:rsidP="00D51253">
      <w:pPr>
        <w:pStyle w:val="action0"/>
        <w:spacing w:after="200"/>
        <w:ind w:left="567" w:hanging="567"/>
      </w:pPr>
      <w:r w:rsidRPr="00D3004B">
        <w:t>15.</w:t>
      </w:r>
      <w:r w:rsidRPr="00D3004B">
        <w:tab/>
        <w:t xml:space="preserve">tuletab meelde, et parlamendi administratsioon töötab praegu parlamendi pikaajalise kinnisvarapoliitika kindlaksmääramiseks välja terviklikku käsitlusviisi, mille puhul võetakse eelkõige arvesse keskkonnakohustusi, kulusid ja eelarvepiiranguid, energiatõhusust ja jäätmekäitlust kooskõlas paketiga „Eesmärk 55“, ning loodab, et tulemused avalikustatakse; nõuab, et analüüsitaks põhjalikult pandeemia tagajärjel tekkinud paindlikke tööviise, tunnistades samas, et poliitilistel läbirääkimistel, aruteludel või arvamuste vahetamisel on füüsiline kohalolek avaliku poliitika kujundamise seisukohast endiselt tõhusam; </w:t>
      </w:r>
    </w:p>
    <w:p w:rsidR="00D51253" w:rsidRPr="00D3004B" w:rsidRDefault="00D51253" w:rsidP="00D51253">
      <w:pPr>
        <w:pStyle w:val="action0"/>
        <w:spacing w:after="200"/>
        <w:ind w:left="567" w:hanging="567"/>
      </w:pPr>
      <w:r w:rsidRPr="00D3004B">
        <w:t xml:space="preserve">16. </w:t>
      </w:r>
      <w:r w:rsidRPr="00D3004B">
        <w:tab/>
        <w:t>võtab teadmiseks, et kasutatav praktika on paigutada eelarveaasta lõpus assigneeringujäägid ümber kinnisvaraprojektidesse; võtab teadmiseks, et selline koondümberpaigutamine toimub alati samades peatükkides ja jaotistes ja sageli täpselt samadel eelarveridadel; märgib, et selline ümberpaigutamine võib teenida ka muid eesmärke kui kinnisvaraga seotud projektide rahastamine;</w:t>
      </w:r>
    </w:p>
    <w:p w:rsidR="00D51253" w:rsidRPr="00D3004B" w:rsidRDefault="00D51253" w:rsidP="00D51253">
      <w:pPr>
        <w:pStyle w:val="action0"/>
        <w:spacing w:after="200"/>
        <w:ind w:left="567" w:hanging="567"/>
      </w:pPr>
      <w:r w:rsidRPr="00D3004B">
        <w:t>17.</w:t>
      </w:r>
      <w:r w:rsidRPr="00D3004B">
        <w:tab/>
        <w:t xml:space="preserve">väljendab heameelt, et parlament jätkab jõupingutusi ja võtab meetmeid oma keskkonnajalajälje vähendamiseks; kordab, et toetab parlamendi keskkonnajuhtimis- ja </w:t>
      </w:r>
      <w:proofErr w:type="spellStart"/>
      <w:r w:rsidRPr="00D3004B">
        <w:t>keskkonnaauditeerimissüsteemi</w:t>
      </w:r>
      <w:proofErr w:type="spellEnd"/>
      <w:r w:rsidRPr="00D3004B">
        <w:t xml:space="preserve"> (EMAS) 2024. aasta eesmärke täielikult; loodab, et </w:t>
      </w:r>
      <w:r w:rsidR="002714C6" w:rsidRPr="00D3004B">
        <w:t>parlament saavutab 2024. </w:t>
      </w:r>
      <w:r w:rsidRPr="00D3004B">
        <w:t xml:space="preserve">aasta lõpuks kõik </w:t>
      </w:r>
      <w:proofErr w:type="spellStart"/>
      <w:r w:rsidRPr="00D3004B">
        <w:t>EMASi</w:t>
      </w:r>
      <w:proofErr w:type="spellEnd"/>
      <w:r w:rsidRPr="00D3004B">
        <w:t xml:space="preserve"> peamiste tulemusnäitajate eesmärgid ja võtab lähiaastatel vastu uued ambitsioonikad eesmärgid; võtab sellega seoses eelkõige teadmiseks mitu saavutust, sealhulgas CO</w:t>
      </w:r>
      <w:r w:rsidRPr="00D3004B">
        <w:rPr>
          <w:vertAlign w:val="subscript"/>
        </w:rPr>
        <w:t>2</w:t>
      </w:r>
      <w:r w:rsidRPr="00D3004B">
        <w:t xml:space="preserve"> heit</w:t>
      </w:r>
      <w:r w:rsidR="002714C6" w:rsidRPr="00D3004B">
        <w:t>e 44 % vähendamine alates 2006. </w:t>
      </w:r>
      <w:r w:rsidRPr="00D3004B">
        <w:t xml:space="preserve">aastast, paberikasutuse </w:t>
      </w:r>
      <w:r w:rsidR="002714C6" w:rsidRPr="00D3004B">
        <w:t>66 % vähenemine võrreldes 2014. </w:t>
      </w:r>
      <w:r w:rsidRPr="00D3004B">
        <w:t xml:space="preserve">aastaga, töötajate jalgsi või jalgrattaga töölkäimise kõrge määr, plasti kasutamise märkimisväärne vähenemine ja taastuvenergia taristu edukas </w:t>
      </w:r>
      <w:r w:rsidR="002714C6" w:rsidRPr="00D3004B">
        <w:t>kasutuselevõtt, mis andis 2023. </w:t>
      </w:r>
      <w:r w:rsidRPr="00D3004B">
        <w:t>aastal tulemuseks 458 MWh päikeseenergia tootmise parlamendi poolt;</w:t>
      </w:r>
    </w:p>
    <w:p w:rsidR="00D51253" w:rsidRPr="00D3004B" w:rsidRDefault="00D51253" w:rsidP="00D51253">
      <w:pPr>
        <w:pStyle w:val="action0"/>
        <w:spacing w:after="200"/>
        <w:ind w:left="567" w:hanging="567"/>
      </w:pPr>
      <w:r w:rsidRPr="00D3004B">
        <w:t>18.</w:t>
      </w:r>
      <w:r w:rsidRPr="00D3004B">
        <w:tab/>
        <w:t>võtab teadmiseks, et CO</w:t>
      </w:r>
      <w:r w:rsidRPr="00D3004B">
        <w:rPr>
          <w:vertAlign w:val="subscript"/>
        </w:rPr>
        <w:t>2</w:t>
      </w:r>
      <w:r w:rsidRPr="00D3004B">
        <w:t xml:space="preserve"> arvestusühiku hinnad on tõusnud; tuletab meelde, et investeeringud energiatõhususse on sobiv meetod hea hinna ja kvaliteedi suhte saavutamiseks; väljendab heameelt investeeringute üle taastuvenergiasse ja fossiilkütuste järkjärgulisse kaotamisse, võttes eelkõige arvesse energiakriisi ja geopoliitilist konteksti, ning julgustab neid investeeringuid kajastama järgmises mitmeaastases kinnisvarastrateegias; märgib, et parlament on paigaldanud ja paigaldab ka edaspidi fotoelektrilisi päikesepaneele, et kohapeal toodetava taastuvenergia osakaal oleks veel suurem ja et jõuda 25</w:t>
      </w:r>
      <w:r w:rsidR="002714C6" w:rsidRPr="00D3004B">
        <w:t> </w:t>
      </w:r>
      <w:r w:rsidRPr="00D3004B">
        <w:t>% sihtmäärani; tuletab meelde, et ligi kaks kolmandikku parlamendi süsinikujalajäljest tuleneb inimeste transpordist; väljendab heameelt parlamendi jõupingutuste üle vähendada süsinikdioksiidi heitkoguseid tšarterrongide abil ning nõuab, et suurendataks võimalusi minna kolme töökoha vahelisel transpordil üle rongiliiklusele;</w:t>
      </w:r>
    </w:p>
    <w:p w:rsidR="00D51253" w:rsidRPr="00D3004B" w:rsidRDefault="00D51253" w:rsidP="00D51253">
      <w:pPr>
        <w:pStyle w:val="Action"/>
        <w:keepNext/>
        <w:spacing w:after="200"/>
        <w:outlineLvl w:val="0"/>
        <w:rPr>
          <w:b/>
          <w:i/>
          <w:szCs w:val="24"/>
        </w:rPr>
      </w:pPr>
      <w:r w:rsidRPr="00D3004B">
        <w:rPr>
          <w:b/>
          <w:i/>
        </w:rPr>
        <w:t>Muud küsimused</w:t>
      </w:r>
    </w:p>
    <w:p w:rsidR="00D51253" w:rsidRPr="00D3004B" w:rsidRDefault="00D51253" w:rsidP="00D51253">
      <w:pPr>
        <w:pStyle w:val="action0"/>
        <w:spacing w:after="200"/>
        <w:ind w:left="567" w:hanging="567"/>
      </w:pPr>
      <w:r w:rsidRPr="00D3004B">
        <w:t>19.</w:t>
      </w:r>
      <w:r w:rsidRPr="00D3004B">
        <w:tab/>
        <w:t xml:space="preserve">tuletab meelde jätkuvat võitlust, millesse </w:t>
      </w:r>
      <w:r w:rsidR="002714C6" w:rsidRPr="00D3004B">
        <w:t>l</w:t>
      </w:r>
      <w:r w:rsidRPr="00D3004B">
        <w:t xml:space="preserve">iit on kaasatud seoses Euroopa väärtuste kaitsmise ja demokraatlike protsesside terviklikkuse kindlustamisega; väljendab heameelt parlamendi poolt nende eesmärkide saavutamiseks võetud meetmete üle, võideldes desinformatsiooni ja infoga manipuleerimise vastu; kutsub kommunikatsiooni peadirektoraati ja Euroopa Parlamendi büroosid üles jätkama </w:t>
      </w:r>
      <w:r w:rsidR="00C71A7B" w:rsidRPr="00D3004B">
        <w:t>tulemuslike</w:t>
      </w:r>
      <w:r w:rsidRPr="00D3004B">
        <w:t xml:space="preserve"> strateegiate väljatöötamist ja rakendamist desinformatsiooni ja teabega manipuleerimise vastu võitlemiseks; rõhutab, et üks võimsamaid relvi desinformatsiooni vastu on positiivne ja faktipõhine teavitamine parlamendi tegevusest;</w:t>
      </w:r>
    </w:p>
    <w:p w:rsidR="00D51253" w:rsidRPr="00D3004B" w:rsidRDefault="00D51253" w:rsidP="00D51253">
      <w:pPr>
        <w:pStyle w:val="action0"/>
        <w:spacing w:after="200"/>
        <w:ind w:left="567" w:hanging="567"/>
        <w:rPr>
          <w:rFonts w:eastAsia="Times New Roman"/>
        </w:rPr>
      </w:pPr>
      <w:r w:rsidRPr="00D3004B">
        <w:t>20.</w:t>
      </w:r>
      <w:r w:rsidRPr="00D3004B">
        <w:tab/>
        <w:t xml:space="preserve">tuletab meelde, et Euroopa Parlament toetab jõuliselt </w:t>
      </w:r>
      <w:proofErr w:type="spellStart"/>
      <w:r w:rsidRPr="00D3004B">
        <w:t>mitmekeelsust</w:t>
      </w:r>
      <w:proofErr w:type="spellEnd"/>
      <w:r w:rsidRPr="00D3004B">
        <w:t xml:space="preserve"> ning edendab rahvus-, piirkondlike ja keeleliste vähemuste õigusi; on seisukohal, et Euroopa Parlament saab aktiivselt aidata kaasa desinformatsiooni vastu võitlemisele, andes vajaduse korral põhjalikumat teavet ka keeleliste vähemuste ja kogukondade keeltes; nõuab, et juhatus laiendaks selliste Euroopa Parlamendi teabematerjalide tootmise ja levitamise ulatust, mis on kooskõlas liikmesriikide rahvus-, piirkondlike ja keelevähemuste vajadustega, näiteks Euroopa Parlamendi büroodes ja Euroopa Elamuskeskustes, et võidelda mis tahes katsete vastu tugineda ühtekuuluvuse takistamiseks keelelistele erinevustele; tuletab sellega seoses meelde jõupingutusi, mida on teinud Euroopa Parlamendi bürood Balti riikides, et pakkuda alates Venemaa agressioonisõja algusest Ukrainas ka ukraina- ja venekeelset teavet, pöörates erilist tähelepanu Venemaa desinformatsiooni ja propaganda vastu võitlemisele, ning julgustab jätkama sellise tegevuse toetamist ja edendamist ukraina ja vene keeles; rõhutab, kui oluline on Euroopa Parlamendi büroode aktiivne osalemine Euroopa Parlamendi kodanikuhariduse alases tegevuses mitmete programmide kaudu, mis hõlmavad kohalikke kogukondi, koole ja ülikoole;</w:t>
      </w:r>
    </w:p>
    <w:p w:rsidR="00D51253" w:rsidRPr="00D3004B" w:rsidRDefault="00D51253" w:rsidP="00D51253">
      <w:pPr>
        <w:pStyle w:val="action0"/>
        <w:spacing w:after="200"/>
        <w:ind w:left="567" w:hanging="567"/>
      </w:pPr>
      <w:r w:rsidRPr="00D3004B">
        <w:t>21.</w:t>
      </w:r>
      <w:r w:rsidRPr="00D3004B">
        <w:tab/>
        <w:t xml:space="preserve">rõhutab tehisintellekti potentsiaali parlamendiliikmete toetamisel nende mandaadi täitmiseks ja parlamendi administratsiooni mitmesugustes tegevustes; väljendab heameelt selle üle, et tehisintellekti käsitlevad projektid on 2025. aastaks juba ettevalmistamisel; </w:t>
      </w:r>
    </w:p>
    <w:p w:rsidR="00D51253" w:rsidRPr="00D3004B" w:rsidRDefault="00D51253" w:rsidP="00D51253">
      <w:pPr>
        <w:pStyle w:val="action0"/>
        <w:spacing w:after="200"/>
        <w:ind w:left="567" w:hanging="567"/>
      </w:pPr>
      <w:r w:rsidRPr="00D3004B">
        <w:t>22.</w:t>
      </w:r>
      <w:r w:rsidRPr="00D3004B">
        <w:tab/>
        <w:t xml:space="preserve">toetab peasekretäri eelarvekomisjonis tehtud avaldust vähendada parlamendiliikmete ja nende büroode halduskoormust ja bürokraatiat, kiirendades samal ajal protsesside digitaliseerimist administratsioonis; rõhutab, et investeeringud digitaliseerimisse on </w:t>
      </w:r>
      <w:proofErr w:type="spellStart"/>
      <w:r w:rsidRPr="00D3004B">
        <w:t>keskpikas</w:t>
      </w:r>
      <w:proofErr w:type="spellEnd"/>
      <w:r w:rsidRPr="00D3004B">
        <w:t xml:space="preserve"> perspektiivis tootlikud ja neid ei tohiks lühiajalise kulude kokkuhoiu tõttu edasi lükata;</w:t>
      </w:r>
    </w:p>
    <w:p w:rsidR="00D51253" w:rsidRPr="00D3004B" w:rsidRDefault="00D51253" w:rsidP="002714C6">
      <w:pPr>
        <w:pStyle w:val="action0"/>
        <w:ind w:left="567" w:hanging="567"/>
      </w:pPr>
      <w:r w:rsidRPr="00D3004B">
        <w:t>23.</w:t>
      </w:r>
      <w:r w:rsidRPr="00D3004B">
        <w:tab/>
        <w:t xml:space="preserve">kutsub parlamenti üles jätkama oma personalivajaduste korrapärast hindamist, et optimeerida töötajate jagunemist parlamendi peasekretariaadis, eelkõige jaotades vabad ametikohad teenistuste vahel ümber, et säilitada nii palju kui võimalik püsivat töötajate arvu; palub peasekretäril hinnata riske, mis on seotud üha arvukamate lepinguliste töötajate töölevõtmisega, sealhulgas ohtu, et Euroopa Parlamendis tekib </w:t>
      </w:r>
      <w:proofErr w:type="spellStart"/>
      <w:r w:rsidRPr="00D3004B">
        <w:t>kahetasandiline</w:t>
      </w:r>
      <w:proofErr w:type="spellEnd"/>
      <w:r w:rsidRPr="00D3004B">
        <w:t xml:space="preserve"> personalistruktuur; nõuab kindlalt, et põhilisi alalisi ametikohti ja ülesandeid täidaksid alalised töötajad;</w:t>
      </w:r>
    </w:p>
    <w:p w:rsidR="00D51253" w:rsidRPr="00D3004B" w:rsidRDefault="00D51253" w:rsidP="00D51253">
      <w:pPr>
        <w:pStyle w:val="action0"/>
        <w:spacing w:after="200"/>
        <w:ind w:left="567" w:hanging="567"/>
      </w:pPr>
      <w:r w:rsidRPr="00D3004B">
        <w:t>24.</w:t>
      </w:r>
      <w:r w:rsidRPr="00D3004B">
        <w:tab/>
        <w:t xml:space="preserve">rõhutab, et õiglase geograafilise tasakaalu tagamine on tõelise Euroopa avaliku teenuse loomise oluline osa; märgib, et Euroopa Parlament on aastate jooksul võtnud sellega seoses mitmeid meetmeid; märgib, et samas on veel parandamist vajavaid valdkondi; märgib, et juhatus on loonud õigusliku raamistiku kodakondsuspõhiste konkursside korraldamiseks ja otsustanud korraldada esimese sellise konkursi; rõhutab, et konkursid peaksid alati olema </w:t>
      </w:r>
      <w:proofErr w:type="spellStart"/>
      <w:r w:rsidRPr="00D3004B">
        <w:t>oskustepõhised</w:t>
      </w:r>
      <w:proofErr w:type="spellEnd"/>
      <w:r w:rsidRPr="00D3004B">
        <w:t>;</w:t>
      </w:r>
    </w:p>
    <w:p w:rsidR="00D51253" w:rsidRPr="00D3004B" w:rsidRDefault="00D51253" w:rsidP="002714C6">
      <w:pPr>
        <w:pStyle w:val="action0"/>
        <w:ind w:left="567" w:hanging="567"/>
      </w:pPr>
      <w:r w:rsidRPr="00D3004B">
        <w:t>25.</w:t>
      </w:r>
      <w:r w:rsidRPr="00D3004B">
        <w:tab/>
        <w:t>võtab teadmiseks olemasoleva menetluse, mis on kehtestatud tõlgete taotlemiseks rahvusvahelisse viipekeelde mõnel parlamendi organi koosolekul; palub peasekretäril jätkata muude võimaluste, näiteks kõnetuvastuse ja masintõlke vahendite uurimist, pidades silmas võrdse juurdepääsu põhimõtet kõigile kodanikele;</w:t>
      </w:r>
    </w:p>
    <w:p w:rsidR="00D51253" w:rsidRPr="00D3004B" w:rsidRDefault="00D51253" w:rsidP="00D51253">
      <w:pPr>
        <w:pStyle w:val="NormalHanging12a"/>
        <w:rPr>
          <w:szCs w:val="24"/>
        </w:rPr>
      </w:pPr>
      <w:r w:rsidRPr="00D3004B">
        <w:t>26.</w:t>
      </w:r>
      <w:r w:rsidRPr="00D3004B">
        <w:tab/>
        <w:t xml:space="preserve">kordab oma mitmel korral täiskogu tasandil vastu võetud nõudmist, et juhatus alustaks tööd kodukorra läbivaatamiseks, et võimaldada parlamendiliikmetel kasutada oma õigust hääletada </w:t>
      </w:r>
      <w:proofErr w:type="spellStart"/>
      <w:r w:rsidRPr="00D3004B">
        <w:t>kaughääletamise</w:t>
      </w:r>
      <w:proofErr w:type="spellEnd"/>
      <w:r w:rsidRPr="00D3004B">
        <w:t xml:space="preserve"> teel rasedus- ja sünnituspuhkuse või isapuhkuse ajal, pikaajalise haiguse või vääramatu jõu korral, kasutades ära pandeemia ajal selle hääletusmeetodi tehniliste aspektide kohta saadud kogemusi;</w:t>
      </w:r>
    </w:p>
    <w:p w:rsidR="00D51253" w:rsidRPr="00D3004B" w:rsidRDefault="00D51253" w:rsidP="00D51253">
      <w:pPr>
        <w:pStyle w:val="NormalHanging12a"/>
      </w:pPr>
      <w:r w:rsidRPr="00D3004B">
        <w:t>27.</w:t>
      </w:r>
      <w:r w:rsidRPr="00D3004B">
        <w:tab/>
        <w:t xml:space="preserve">kordab oma üleskutset juhatusele tagada, et kõik parlamendi restoranid järgiksid oma kvaliteedi, tõhususe ja taskukohasuse standardeid, ning </w:t>
      </w:r>
      <w:proofErr w:type="spellStart"/>
      <w:r w:rsidRPr="00D3004B">
        <w:t>taaskehtestada</w:t>
      </w:r>
      <w:proofErr w:type="spellEnd"/>
      <w:r w:rsidRPr="00D3004B">
        <w:t xml:space="preserve"> sissepääsukontroll parlamendi iseteenindusrestoranides tipptundide ajal; väljendab heameelt sissepääsukontrolli rakendamise üle </w:t>
      </w:r>
      <w:proofErr w:type="spellStart"/>
      <w:r w:rsidRPr="00D3004B">
        <w:t>WEISSi</w:t>
      </w:r>
      <w:proofErr w:type="spellEnd"/>
      <w:r w:rsidRPr="00D3004B">
        <w:t xml:space="preserve"> hoone iseteenindusrestoranis Strasbourgis osaistungjärkude ajal;</w:t>
      </w:r>
    </w:p>
    <w:p w:rsidR="006E6DA3" w:rsidRPr="00D3004B" w:rsidRDefault="006E6DA3" w:rsidP="00D51253">
      <w:pPr>
        <w:pStyle w:val="NormalHanging12a"/>
        <w:rPr>
          <w:szCs w:val="24"/>
        </w:rPr>
      </w:pPr>
      <w:r w:rsidRPr="00D3004B">
        <w:t>28.</w:t>
      </w:r>
      <w:r w:rsidRPr="00D3004B">
        <w:tab/>
        <w:t xml:space="preserve">nõuab tõelist pühendumist </w:t>
      </w:r>
      <w:proofErr w:type="spellStart"/>
      <w:r w:rsidRPr="00D3004B">
        <w:t>mitmekeelsuse</w:t>
      </w:r>
      <w:proofErr w:type="spellEnd"/>
      <w:r w:rsidRPr="00D3004B">
        <w:t xml:space="preserve"> põhimõtte saavutamisele;</w:t>
      </w:r>
    </w:p>
    <w:p w:rsidR="00D51253" w:rsidRPr="00D3004B" w:rsidRDefault="006E6DA3" w:rsidP="00D51253">
      <w:pPr>
        <w:pStyle w:val="action0"/>
        <w:spacing w:after="200"/>
        <w:ind w:left="567" w:hanging="567"/>
      </w:pPr>
      <w:r w:rsidRPr="00D3004B">
        <w:rPr>
          <w:rStyle w:val="doceo-font-family-base"/>
          <w:shd w:val="clear" w:color="auto" w:fill="FFFFFF"/>
        </w:rPr>
        <w:t>29</w:t>
      </w:r>
      <w:r w:rsidR="00D51253" w:rsidRPr="00D3004B">
        <w:rPr>
          <w:rStyle w:val="doceo-font-family-base"/>
          <w:shd w:val="clear" w:color="auto" w:fill="FFFFFF"/>
        </w:rPr>
        <w:t>.</w:t>
      </w:r>
      <w:r w:rsidR="00D51253" w:rsidRPr="00D3004B">
        <w:rPr>
          <w:rStyle w:val="doceo-font-family-base"/>
          <w:shd w:val="clear" w:color="auto" w:fill="FFFFFF"/>
        </w:rPr>
        <w:tab/>
        <w:t>kordab, et kutsub esimeeste konverentsi ja juhatust üles vaatama läbi delegatsioonide tööd ja väljapoole liitu tehtavaid lähetusi reguleerivad rakendussätted; rõhutab, et läbivaatamisel tuleks kaaluda, kas registreeritud assistendid võivad teatavatel tingimustel parlamendiliikmetega parlamendi ametlikes delegatsioonides ja ametlikel lähetustel kaasas olla;</w:t>
      </w:r>
      <w:r w:rsidR="00D51253" w:rsidRPr="00D3004B">
        <w:t xml:space="preserve"> rõhutab, et see muudatus ei tooks kaasa muudatusi ettenähtud vahendites ja oleks eelarveneutraalne;</w:t>
      </w:r>
    </w:p>
    <w:p w:rsidR="00D51253" w:rsidRPr="00D3004B" w:rsidRDefault="006E6DA3" w:rsidP="00D51253">
      <w:pPr>
        <w:pStyle w:val="action0"/>
        <w:spacing w:after="200"/>
        <w:ind w:left="567" w:hanging="567"/>
        <w:rPr>
          <w:rFonts w:ascii="TimesNewRomanPSMT" w:hAnsi="TimesNewRomanPSMT" w:cs="TimesNewRomanPSMT"/>
        </w:rPr>
      </w:pPr>
      <w:r w:rsidRPr="00D3004B">
        <w:rPr>
          <w:rFonts w:ascii="TimesNewRomanPSMT" w:hAnsi="TimesNewRomanPSMT"/>
        </w:rPr>
        <w:t>30</w:t>
      </w:r>
      <w:r w:rsidR="00D51253" w:rsidRPr="00D3004B">
        <w:rPr>
          <w:rFonts w:ascii="TimesNewRomanPSMT" w:hAnsi="TimesNewRomanPSMT"/>
        </w:rPr>
        <w:t>.</w:t>
      </w:r>
      <w:r w:rsidR="00D51253" w:rsidRPr="00D3004B">
        <w:rPr>
          <w:rFonts w:ascii="TimesNewRomanPSMT" w:hAnsi="TimesNewRomanPSMT"/>
        </w:rPr>
        <w:tab/>
      </w:r>
      <w:r w:rsidR="00D51253" w:rsidRPr="00D3004B">
        <w:t>eeldab, et täiskogul läbi hääletatud taotlused viiakse ellu esmajärjekorras;</w:t>
      </w:r>
    </w:p>
    <w:p w:rsidR="002714C6" w:rsidRPr="00D3004B" w:rsidRDefault="002714C6" w:rsidP="002714C6">
      <w:pPr>
        <w:keepLines/>
        <w:spacing w:before="100" w:beforeAutospacing="1" w:after="100" w:afterAutospacing="1"/>
        <w:jc w:val="center"/>
      </w:pPr>
      <w:r w:rsidRPr="00D3004B">
        <w:rPr>
          <w:noProof/>
        </w:rPr>
        <w:t>o</w:t>
      </w:r>
      <w:r w:rsidRPr="00D3004B">
        <w:rPr>
          <w:noProof/>
        </w:rPr>
        <w:br/>
        <w:t>o   o</w:t>
      </w:r>
    </w:p>
    <w:p w:rsidR="00D51253" w:rsidRPr="00D3004B" w:rsidRDefault="006E6DA3" w:rsidP="00D51253">
      <w:pPr>
        <w:pStyle w:val="action0"/>
        <w:spacing w:before="200" w:after="200"/>
        <w:ind w:left="567" w:hanging="567"/>
      </w:pPr>
      <w:r w:rsidRPr="00D3004B">
        <w:t>31</w:t>
      </w:r>
      <w:r w:rsidR="002714C6" w:rsidRPr="00D3004B">
        <w:t>.</w:t>
      </w:r>
      <w:r w:rsidR="002714C6" w:rsidRPr="00D3004B">
        <w:tab/>
        <w:t>võtab vastu 2025. </w:t>
      </w:r>
      <w:r w:rsidR="00D51253" w:rsidRPr="00D3004B">
        <w:t>aasta eelarvestuse;</w:t>
      </w:r>
    </w:p>
    <w:p w:rsidR="00D51253" w:rsidRPr="00D3004B" w:rsidRDefault="006E6DA3" w:rsidP="00D51253">
      <w:pPr>
        <w:pStyle w:val="action0"/>
        <w:spacing w:after="200"/>
        <w:ind w:left="567" w:hanging="567"/>
      </w:pPr>
      <w:r w:rsidRPr="00D3004B">
        <w:t>32</w:t>
      </w:r>
      <w:r w:rsidR="00D51253" w:rsidRPr="00D3004B">
        <w:t>.</w:t>
      </w:r>
      <w:r w:rsidR="00D51253" w:rsidRPr="00D3004B">
        <w:tab/>
        <w:t>teeb presidendile ülesandeks edastada käesolev resolutsioon ning eelarvestus nõukogule ja komisjonile.</w:t>
      </w:r>
    </w:p>
    <w:p w:rsidR="00D51253" w:rsidRPr="00D3004B" w:rsidRDefault="00D51253" w:rsidP="00D51253">
      <w:pPr>
        <w:spacing w:line="200" w:lineRule="exact"/>
        <w:rPr>
          <w:rFonts w:eastAsia="Calibri"/>
          <w:sz w:val="22"/>
          <w:szCs w:val="22"/>
        </w:rPr>
      </w:pPr>
    </w:p>
    <w:sectPr w:rsidR="00D51253" w:rsidRPr="00D3004B" w:rsidSect="00E772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F8B" w:rsidRPr="00E77229" w:rsidRDefault="00844F8B">
      <w:r w:rsidRPr="00E77229">
        <w:separator/>
      </w:r>
    </w:p>
  </w:endnote>
  <w:endnote w:type="continuationSeparator" w:id="0">
    <w:p w:rsidR="00844F8B" w:rsidRPr="00E77229" w:rsidRDefault="00844F8B">
      <w:r w:rsidRPr="00E772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722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722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72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F8B" w:rsidRPr="00E77229" w:rsidRDefault="00844F8B">
      <w:r w:rsidRPr="00E77229">
        <w:separator/>
      </w:r>
    </w:p>
  </w:footnote>
  <w:footnote w:type="continuationSeparator" w:id="0">
    <w:p w:rsidR="00844F8B" w:rsidRPr="00E77229" w:rsidRDefault="00844F8B">
      <w:r w:rsidRPr="00E77229">
        <w:continuationSeparator/>
      </w:r>
    </w:p>
  </w:footnote>
  <w:footnote w:id="1">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Pr="00E77229">
        <w:rPr>
          <w:sz w:val="24"/>
          <w:lang w:val="et-EE"/>
        </w:rPr>
        <w:t>ELT L 193, 30.7.2018, lk 1.</w:t>
      </w:r>
    </w:p>
  </w:footnote>
  <w:footnote w:id="2">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002714C6">
        <w:rPr>
          <w:sz w:val="24"/>
          <w:lang w:val="et-EE"/>
        </w:rPr>
        <w:t>ELT L 433 I, 22.12.2020, lk </w:t>
      </w:r>
      <w:r w:rsidRPr="00E77229">
        <w:rPr>
          <w:sz w:val="24"/>
          <w:lang w:val="et-EE"/>
        </w:rPr>
        <w:t>11.</w:t>
      </w:r>
    </w:p>
  </w:footnote>
  <w:footnote w:id="3">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002714C6">
        <w:rPr>
          <w:sz w:val="24"/>
          <w:lang w:val="et-EE"/>
        </w:rPr>
        <w:t>ELT C 444 I, 22.12.2020, lk </w:t>
      </w:r>
      <w:r w:rsidRPr="00E77229">
        <w:rPr>
          <w:sz w:val="24"/>
          <w:lang w:val="et-EE"/>
        </w:rPr>
        <w:t>4.</w:t>
      </w:r>
    </w:p>
  </w:footnote>
  <w:footnote w:id="4">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Pr="00E77229">
        <w:rPr>
          <w:sz w:val="24"/>
          <w:lang w:val="et-EE"/>
        </w:rPr>
        <w:t>Vastuvõetud tekstid, P9_TA(2020)0357.</w:t>
      </w:r>
    </w:p>
  </w:footnote>
  <w:footnote w:id="5">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002714C6">
        <w:rPr>
          <w:sz w:val="24"/>
          <w:lang w:val="et-EE"/>
        </w:rPr>
        <w:t>ELT L 433 I, 22.12.2020, lk </w:t>
      </w:r>
      <w:r w:rsidRPr="00E77229">
        <w:rPr>
          <w:sz w:val="24"/>
          <w:lang w:val="et-EE"/>
        </w:rPr>
        <w:t>28.</w:t>
      </w:r>
    </w:p>
  </w:footnote>
  <w:footnote w:id="6">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Pr="00E77229">
        <w:rPr>
          <w:sz w:val="24"/>
          <w:lang w:val="et-EE"/>
        </w:rPr>
        <w:t>Vastuvõetud tekstid, P9_TA(2023)0335.</w:t>
      </w:r>
    </w:p>
  </w:footnote>
  <w:footnote w:id="7">
    <w:p w:rsidR="00D51253" w:rsidRPr="00E77229" w:rsidRDefault="00D51253" w:rsidP="00E77229">
      <w:pPr>
        <w:pStyle w:val="Action"/>
        <w:tabs>
          <w:tab w:val="clear" w:pos="357"/>
        </w:tabs>
        <w:spacing w:after="0"/>
        <w:ind w:left="567" w:hanging="567"/>
        <w:outlineLvl w:val="0"/>
      </w:pPr>
      <w:r w:rsidRPr="00E77229">
        <w:rPr>
          <w:rStyle w:val="FootnoteReference"/>
        </w:rPr>
        <w:footnoteRef/>
      </w:r>
      <w:r w:rsidR="00E77229" w:rsidRPr="00E77229">
        <w:t xml:space="preserve"> </w:t>
      </w:r>
      <w:r w:rsidR="00E77229" w:rsidRPr="00E77229">
        <w:tab/>
      </w:r>
      <w:r w:rsidR="002714C6">
        <w:t>ELT C 177, 17.5.2023, lk </w:t>
      </w:r>
      <w:r w:rsidRPr="00E77229">
        <w:t>115.</w:t>
      </w:r>
    </w:p>
  </w:footnote>
  <w:footnote w:id="8">
    <w:p w:rsidR="00D51253" w:rsidRPr="002714C6" w:rsidRDefault="00D51253" w:rsidP="00E77229">
      <w:pPr>
        <w:pStyle w:val="FootnoteText"/>
        <w:ind w:left="567" w:hanging="567"/>
        <w:rPr>
          <w:i/>
          <w:sz w:val="24"/>
          <w:lang w:val="et-EE"/>
        </w:rPr>
      </w:pPr>
      <w:r w:rsidRPr="00E77229">
        <w:rPr>
          <w:rStyle w:val="FootnoteReference"/>
          <w:sz w:val="24"/>
          <w:lang w:val="et-EE"/>
        </w:rPr>
        <w:footnoteRef/>
      </w:r>
      <w:r w:rsidR="00E77229" w:rsidRPr="00E77229">
        <w:rPr>
          <w:rStyle w:val="Emphasis"/>
          <w:color w:val="333333"/>
          <w:sz w:val="24"/>
          <w:shd w:val="clear" w:color="auto" w:fill="FFFFFF"/>
          <w:lang w:val="et-EE"/>
        </w:rPr>
        <w:t xml:space="preserve"> </w:t>
      </w:r>
      <w:r w:rsidR="00E77229" w:rsidRPr="00E77229">
        <w:rPr>
          <w:rStyle w:val="Emphasis"/>
          <w:color w:val="333333"/>
          <w:sz w:val="24"/>
          <w:shd w:val="clear" w:color="auto" w:fill="FFFFFF"/>
          <w:lang w:val="et-EE"/>
        </w:rPr>
        <w:tab/>
      </w:r>
      <w:r w:rsidR="002714C6">
        <w:rPr>
          <w:rStyle w:val="Emphasis"/>
          <w:i w:val="0"/>
          <w:color w:val="333333"/>
          <w:sz w:val="24"/>
          <w:shd w:val="clear" w:color="auto" w:fill="FFFFFF"/>
          <w:lang w:val="et-EE"/>
        </w:rPr>
        <w:t>ELT </w:t>
      </w:r>
      <w:r w:rsidRPr="002714C6">
        <w:rPr>
          <w:rStyle w:val="Emphasis"/>
          <w:i w:val="0"/>
          <w:color w:val="333333"/>
          <w:sz w:val="24"/>
          <w:shd w:val="clear" w:color="auto" w:fill="FFFFFF"/>
          <w:lang w:val="et-EE"/>
        </w:rPr>
        <w:t xml:space="preserve">L, 2024/765, 29.2.2024, ELI: </w:t>
      </w:r>
      <w:hyperlink r:id="rId1" w:history="1">
        <w:r w:rsidR="002714C6" w:rsidRPr="005C2868">
          <w:rPr>
            <w:rStyle w:val="Hyperlink"/>
            <w:sz w:val="24"/>
            <w:shd w:val="clear" w:color="auto" w:fill="FFFFFF"/>
            <w:lang w:val="et-EE"/>
          </w:rPr>
          <w:t>http://data.europa.eu/eli/reg/2024/765/oj?locale=et</w:t>
        </w:r>
      </w:hyperlink>
      <w:r w:rsidRPr="002714C6">
        <w:rPr>
          <w:rStyle w:val="Emphasis"/>
          <w:i w:val="0"/>
          <w:color w:val="333333"/>
          <w:sz w:val="24"/>
          <w:shd w:val="clear" w:color="auto" w:fill="FFFFFF"/>
          <w:lang w:val="et-EE"/>
        </w:rPr>
        <w:t>.</w:t>
      </w:r>
    </w:p>
  </w:footnote>
  <w:footnote w:id="9">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Pr="00E77229">
        <w:rPr>
          <w:sz w:val="24"/>
          <w:lang w:val="et-EE"/>
        </w:rPr>
        <w:t>COM(2022)0223.</w:t>
      </w:r>
    </w:p>
  </w:footnote>
  <w:footnote w:id="10">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002714C6">
        <w:rPr>
          <w:sz w:val="24"/>
          <w:lang w:val="et-EE"/>
        </w:rPr>
        <w:t>ELT L 287, 29.10.2013, lk </w:t>
      </w:r>
      <w:r w:rsidRPr="00E77229">
        <w:rPr>
          <w:sz w:val="24"/>
          <w:lang w:val="et-EE"/>
        </w:rPr>
        <w:t>15.</w:t>
      </w:r>
    </w:p>
  </w:footnote>
  <w:footnote w:id="11">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Pr="00E77229">
        <w:rPr>
          <w:sz w:val="24"/>
          <w:lang w:val="et-EE"/>
        </w:rPr>
        <w:t>Vastuvõetud tekstid, P9_TA(2023)0119.</w:t>
      </w:r>
    </w:p>
  </w:footnote>
  <w:footnote w:id="12">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Pr="00E77229">
        <w:rPr>
          <w:sz w:val="24"/>
          <w:lang w:val="et-EE"/>
        </w:rPr>
        <w:t>Vastuvõetud tekstid, P9_TA(2023)0367.</w:t>
      </w:r>
    </w:p>
  </w:footnote>
  <w:footnote w:id="13">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002714C6">
        <w:rPr>
          <w:sz w:val="24"/>
          <w:lang w:val="et-EE"/>
        </w:rPr>
        <w:t>ELT L 207, 22.2.2024</w:t>
      </w:r>
      <w:r w:rsidRPr="00E77229">
        <w:rPr>
          <w:sz w:val="24"/>
          <w:lang w:val="et-EE"/>
        </w:rPr>
        <w:t>.</w:t>
      </w:r>
    </w:p>
  </w:footnote>
  <w:footnote w:id="14">
    <w:p w:rsidR="00D51253" w:rsidRPr="00E77229" w:rsidRDefault="00D51253" w:rsidP="00E77229">
      <w:pPr>
        <w:pStyle w:val="FootnoteText"/>
        <w:ind w:left="567" w:hanging="567"/>
        <w:rPr>
          <w:sz w:val="24"/>
          <w:lang w:val="et-EE"/>
        </w:rPr>
      </w:pPr>
      <w:r w:rsidRPr="00E77229">
        <w:rPr>
          <w:rStyle w:val="FootnoteReference"/>
          <w:sz w:val="24"/>
          <w:lang w:val="et-EE"/>
        </w:rPr>
        <w:footnoteRef/>
      </w:r>
      <w:r w:rsidR="00E77229" w:rsidRPr="00E77229">
        <w:rPr>
          <w:sz w:val="24"/>
          <w:lang w:val="et-EE"/>
        </w:rPr>
        <w:t xml:space="preserve"> </w:t>
      </w:r>
      <w:r w:rsidR="00E77229" w:rsidRPr="00E77229">
        <w:rPr>
          <w:sz w:val="24"/>
          <w:lang w:val="et-EE"/>
        </w:rPr>
        <w:tab/>
      </w:r>
      <w:r w:rsidRPr="00E77229">
        <w:rPr>
          <w:sz w:val="24"/>
          <w:lang w:val="et-EE"/>
        </w:rPr>
        <w:t>Vastuvõetud tekstid,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722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722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72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EE5CDB42">
      <w:start w:val="1"/>
      <w:numFmt w:val="bullet"/>
      <w:lvlText w:val=""/>
      <w:lvlJc w:val="left"/>
      <w:pPr>
        <w:ind w:left="360" w:hanging="360"/>
      </w:pPr>
      <w:rPr>
        <w:rFonts w:ascii="Symbol" w:hAnsi="Symbol" w:hint="default"/>
      </w:rPr>
    </w:lvl>
    <w:lvl w:ilvl="1" w:tplc="F440EEE0">
      <w:start w:val="1"/>
      <w:numFmt w:val="bullet"/>
      <w:lvlText w:val="o"/>
      <w:lvlJc w:val="left"/>
      <w:pPr>
        <w:ind w:left="1080" w:hanging="360"/>
      </w:pPr>
      <w:rPr>
        <w:rFonts w:ascii="Courier New" w:hAnsi="Courier New" w:cs="Courier New" w:hint="default"/>
      </w:rPr>
    </w:lvl>
    <w:lvl w:ilvl="2" w:tplc="C4AECA66">
      <w:start w:val="1"/>
      <w:numFmt w:val="bullet"/>
      <w:lvlText w:val=""/>
      <w:lvlJc w:val="left"/>
      <w:pPr>
        <w:ind w:left="1800" w:hanging="360"/>
      </w:pPr>
      <w:rPr>
        <w:rFonts w:ascii="Wingdings" w:hAnsi="Wingdings" w:hint="default"/>
      </w:rPr>
    </w:lvl>
    <w:lvl w:ilvl="3" w:tplc="45320F6C">
      <w:start w:val="1"/>
      <w:numFmt w:val="bullet"/>
      <w:lvlText w:val=""/>
      <w:lvlJc w:val="left"/>
      <w:pPr>
        <w:ind w:left="2520" w:hanging="360"/>
      </w:pPr>
      <w:rPr>
        <w:rFonts w:ascii="Symbol" w:hAnsi="Symbol" w:hint="default"/>
      </w:rPr>
    </w:lvl>
    <w:lvl w:ilvl="4" w:tplc="E7A44436">
      <w:start w:val="1"/>
      <w:numFmt w:val="bullet"/>
      <w:lvlText w:val="o"/>
      <w:lvlJc w:val="left"/>
      <w:pPr>
        <w:ind w:left="3240" w:hanging="360"/>
      </w:pPr>
      <w:rPr>
        <w:rFonts w:ascii="Courier New" w:hAnsi="Courier New" w:cs="Courier New" w:hint="default"/>
      </w:rPr>
    </w:lvl>
    <w:lvl w:ilvl="5" w:tplc="2AB4813C">
      <w:start w:val="1"/>
      <w:numFmt w:val="bullet"/>
      <w:lvlText w:val=""/>
      <w:lvlJc w:val="left"/>
      <w:pPr>
        <w:ind w:left="3960" w:hanging="360"/>
      </w:pPr>
      <w:rPr>
        <w:rFonts w:ascii="Wingdings" w:hAnsi="Wingdings" w:hint="default"/>
      </w:rPr>
    </w:lvl>
    <w:lvl w:ilvl="6" w:tplc="459E4E5C">
      <w:start w:val="1"/>
      <w:numFmt w:val="bullet"/>
      <w:lvlText w:val=""/>
      <w:lvlJc w:val="left"/>
      <w:pPr>
        <w:ind w:left="4680" w:hanging="360"/>
      </w:pPr>
      <w:rPr>
        <w:rFonts w:ascii="Symbol" w:hAnsi="Symbol" w:hint="default"/>
      </w:rPr>
    </w:lvl>
    <w:lvl w:ilvl="7" w:tplc="6E74DD2A">
      <w:start w:val="1"/>
      <w:numFmt w:val="bullet"/>
      <w:lvlText w:val="o"/>
      <w:lvlJc w:val="left"/>
      <w:pPr>
        <w:ind w:left="5400" w:hanging="360"/>
      </w:pPr>
      <w:rPr>
        <w:rFonts w:ascii="Courier New" w:hAnsi="Courier New" w:cs="Courier New" w:hint="default"/>
      </w:rPr>
    </w:lvl>
    <w:lvl w:ilvl="8" w:tplc="4BBA93CE">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D42084FE">
      <w:start w:val="1"/>
      <w:numFmt w:val="bullet"/>
      <w:lvlText w:val="—"/>
      <w:lvlJc w:val="left"/>
      <w:pPr>
        <w:ind w:left="720" w:hanging="360"/>
      </w:pPr>
      <w:rPr>
        <w:rFonts w:ascii="Times New Roman" w:hAnsi="Times New Roman" w:cs="Times New Roman" w:hint="default"/>
      </w:rPr>
    </w:lvl>
    <w:lvl w:ilvl="1" w:tplc="905A732E">
      <w:start w:val="1"/>
      <w:numFmt w:val="bullet"/>
      <w:lvlText w:val="o"/>
      <w:lvlJc w:val="left"/>
      <w:pPr>
        <w:ind w:left="1440" w:hanging="360"/>
      </w:pPr>
      <w:rPr>
        <w:rFonts w:ascii="Courier New" w:hAnsi="Courier New" w:cs="Courier New" w:hint="default"/>
      </w:rPr>
    </w:lvl>
    <w:lvl w:ilvl="2" w:tplc="4BC65D5E">
      <w:start w:val="1"/>
      <w:numFmt w:val="bullet"/>
      <w:lvlText w:val=""/>
      <w:lvlJc w:val="left"/>
      <w:pPr>
        <w:ind w:left="2160" w:hanging="360"/>
      </w:pPr>
      <w:rPr>
        <w:rFonts w:ascii="Wingdings" w:hAnsi="Wingdings" w:hint="default"/>
      </w:rPr>
    </w:lvl>
    <w:lvl w:ilvl="3" w:tplc="71C40F3A">
      <w:start w:val="1"/>
      <w:numFmt w:val="bullet"/>
      <w:lvlText w:val=""/>
      <w:lvlJc w:val="left"/>
      <w:pPr>
        <w:ind w:left="2880" w:hanging="360"/>
      </w:pPr>
      <w:rPr>
        <w:rFonts w:ascii="Symbol" w:hAnsi="Symbol" w:hint="default"/>
      </w:rPr>
    </w:lvl>
    <w:lvl w:ilvl="4" w:tplc="7144AE9C">
      <w:start w:val="1"/>
      <w:numFmt w:val="bullet"/>
      <w:lvlText w:val="o"/>
      <w:lvlJc w:val="left"/>
      <w:pPr>
        <w:ind w:left="3600" w:hanging="360"/>
      </w:pPr>
      <w:rPr>
        <w:rFonts w:ascii="Courier New" w:hAnsi="Courier New" w:cs="Courier New" w:hint="default"/>
      </w:rPr>
    </w:lvl>
    <w:lvl w:ilvl="5" w:tplc="36166736">
      <w:start w:val="1"/>
      <w:numFmt w:val="bullet"/>
      <w:lvlText w:val=""/>
      <w:lvlJc w:val="left"/>
      <w:pPr>
        <w:ind w:left="4320" w:hanging="360"/>
      </w:pPr>
      <w:rPr>
        <w:rFonts w:ascii="Wingdings" w:hAnsi="Wingdings" w:hint="default"/>
      </w:rPr>
    </w:lvl>
    <w:lvl w:ilvl="6" w:tplc="DCDC6BAE">
      <w:start w:val="1"/>
      <w:numFmt w:val="bullet"/>
      <w:lvlText w:val=""/>
      <w:lvlJc w:val="left"/>
      <w:pPr>
        <w:ind w:left="5040" w:hanging="360"/>
      </w:pPr>
      <w:rPr>
        <w:rFonts w:ascii="Symbol" w:hAnsi="Symbol" w:hint="default"/>
      </w:rPr>
    </w:lvl>
    <w:lvl w:ilvl="7" w:tplc="70EEC09E">
      <w:start w:val="1"/>
      <w:numFmt w:val="bullet"/>
      <w:lvlText w:val="o"/>
      <w:lvlJc w:val="left"/>
      <w:pPr>
        <w:ind w:left="5760" w:hanging="360"/>
      </w:pPr>
      <w:rPr>
        <w:rFonts w:ascii="Courier New" w:hAnsi="Courier New" w:cs="Courier New" w:hint="default"/>
      </w:rPr>
    </w:lvl>
    <w:lvl w:ilvl="8" w:tplc="227C747A">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3E2A446C">
      <w:start w:val="1"/>
      <w:numFmt w:val="bullet"/>
      <w:lvlText w:val="—"/>
      <w:lvlJc w:val="left"/>
      <w:pPr>
        <w:ind w:left="720" w:hanging="360"/>
      </w:pPr>
      <w:rPr>
        <w:rFonts w:ascii="Times New Roman" w:hAnsi="Times New Roman" w:cs="Times New Roman" w:hint="default"/>
      </w:rPr>
    </w:lvl>
    <w:lvl w:ilvl="1" w:tplc="6FDCED58">
      <w:start w:val="1"/>
      <w:numFmt w:val="bullet"/>
      <w:lvlText w:val="o"/>
      <w:lvlJc w:val="left"/>
      <w:pPr>
        <w:ind w:left="1440" w:hanging="360"/>
      </w:pPr>
      <w:rPr>
        <w:rFonts w:ascii="Courier New" w:hAnsi="Courier New" w:cs="Courier New" w:hint="default"/>
      </w:rPr>
    </w:lvl>
    <w:lvl w:ilvl="2" w:tplc="CDEC9612">
      <w:start w:val="1"/>
      <w:numFmt w:val="bullet"/>
      <w:lvlText w:val=""/>
      <w:lvlJc w:val="left"/>
      <w:pPr>
        <w:ind w:left="2160" w:hanging="360"/>
      </w:pPr>
      <w:rPr>
        <w:rFonts w:ascii="Wingdings" w:hAnsi="Wingdings" w:hint="default"/>
      </w:rPr>
    </w:lvl>
    <w:lvl w:ilvl="3" w:tplc="B7969B74">
      <w:start w:val="1"/>
      <w:numFmt w:val="bullet"/>
      <w:lvlText w:val=""/>
      <w:lvlJc w:val="left"/>
      <w:pPr>
        <w:ind w:left="2880" w:hanging="360"/>
      </w:pPr>
      <w:rPr>
        <w:rFonts w:ascii="Symbol" w:hAnsi="Symbol" w:hint="default"/>
      </w:rPr>
    </w:lvl>
    <w:lvl w:ilvl="4" w:tplc="421230CA">
      <w:start w:val="1"/>
      <w:numFmt w:val="bullet"/>
      <w:lvlText w:val="o"/>
      <w:lvlJc w:val="left"/>
      <w:pPr>
        <w:ind w:left="3600" w:hanging="360"/>
      </w:pPr>
      <w:rPr>
        <w:rFonts w:ascii="Courier New" w:hAnsi="Courier New" w:cs="Courier New" w:hint="default"/>
      </w:rPr>
    </w:lvl>
    <w:lvl w:ilvl="5" w:tplc="0322AE4E">
      <w:start w:val="1"/>
      <w:numFmt w:val="bullet"/>
      <w:lvlText w:val=""/>
      <w:lvlJc w:val="left"/>
      <w:pPr>
        <w:ind w:left="4320" w:hanging="360"/>
      </w:pPr>
      <w:rPr>
        <w:rFonts w:ascii="Wingdings" w:hAnsi="Wingdings" w:hint="default"/>
      </w:rPr>
    </w:lvl>
    <w:lvl w:ilvl="6" w:tplc="6A023B6A">
      <w:start w:val="1"/>
      <w:numFmt w:val="bullet"/>
      <w:lvlText w:val=""/>
      <w:lvlJc w:val="left"/>
      <w:pPr>
        <w:ind w:left="5040" w:hanging="360"/>
      </w:pPr>
      <w:rPr>
        <w:rFonts w:ascii="Symbol" w:hAnsi="Symbol" w:hint="default"/>
      </w:rPr>
    </w:lvl>
    <w:lvl w:ilvl="7" w:tplc="A614BEAC">
      <w:start w:val="1"/>
      <w:numFmt w:val="bullet"/>
      <w:lvlText w:val="o"/>
      <w:lvlJc w:val="left"/>
      <w:pPr>
        <w:ind w:left="5760" w:hanging="360"/>
      </w:pPr>
      <w:rPr>
        <w:rFonts w:ascii="Courier New" w:hAnsi="Courier New" w:cs="Courier New" w:hint="default"/>
      </w:rPr>
    </w:lvl>
    <w:lvl w:ilvl="8" w:tplc="6DC0F852">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5052EDE0">
      <w:start w:val="1"/>
      <w:numFmt w:val="bullet"/>
      <w:lvlText w:val="—"/>
      <w:lvlJc w:val="left"/>
      <w:pPr>
        <w:ind w:left="720" w:hanging="360"/>
      </w:pPr>
      <w:rPr>
        <w:rFonts w:ascii="Times New Roman" w:hAnsi="Times New Roman" w:cs="Times New Roman" w:hint="default"/>
      </w:rPr>
    </w:lvl>
    <w:lvl w:ilvl="1" w:tplc="6A6EA04A">
      <w:start w:val="1"/>
      <w:numFmt w:val="bullet"/>
      <w:lvlText w:val="o"/>
      <w:lvlJc w:val="left"/>
      <w:pPr>
        <w:ind w:left="1440" w:hanging="360"/>
      </w:pPr>
      <w:rPr>
        <w:rFonts w:ascii="Courier New" w:hAnsi="Courier New" w:cs="Courier New" w:hint="default"/>
      </w:rPr>
    </w:lvl>
    <w:lvl w:ilvl="2" w:tplc="D0F4C234">
      <w:start w:val="1"/>
      <w:numFmt w:val="bullet"/>
      <w:lvlText w:val=""/>
      <w:lvlJc w:val="left"/>
      <w:pPr>
        <w:ind w:left="2160" w:hanging="360"/>
      </w:pPr>
      <w:rPr>
        <w:rFonts w:ascii="Wingdings" w:hAnsi="Wingdings" w:hint="default"/>
      </w:rPr>
    </w:lvl>
    <w:lvl w:ilvl="3" w:tplc="D9AE8B08">
      <w:start w:val="1"/>
      <w:numFmt w:val="bullet"/>
      <w:lvlText w:val=""/>
      <w:lvlJc w:val="left"/>
      <w:pPr>
        <w:ind w:left="2880" w:hanging="360"/>
      </w:pPr>
      <w:rPr>
        <w:rFonts w:ascii="Symbol" w:hAnsi="Symbol" w:hint="default"/>
      </w:rPr>
    </w:lvl>
    <w:lvl w:ilvl="4" w:tplc="1FEE2F66">
      <w:start w:val="1"/>
      <w:numFmt w:val="bullet"/>
      <w:lvlText w:val="o"/>
      <w:lvlJc w:val="left"/>
      <w:pPr>
        <w:ind w:left="3600" w:hanging="360"/>
      </w:pPr>
      <w:rPr>
        <w:rFonts w:ascii="Courier New" w:hAnsi="Courier New" w:cs="Courier New" w:hint="default"/>
      </w:rPr>
    </w:lvl>
    <w:lvl w:ilvl="5" w:tplc="D8E426B2">
      <w:start w:val="1"/>
      <w:numFmt w:val="bullet"/>
      <w:lvlText w:val=""/>
      <w:lvlJc w:val="left"/>
      <w:pPr>
        <w:ind w:left="4320" w:hanging="360"/>
      </w:pPr>
      <w:rPr>
        <w:rFonts w:ascii="Wingdings" w:hAnsi="Wingdings" w:hint="default"/>
      </w:rPr>
    </w:lvl>
    <w:lvl w:ilvl="6" w:tplc="E69A48D0">
      <w:start w:val="1"/>
      <w:numFmt w:val="bullet"/>
      <w:lvlText w:val=""/>
      <w:lvlJc w:val="left"/>
      <w:pPr>
        <w:ind w:left="5040" w:hanging="360"/>
      </w:pPr>
      <w:rPr>
        <w:rFonts w:ascii="Symbol" w:hAnsi="Symbol" w:hint="default"/>
      </w:rPr>
    </w:lvl>
    <w:lvl w:ilvl="7" w:tplc="C29C7F50">
      <w:start w:val="1"/>
      <w:numFmt w:val="bullet"/>
      <w:lvlText w:val="o"/>
      <w:lvlJc w:val="left"/>
      <w:pPr>
        <w:ind w:left="5760" w:hanging="360"/>
      </w:pPr>
      <w:rPr>
        <w:rFonts w:ascii="Courier New" w:hAnsi="Courier New" w:cs="Courier New" w:hint="default"/>
      </w:rPr>
    </w:lvl>
    <w:lvl w:ilvl="8" w:tplc="BD723268">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ET"/>
    <w:docVar w:name="dvnumam" w:val="0"/>
    <w:docVar w:name="dvpe" w:val="759.633"/>
    <w:docVar w:name="dvrapporteur" w:val="Raportöör: "/>
    <w:docVar w:name="dvtitre" w:val="Euroopa Parlamendi .... 2024. aasta resolutsioon Euroopa Parlamendi 2025. aasta tulude ja kulude eelarvestuse kohta(2023/2221(BUI))"/>
  </w:docVars>
  <w:rsids>
    <w:rsidRoot w:val="00844F8B"/>
    <w:rsid w:val="00002272"/>
    <w:rsid w:val="00064002"/>
    <w:rsid w:val="000677B9"/>
    <w:rsid w:val="000831BA"/>
    <w:rsid w:val="000A42CC"/>
    <w:rsid w:val="000E7DD9"/>
    <w:rsid w:val="0010095E"/>
    <w:rsid w:val="00125B37"/>
    <w:rsid w:val="00187494"/>
    <w:rsid w:val="001F32AE"/>
    <w:rsid w:val="002714C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6DA3"/>
    <w:rsid w:val="006F74FA"/>
    <w:rsid w:val="00731ADD"/>
    <w:rsid w:val="00734777"/>
    <w:rsid w:val="00747932"/>
    <w:rsid w:val="00751A4A"/>
    <w:rsid w:val="00756632"/>
    <w:rsid w:val="00762C74"/>
    <w:rsid w:val="00786EC0"/>
    <w:rsid w:val="007D1690"/>
    <w:rsid w:val="007E22AD"/>
    <w:rsid w:val="00817416"/>
    <w:rsid w:val="00842779"/>
    <w:rsid w:val="00844F8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A7B"/>
    <w:rsid w:val="00C941CB"/>
    <w:rsid w:val="00CC2357"/>
    <w:rsid w:val="00CF071A"/>
    <w:rsid w:val="00D058B8"/>
    <w:rsid w:val="00D3004B"/>
    <w:rsid w:val="00D51253"/>
    <w:rsid w:val="00D56C11"/>
    <w:rsid w:val="00D834A0"/>
    <w:rsid w:val="00D872DF"/>
    <w:rsid w:val="00D91E21"/>
    <w:rsid w:val="00DA7FCD"/>
    <w:rsid w:val="00E365E1"/>
    <w:rsid w:val="00E7722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0C46DA-48A3-41BB-AB14-EA806715C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51253"/>
    <w:rPr>
      <w:b/>
      <w:kern w:val="28"/>
      <w:sz w:val="28"/>
      <w:lang w:val="fr-FR" w:eastAsia="fr-FR"/>
    </w:rPr>
  </w:style>
  <w:style w:type="character" w:customStyle="1" w:styleId="Heading2Char">
    <w:name w:val="Heading 2 Char"/>
    <w:basedOn w:val="DefaultParagraphFont"/>
    <w:link w:val="Heading2"/>
    <w:uiPriority w:val="9"/>
    <w:semiHidden/>
    <w:rsid w:val="00D51253"/>
    <w:rPr>
      <w:sz w:val="24"/>
      <w:lang w:val="fr-FR" w:eastAsia="fr-FR"/>
    </w:rPr>
  </w:style>
  <w:style w:type="character" w:customStyle="1" w:styleId="Heading3Char">
    <w:name w:val="Heading 3 Char"/>
    <w:basedOn w:val="DefaultParagraphFont"/>
    <w:link w:val="Heading3"/>
    <w:uiPriority w:val="9"/>
    <w:semiHidden/>
    <w:rsid w:val="00D51253"/>
    <w:rPr>
      <w:rFonts w:ascii="Arial" w:hAnsi="Arial"/>
      <w:sz w:val="24"/>
      <w:lang w:val="fr-FR" w:eastAsia="fr-FR"/>
    </w:rPr>
  </w:style>
  <w:style w:type="character" w:customStyle="1" w:styleId="Heading4Char">
    <w:name w:val="Heading 4 Char"/>
    <w:basedOn w:val="DefaultParagraphFont"/>
    <w:link w:val="Heading4"/>
    <w:uiPriority w:val="9"/>
    <w:semiHidden/>
    <w:rsid w:val="00D51253"/>
    <w:rPr>
      <w:sz w:val="24"/>
      <w:lang w:val="en-US" w:eastAsia="fr-FR"/>
    </w:rPr>
  </w:style>
  <w:style w:type="character" w:customStyle="1" w:styleId="Heading5Char">
    <w:name w:val="Heading 5 Char"/>
    <w:basedOn w:val="DefaultParagraphFont"/>
    <w:link w:val="Heading5"/>
    <w:uiPriority w:val="9"/>
    <w:semiHidden/>
    <w:rsid w:val="00D51253"/>
    <w:rPr>
      <w:sz w:val="24"/>
      <w:lang w:val="en-US" w:eastAsia="fr-FR"/>
    </w:rPr>
  </w:style>
  <w:style w:type="character" w:customStyle="1" w:styleId="Heading6Char">
    <w:name w:val="Heading 6 Char"/>
    <w:basedOn w:val="DefaultParagraphFont"/>
    <w:link w:val="Heading6"/>
    <w:uiPriority w:val="9"/>
    <w:semiHidden/>
    <w:rsid w:val="00D51253"/>
    <w:rPr>
      <w:i/>
      <w:sz w:val="22"/>
      <w:lang w:val="et-EE"/>
    </w:rPr>
  </w:style>
  <w:style w:type="character" w:customStyle="1" w:styleId="Heading7Char">
    <w:name w:val="Heading 7 Char"/>
    <w:basedOn w:val="DefaultParagraphFont"/>
    <w:link w:val="Heading7"/>
    <w:uiPriority w:val="9"/>
    <w:semiHidden/>
    <w:rsid w:val="00D51253"/>
    <w:rPr>
      <w:rFonts w:ascii="Arial" w:hAnsi="Arial"/>
      <w:sz w:val="24"/>
      <w:lang w:val="et-EE"/>
    </w:rPr>
  </w:style>
  <w:style w:type="character" w:customStyle="1" w:styleId="Heading8Char">
    <w:name w:val="Heading 8 Char"/>
    <w:basedOn w:val="DefaultParagraphFont"/>
    <w:link w:val="Heading8"/>
    <w:uiPriority w:val="9"/>
    <w:semiHidden/>
    <w:rsid w:val="00D51253"/>
    <w:rPr>
      <w:rFonts w:ascii="Arial" w:hAnsi="Arial"/>
      <w:i/>
      <w:sz w:val="24"/>
      <w:lang w:val="et-EE"/>
    </w:rPr>
  </w:style>
  <w:style w:type="character" w:customStyle="1" w:styleId="Heading9Char">
    <w:name w:val="Heading 9 Char"/>
    <w:basedOn w:val="DefaultParagraphFont"/>
    <w:link w:val="Heading9"/>
    <w:uiPriority w:val="9"/>
    <w:semiHidden/>
    <w:rsid w:val="00D51253"/>
    <w:rPr>
      <w:rFonts w:ascii="Arial" w:hAnsi="Arial"/>
      <w:b/>
      <w:i/>
      <w:sz w:val="18"/>
      <w:lang w:val="et-EE"/>
    </w:rPr>
  </w:style>
  <w:style w:type="paragraph" w:styleId="TOCHeading">
    <w:name w:val="TOC Heading"/>
    <w:basedOn w:val="Normal"/>
    <w:next w:val="Normal"/>
    <w:uiPriority w:val="39"/>
    <w:unhideWhenUsed/>
    <w:qFormat/>
    <w:rsid w:val="00D51253"/>
    <w:pPr>
      <w:widowControl/>
      <w:spacing w:after="240"/>
    </w:pPr>
    <w:rPr>
      <w:lang w:val="en-GB"/>
    </w:rPr>
  </w:style>
  <w:style w:type="paragraph" w:customStyle="1" w:styleId="EPFooter2">
    <w:name w:val="EPFooter2"/>
    <w:basedOn w:val="Normal"/>
    <w:next w:val="Normal"/>
    <w:rsid w:val="00D5125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51253"/>
    <w:pPr>
      <w:spacing w:after="240"/>
    </w:pPr>
  </w:style>
  <w:style w:type="paragraph" w:customStyle="1" w:styleId="TOCPage">
    <w:name w:val="TOC Page"/>
    <w:basedOn w:val="Normal"/>
    <w:next w:val="TOC1"/>
    <w:rsid w:val="00D51253"/>
    <w:pPr>
      <w:keepNext/>
      <w:spacing w:after="240"/>
      <w:jc w:val="right"/>
    </w:pPr>
    <w:rPr>
      <w:rFonts w:ascii="Arial" w:hAnsi="Arial"/>
      <w:b/>
    </w:rPr>
  </w:style>
  <w:style w:type="paragraph" w:customStyle="1" w:styleId="PageHeading">
    <w:name w:val="PageHeading"/>
    <w:basedOn w:val="Normal"/>
    <w:rsid w:val="00D51253"/>
    <w:pPr>
      <w:keepNext/>
      <w:spacing w:after="480"/>
      <w:jc w:val="center"/>
    </w:pPr>
    <w:rPr>
      <w:rFonts w:ascii="Arial" w:hAnsi="Arial" w:cs="Arial"/>
      <w:b/>
    </w:rPr>
  </w:style>
  <w:style w:type="paragraph" w:customStyle="1" w:styleId="NormalBold">
    <w:name w:val="NormalBold"/>
    <w:basedOn w:val="Normal"/>
    <w:rsid w:val="00D51253"/>
    <w:rPr>
      <w:b/>
    </w:rPr>
  </w:style>
  <w:style w:type="paragraph" w:customStyle="1" w:styleId="NormalHanging12a">
    <w:name w:val="NormalHanging12a"/>
    <w:basedOn w:val="Normal"/>
    <w:link w:val="NormalHanging12aChar"/>
    <w:rsid w:val="00D51253"/>
    <w:pPr>
      <w:spacing w:after="240"/>
      <w:ind w:left="567" w:hanging="567"/>
    </w:pPr>
  </w:style>
  <w:style w:type="character" w:customStyle="1" w:styleId="NormalHanging12aChar">
    <w:name w:val="NormalHanging12a Char"/>
    <w:basedOn w:val="DefaultParagraphFont"/>
    <w:link w:val="NormalHanging12a"/>
    <w:locked/>
    <w:rsid w:val="00D51253"/>
    <w:rPr>
      <w:sz w:val="24"/>
      <w:lang w:val="et-EE"/>
    </w:rPr>
  </w:style>
  <w:style w:type="paragraph" w:customStyle="1" w:styleId="CoverNormal24a">
    <w:name w:val="CoverNormal24a"/>
    <w:basedOn w:val="Normal"/>
    <w:rsid w:val="00D51253"/>
    <w:pPr>
      <w:spacing w:after="480"/>
      <w:ind w:left="1417"/>
    </w:pPr>
  </w:style>
  <w:style w:type="paragraph" w:customStyle="1" w:styleId="CoverNormal">
    <w:name w:val="CoverNormal"/>
    <w:basedOn w:val="Normal"/>
    <w:rsid w:val="00D51253"/>
    <w:pPr>
      <w:ind w:left="1418"/>
    </w:pPr>
  </w:style>
  <w:style w:type="paragraph" w:customStyle="1" w:styleId="CoverReference">
    <w:name w:val="CoverReference"/>
    <w:basedOn w:val="Normal"/>
    <w:rsid w:val="00D51253"/>
    <w:pPr>
      <w:spacing w:before="1080"/>
      <w:jc w:val="right"/>
    </w:pPr>
    <w:rPr>
      <w:rFonts w:ascii="Arial" w:hAnsi="Arial" w:cs="Arial"/>
      <w:b/>
    </w:rPr>
  </w:style>
  <w:style w:type="paragraph" w:customStyle="1" w:styleId="CoverDocType24a">
    <w:name w:val="CoverDocType24a"/>
    <w:basedOn w:val="Normal"/>
    <w:rsid w:val="00D51253"/>
    <w:pPr>
      <w:spacing w:after="480"/>
      <w:ind w:left="1418"/>
    </w:pPr>
    <w:rPr>
      <w:rFonts w:ascii="Arial" w:hAnsi="Arial"/>
      <w:b/>
      <w:sz w:val="48"/>
    </w:rPr>
  </w:style>
  <w:style w:type="paragraph" w:customStyle="1" w:styleId="CoverDate">
    <w:name w:val="CoverDate"/>
    <w:basedOn w:val="Normal"/>
    <w:rsid w:val="00D51253"/>
    <w:pPr>
      <w:spacing w:before="240" w:after="1200"/>
    </w:pPr>
  </w:style>
  <w:style w:type="paragraph" w:customStyle="1" w:styleId="EPBody">
    <w:name w:val="EPBody"/>
    <w:basedOn w:val="Normal"/>
    <w:rsid w:val="00D51253"/>
    <w:pPr>
      <w:jc w:val="center"/>
    </w:pPr>
    <w:rPr>
      <w:rFonts w:ascii="Arial" w:hAnsi="Arial" w:cs="Arial"/>
      <w:i/>
      <w:sz w:val="22"/>
      <w:szCs w:val="22"/>
    </w:rPr>
  </w:style>
  <w:style w:type="paragraph" w:customStyle="1" w:styleId="EPFooter">
    <w:name w:val="EPFooter"/>
    <w:basedOn w:val="Normal"/>
    <w:rsid w:val="00D51253"/>
    <w:pPr>
      <w:tabs>
        <w:tab w:val="center" w:pos="4535"/>
        <w:tab w:val="right" w:pos="9071"/>
      </w:tabs>
      <w:spacing w:before="240" w:after="240"/>
    </w:pPr>
    <w:rPr>
      <w:color w:val="010000"/>
      <w:sz w:val="22"/>
    </w:rPr>
  </w:style>
  <w:style w:type="paragraph" w:styleId="Header">
    <w:name w:val="header"/>
    <w:basedOn w:val="Normal"/>
    <w:link w:val="HeaderChar"/>
    <w:uiPriority w:val="99"/>
    <w:rsid w:val="00D51253"/>
    <w:pPr>
      <w:tabs>
        <w:tab w:val="center" w:pos="4513"/>
        <w:tab w:val="right" w:pos="9026"/>
      </w:tabs>
    </w:pPr>
  </w:style>
  <w:style w:type="character" w:customStyle="1" w:styleId="HeaderChar">
    <w:name w:val="Header Char"/>
    <w:basedOn w:val="DefaultParagraphFont"/>
    <w:link w:val="Header"/>
    <w:uiPriority w:val="99"/>
    <w:rsid w:val="00D51253"/>
    <w:rPr>
      <w:sz w:val="24"/>
      <w:lang w:val="et-EE"/>
    </w:rPr>
  </w:style>
  <w:style w:type="paragraph" w:customStyle="1" w:styleId="EPComma">
    <w:name w:val="EPComma"/>
    <w:basedOn w:val="Normal"/>
    <w:rsid w:val="00D51253"/>
    <w:pPr>
      <w:spacing w:before="480" w:after="240"/>
    </w:pPr>
  </w:style>
  <w:style w:type="paragraph" w:customStyle="1" w:styleId="FootnoteReference1">
    <w:name w:val="Footnote Reference1"/>
    <w:basedOn w:val="Normal"/>
    <w:link w:val="FootnoteReference"/>
    <w:rsid w:val="00D51253"/>
    <w:pPr>
      <w:widowControl/>
      <w:spacing w:after="160" w:line="240" w:lineRule="exact"/>
    </w:pPr>
    <w:rPr>
      <w:sz w:val="20"/>
      <w:vertAlign w:val="superscript"/>
      <w:lang w:val="en-GB"/>
    </w:rPr>
  </w:style>
  <w:style w:type="paragraph" w:customStyle="1" w:styleId="Action">
    <w:name w:val="Action"/>
    <w:basedOn w:val="Normal"/>
    <w:rsid w:val="00D51253"/>
    <w:pPr>
      <w:tabs>
        <w:tab w:val="left" w:pos="357"/>
      </w:tabs>
      <w:spacing w:after="240"/>
      <w:ind w:left="357" w:hanging="357"/>
    </w:pPr>
  </w:style>
  <w:style w:type="paragraph" w:customStyle="1" w:styleId="action0">
    <w:name w:val="action"/>
    <w:basedOn w:val="Normal"/>
    <w:rsid w:val="00D51253"/>
    <w:pPr>
      <w:widowControl/>
      <w:spacing w:after="240"/>
      <w:ind w:left="357" w:hanging="357"/>
    </w:pPr>
    <w:rPr>
      <w:rFonts w:eastAsiaTheme="minorHAnsi"/>
      <w:szCs w:val="24"/>
    </w:rPr>
  </w:style>
  <w:style w:type="paragraph" w:styleId="Footer">
    <w:name w:val="footer"/>
    <w:basedOn w:val="Normal"/>
    <w:link w:val="FooterChar"/>
    <w:uiPriority w:val="99"/>
    <w:rsid w:val="00D51253"/>
    <w:pPr>
      <w:tabs>
        <w:tab w:val="center" w:pos="4513"/>
        <w:tab w:val="right" w:pos="9026"/>
      </w:tabs>
    </w:pPr>
  </w:style>
  <w:style w:type="character" w:customStyle="1" w:styleId="FooterChar">
    <w:name w:val="Footer Char"/>
    <w:basedOn w:val="DefaultParagraphFont"/>
    <w:link w:val="Footer"/>
    <w:uiPriority w:val="99"/>
    <w:rsid w:val="00D51253"/>
    <w:rPr>
      <w:sz w:val="24"/>
      <w:lang w:val="et-EE"/>
    </w:rPr>
  </w:style>
  <w:style w:type="character" w:customStyle="1" w:styleId="doceo-font-family-base">
    <w:name w:val="doceo-font-family-base"/>
    <w:basedOn w:val="DefaultParagraphFont"/>
    <w:rsid w:val="00D51253"/>
  </w:style>
  <w:style w:type="paragraph" w:styleId="BalloonText">
    <w:name w:val="Balloon Text"/>
    <w:basedOn w:val="Normal"/>
    <w:link w:val="BalloonTextChar"/>
    <w:uiPriority w:val="99"/>
    <w:unhideWhenUsed/>
    <w:rsid w:val="00D51253"/>
    <w:rPr>
      <w:rFonts w:ascii="Segoe UI" w:hAnsi="Segoe UI" w:cs="Segoe UI"/>
      <w:sz w:val="18"/>
      <w:szCs w:val="18"/>
    </w:rPr>
  </w:style>
  <w:style w:type="character" w:customStyle="1" w:styleId="BalloonTextChar">
    <w:name w:val="Balloon Text Char"/>
    <w:basedOn w:val="DefaultParagraphFont"/>
    <w:link w:val="BalloonText"/>
    <w:uiPriority w:val="99"/>
    <w:rsid w:val="00D51253"/>
    <w:rPr>
      <w:rFonts w:ascii="Segoe UI" w:hAnsi="Segoe UI" w:cs="Segoe UI"/>
      <w:sz w:val="18"/>
      <w:szCs w:val="18"/>
      <w:lang w:val="et-EE"/>
    </w:rPr>
  </w:style>
  <w:style w:type="paragraph" w:customStyle="1" w:styleId="Default">
    <w:name w:val="Default"/>
    <w:rsid w:val="00D51253"/>
    <w:pPr>
      <w:spacing w:before="160"/>
    </w:pPr>
    <w:rPr>
      <w:rFonts w:ascii="Helvetica Neue" w:eastAsia="Arial Unicode MS" w:hAnsi="Helvetica Neue" w:cs="Arial Unicode MS"/>
      <w:color w:val="000000"/>
      <w:sz w:val="24"/>
      <w:szCs w:val="24"/>
      <w:lang w:val="et-EE"/>
      <w14:textOutline w14:w="0" w14:cap="flat" w14:cmpd="sng" w14:algn="ctr">
        <w14:noFill/>
        <w14:prstDash w14:val="solid"/>
        <w14:bevel/>
      </w14:textOutline>
    </w:rPr>
  </w:style>
  <w:style w:type="paragraph" w:styleId="EndnoteText">
    <w:name w:val="endnote text"/>
    <w:basedOn w:val="Normal"/>
    <w:link w:val="EndnoteTextChar"/>
    <w:rsid w:val="00D51253"/>
    <w:rPr>
      <w:sz w:val="20"/>
    </w:rPr>
  </w:style>
  <w:style w:type="character" w:customStyle="1" w:styleId="EndnoteTextChar">
    <w:name w:val="Endnote Text Char"/>
    <w:basedOn w:val="DefaultParagraphFont"/>
    <w:link w:val="EndnoteText"/>
    <w:rsid w:val="00D51253"/>
    <w:rPr>
      <w:lang w:val="et-EE"/>
    </w:rPr>
  </w:style>
  <w:style w:type="character" w:styleId="EndnoteReference">
    <w:name w:val="endnote reference"/>
    <w:basedOn w:val="DefaultParagraphFont"/>
    <w:rsid w:val="00D51253"/>
    <w:rPr>
      <w:vertAlign w:val="superscript"/>
    </w:rPr>
  </w:style>
  <w:style w:type="character" w:styleId="Emphasis">
    <w:name w:val="Emphasis"/>
    <w:basedOn w:val="DefaultParagraphFont"/>
    <w:uiPriority w:val="20"/>
    <w:qFormat/>
    <w:rsid w:val="00D51253"/>
    <w:rPr>
      <w:i/>
      <w:iCs/>
    </w:rPr>
  </w:style>
  <w:style w:type="paragraph" w:customStyle="1" w:styleId="msonormal0">
    <w:name w:val="msonormal"/>
    <w:basedOn w:val="Normal"/>
    <w:rsid w:val="00D51253"/>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D51253"/>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D51253"/>
    <w:rPr>
      <w:rFonts w:eastAsiaTheme="minorHAnsi"/>
      <w:lang w:val="et-EE" w:eastAsia="en-US"/>
    </w:rPr>
  </w:style>
  <w:style w:type="paragraph" w:styleId="Title">
    <w:name w:val="Title"/>
    <w:basedOn w:val="Normal"/>
    <w:next w:val="Normal"/>
    <w:link w:val="TitleChar"/>
    <w:uiPriority w:val="10"/>
    <w:qFormat/>
    <w:rsid w:val="00D51253"/>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D51253"/>
    <w:rPr>
      <w:rFonts w:ascii="Arial" w:eastAsiaTheme="majorEastAsia" w:hAnsi="Arial" w:cs="Arial"/>
      <w:b/>
      <w:bCs/>
      <w:kern w:val="28"/>
      <w:sz w:val="32"/>
      <w:szCs w:val="32"/>
      <w:lang w:val="et-EE" w:eastAsia="en-US"/>
    </w:rPr>
  </w:style>
  <w:style w:type="paragraph" w:styleId="Subtitle">
    <w:name w:val="Subtitle"/>
    <w:basedOn w:val="Normal"/>
    <w:next w:val="Normal"/>
    <w:link w:val="SubtitleChar"/>
    <w:uiPriority w:val="11"/>
    <w:qFormat/>
    <w:rsid w:val="00D5125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D51253"/>
    <w:rPr>
      <w:rFonts w:ascii="Arial" w:eastAsiaTheme="majorEastAsia" w:hAnsi="Arial" w:cs="Arial"/>
      <w:sz w:val="24"/>
      <w:szCs w:val="24"/>
      <w:lang w:val="et-EE" w:eastAsia="en-US"/>
    </w:rPr>
  </w:style>
  <w:style w:type="paragraph" w:styleId="CommentSubject">
    <w:name w:val="annotation subject"/>
    <w:basedOn w:val="CommentText"/>
    <w:next w:val="CommentText"/>
    <w:link w:val="CommentSubjectChar"/>
    <w:uiPriority w:val="99"/>
    <w:unhideWhenUsed/>
    <w:rsid w:val="00D51253"/>
    <w:rPr>
      <w:b/>
      <w:bCs/>
    </w:rPr>
  </w:style>
  <w:style w:type="character" w:customStyle="1" w:styleId="CommentSubjectChar">
    <w:name w:val="Comment Subject Char"/>
    <w:basedOn w:val="CommentTextChar"/>
    <w:link w:val="CommentSubject"/>
    <w:uiPriority w:val="99"/>
    <w:rsid w:val="00D51253"/>
    <w:rPr>
      <w:rFonts w:eastAsiaTheme="minorHAnsi"/>
      <w:b/>
      <w:bCs/>
      <w:lang w:val="et-EE" w:eastAsia="en-US"/>
    </w:rPr>
  </w:style>
  <w:style w:type="paragraph" w:styleId="NoSpacing">
    <w:name w:val="No Spacing"/>
    <w:basedOn w:val="Normal"/>
    <w:uiPriority w:val="1"/>
    <w:qFormat/>
    <w:rsid w:val="00D51253"/>
    <w:pPr>
      <w:widowControl/>
      <w:jc w:val="both"/>
    </w:pPr>
    <w:rPr>
      <w:rFonts w:eastAsiaTheme="minorHAnsi"/>
      <w:szCs w:val="32"/>
      <w:lang w:eastAsia="en-US"/>
    </w:rPr>
  </w:style>
  <w:style w:type="paragraph" w:styleId="ListParagraph">
    <w:name w:val="List Paragraph"/>
    <w:basedOn w:val="Normal"/>
    <w:uiPriority w:val="34"/>
    <w:qFormat/>
    <w:rsid w:val="00D51253"/>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D5125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D51253"/>
    <w:rPr>
      <w:rFonts w:eastAsiaTheme="minorHAnsi"/>
      <w:i/>
      <w:sz w:val="24"/>
      <w:szCs w:val="24"/>
      <w:lang w:val="et-EE" w:eastAsia="en-US"/>
    </w:rPr>
  </w:style>
  <w:style w:type="paragraph" w:styleId="IntenseQuote">
    <w:name w:val="Intense Quote"/>
    <w:basedOn w:val="Normal"/>
    <w:next w:val="Normal"/>
    <w:link w:val="IntenseQuoteChar"/>
    <w:uiPriority w:val="30"/>
    <w:qFormat/>
    <w:rsid w:val="00D5125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D51253"/>
    <w:rPr>
      <w:rFonts w:eastAsiaTheme="minorHAnsi"/>
      <w:b/>
      <w:i/>
      <w:sz w:val="24"/>
      <w:szCs w:val="22"/>
      <w:lang w:val="et-EE" w:eastAsia="en-US"/>
    </w:rPr>
  </w:style>
  <w:style w:type="paragraph" w:customStyle="1" w:styleId="TableTitle">
    <w:name w:val="Table Title"/>
    <w:basedOn w:val="Normal"/>
    <w:uiPriority w:val="99"/>
    <w:rsid w:val="00D51253"/>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D51253"/>
    <w:pPr>
      <w:keepNext/>
      <w:widowControl/>
    </w:pPr>
    <w:rPr>
      <w:rFonts w:eastAsiaTheme="minorEastAsia"/>
      <w:sz w:val="18"/>
      <w:szCs w:val="18"/>
    </w:rPr>
  </w:style>
  <w:style w:type="paragraph" w:customStyle="1" w:styleId="NormalRight">
    <w:name w:val="Normal Right"/>
    <w:basedOn w:val="Normal"/>
    <w:next w:val="Normal"/>
    <w:uiPriority w:val="99"/>
    <w:rsid w:val="00D51253"/>
    <w:pPr>
      <w:widowControl/>
      <w:spacing w:before="120" w:after="120"/>
      <w:jc w:val="right"/>
    </w:pPr>
    <w:rPr>
      <w:rFonts w:eastAsiaTheme="minorEastAsia"/>
      <w:szCs w:val="24"/>
    </w:rPr>
  </w:style>
  <w:style w:type="paragraph" w:customStyle="1" w:styleId="ReusedInfo">
    <w:name w:val="ReusedInfo"/>
    <w:next w:val="Normal"/>
    <w:uiPriority w:val="99"/>
    <w:rsid w:val="00D51253"/>
    <w:pPr>
      <w:shd w:val="clear" w:color="auto" w:fill="C0C0C0"/>
      <w:spacing w:before="60" w:after="60"/>
    </w:pPr>
    <w:rPr>
      <w:rFonts w:eastAsiaTheme="minorEastAsia"/>
      <w:lang w:val="et-EE"/>
    </w:rPr>
  </w:style>
  <w:style w:type="paragraph" w:customStyle="1" w:styleId="Section">
    <w:name w:val="Section"/>
    <w:basedOn w:val="Normal"/>
    <w:next w:val="Normal"/>
    <w:uiPriority w:val="99"/>
    <w:rsid w:val="00D51253"/>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D51253"/>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D51253"/>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D51253"/>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D51253"/>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D51253"/>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D51253"/>
    <w:pPr>
      <w:keepNext/>
      <w:widowControl/>
      <w:spacing w:before="480" w:after="120"/>
    </w:pPr>
    <w:rPr>
      <w:rFonts w:eastAsiaTheme="minorEastAsia"/>
      <w:b/>
      <w:bCs/>
      <w:i/>
      <w:iCs/>
      <w:szCs w:val="24"/>
    </w:rPr>
  </w:style>
  <w:style w:type="paragraph" w:customStyle="1" w:styleId="Item">
    <w:name w:val="Item"/>
    <w:basedOn w:val="Normal"/>
    <w:next w:val="Normal"/>
    <w:uiPriority w:val="99"/>
    <w:rsid w:val="00D51253"/>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D51253"/>
    <w:pPr>
      <w:keepNext/>
      <w:widowControl/>
      <w:spacing w:before="480" w:after="120"/>
    </w:pPr>
    <w:rPr>
      <w:rFonts w:eastAsiaTheme="minorEastAsia"/>
      <w:sz w:val="20"/>
    </w:rPr>
  </w:style>
  <w:style w:type="paragraph" w:customStyle="1" w:styleId="Annex">
    <w:name w:val="Annex"/>
    <w:basedOn w:val="Normal"/>
    <w:next w:val="Normal"/>
    <w:uiPriority w:val="99"/>
    <w:rsid w:val="00D51253"/>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D51253"/>
    <w:pPr>
      <w:widowControl/>
      <w:spacing w:before="120" w:after="120"/>
    </w:pPr>
    <w:rPr>
      <w:rFonts w:eastAsiaTheme="minorEastAsia"/>
      <w:i/>
      <w:iCs/>
      <w:sz w:val="20"/>
    </w:rPr>
  </w:style>
  <w:style w:type="paragraph" w:customStyle="1" w:styleId="Objective">
    <w:name w:val="Objective"/>
    <w:basedOn w:val="Normal"/>
    <w:next w:val="Normal"/>
    <w:uiPriority w:val="99"/>
    <w:rsid w:val="00D51253"/>
    <w:pPr>
      <w:keepNext/>
      <w:widowControl/>
      <w:spacing w:before="120" w:after="120"/>
    </w:pPr>
    <w:rPr>
      <w:rFonts w:eastAsiaTheme="minorEastAsia"/>
      <w:i/>
      <w:iCs/>
      <w:sz w:val="20"/>
    </w:rPr>
  </w:style>
  <w:style w:type="paragraph" w:customStyle="1" w:styleId="Figures">
    <w:name w:val="Figures"/>
    <w:basedOn w:val="Normal"/>
    <w:next w:val="Normal"/>
    <w:uiPriority w:val="99"/>
    <w:rsid w:val="00D51253"/>
    <w:pPr>
      <w:keepNext/>
      <w:widowControl/>
      <w:spacing w:before="120" w:after="120"/>
    </w:pPr>
    <w:rPr>
      <w:rFonts w:eastAsiaTheme="minorEastAsia"/>
      <w:i/>
      <w:iCs/>
      <w:sz w:val="20"/>
    </w:rPr>
  </w:style>
  <w:style w:type="paragraph" w:customStyle="1" w:styleId="Remarks">
    <w:name w:val="Remarks"/>
    <w:basedOn w:val="Normal"/>
    <w:next w:val="Normal"/>
    <w:uiPriority w:val="99"/>
    <w:rsid w:val="00D51253"/>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D51253"/>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D51253"/>
    <w:pPr>
      <w:keepNext/>
      <w:widowControl/>
      <w:spacing w:before="120" w:after="120"/>
    </w:pPr>
    <w:rPr>
      <w:rFonts w:eastAsiaTheme="minorEastAsia"/>
      <w:i/>
      <w:iCs/>
      <w:sz w:val="20"/>
    </w:rPr>
  </w:style>
  <w:style w:type="paragraph" w:customStyle="1" w:styleId="Reference">
    <w:name w:val="Reference"/>
    <w:basedOn w:val="Normal"/>
    <w:next w:val="Normal"/>
    <w:uiPriority w:val="99"/>
    <w:rsid w:val="00D51253"/>
    <w:pPr>
      <w:keepNext/>
      <w:widowControl/>
      <w:spacing w:before="120" w:after="120"/>
    </w:pPr>
    <w:rPr>
      <w:rFonts w:eastAsiaTheme="minorEastAsia"/>
      <w:i/>
      <w:iCs/>
      <w:sz w:val="20"/>
    </w:rPr>
  </w:style>
  <w:style w:type="character" w:styleId="CommentReference">
    <w:name w:val="annotation reference"/>
    <w:basedOn w:val="DefaultParagraphFont"/>
    <w:uiPriority w:val="99"/>
    <w:unhideWhenUsed/>
    <w:rsid w:val="00D51253"/>
    <w:rPr>
      <w:sz w:val="16"/>
      <w:szCs w:val="16"/>
    </w:rPr>
  </w:style>
  <w:style w:type="character" w:styleId="SubtleEmphasis">
    <w:name w:val="Subtle Emphasis"/>
    <w:uiPriority w:val="19"/>
    <w:qFormat/>
    <w:rsid w:val="00D51253"/>
    <w:rPr>
      <w:i/>
      <w:iCs w:val="0"/>
      <w:color w:val="5A5A5A" w:themeColor="text1" w:themeTint="A5"/>
    </w:rPr>
  </w:style>
  <w:style w:type="character" w:styleId="IntenseEmphasis">
    <w:name w:val="Intense Emphasis"/>
    <w:basedOn w:val="DefaultParagraphFont"/>
    <w:uiPriority w:val="21"/>
    <w:qFormat/>
    <w:rsid w:val="00D51253"/>
    <w:rPr>
      <w:b/>
      <w:bCs w:val="0"/>
      <w:i/>
      <w:iCs w:val="0"/>
      <w:sz w:val="24"/>
      <w:szCs w:val="24"/>
      <w:u w:val="single"/>
    </w:rPr>
  </w:style>
  <w:style w:type="character" w:styleId="SubtleReference">
    <w:name w:val="Subtle Reference"/>
    <w:basedOn w:val="DefaultParagraphFont"/>
    <w:uiPriority w:val="31"/>
    <w:qFormat/>
    <w:rsid w:val="00D51253"/>
    <w:rPr>
      <w:sz w:val="24"/>
      <w:szCs w:val="24"/>
      <w:u w:val="single"/>
    </w:rPr>
  </w:style>
  <w:style w:type="character" w:styleId="IntenseReference">
    <w:name w:val="Intense Reference"/>
    <w:basedOn w:val="DefaultParagraphFont"/>
    <w:uiPriority w:val="32"/>
    <w:qFormat/>
    <w:rsid w:val="00D51253"/>
    <w:rPr>
      <w:b/>
      <w:bCs w:val="0"/>
      <w:sz w:val="24"/>
      <w:u w:val="single"/>
    </w:rPr>
  </w:style>
  <w:style w:type="character" w:styleId="BookTitle">
    <w:name w:val="Book Title"/>
    <w:basedOn w:val="DefaultParagraphFont"/>
    <w:uiPriority w:val="33"/>
    <w:qFormat/>
    <w:rsid w:val="00D51253"/>
    <w:rPr>
      <w:rFonts w:asciiTheme="majorHAnsi" w:eastAsiaTheme="majorEastAsia" w:hAnsiTheme="majorHAnsi" w:cs="Calibri Light" w:hint="default"/>
      <w:b/>
      <w:bCs w:val="0"/>
      <w:i/>
      <w:iCs w:val="0"/>
      <w:sz w:val="24"/>
      <w:szCs w:val="24"/>
    </w:rPr>
  </w:style>
  <w:style w:type="character" w:customStyle="1" w:styleId="tw4winExternal">
    <w:name w:val="tw4winExternal"/>
    <w:basedOn w:val="DefaultParagraphFont"/>
    <w:uiPriority w:val="99"/>
    <w:rsid w:val="00D51253"/>
  </w:style>
  <w:style w:type="character" w:customStyle="1" w:styleId="tw4winInternal">
    <w:name w:val="tw4winInternal"/>
    <w:basedOn w:val="DefaultParagraphFont"/>
    <w:uiPriority w:val="99"/>
    <w:rsid w:val="00D51253"/>
    <w:rPr>
      <w:sz w:val="16"/>
      <w:szCs w:val="16"/>
      <w:u w:val="dash"/>
      <w:shd w:val="clear" w:color="auto" w:fill="FFFF00"/>
    </w:rPr>
  </w:style>
  <w:style w:type="character" w:customStyle="1" w:styleId="ReusedInlineInfo">
    <w:name w:val="ReusedInlineInfo"/>
    <w:basedOn w:val="DefaultParagraphFont"/>
    <w:uiPriority w:val="99"/>
    <w:rsid w:val="00D51253"/>
    <w:rPr>
      <w:sz w:val="16"/>
      <w:szCs w:val="16"/>
      <w:u w:val="dash"/>
      <w:shd w:val="clear" w:color="auto" w:fill="FFFF00"/>
    </w:rPr>
  </w:style>
  <w:style w:type="character" w:customStyle="1" w:styleId="Error">
    <w:name w:val="Error"/>
    <w:basedOn w:val="DefaultParagraphFont"/>
    <w:uiPriority w:val="99"/>
    <w:rsid w:val="00D51253"/>
    <w:rPr>
      <w:shd w:val="clear" w:color="auto" w:fill="FF0000"/>
    </w:rPr>
  </w:style>
  <w:style w:type="paragraph" w:customStyle="1" w:styleId="RollCallVotes">
    <w:name w:val="RollCallVotes"/>
    <w:basedOn w:val="Normal"/>
    <w:rsid w:val="00D51253"/>
    <w:pPr>
      <w:spacing w:before="120" w:after="120"/>
      <w:jc w:val="center"/>
    </w:pPr>
    <w:rPr>
      <w:b/>
      <w:bCs/>
      <w:snapToGrid w:val="0"/>
      <w:sz w:val="16"/>
      <w:lang w:eastAsia="en-US"/>
    </w:rPr>
  </w:style>
  <w:style w:type="paragraph" w:customStyle="1" w:styleId="RollCallTabs">
    <w:name w:val="RollCallTabs"/>
    <w:basedOn w:val="Normal"/>
    <w:qFormat/>
    <w:rsid w:val="00D51253"/>
    <w:pPr>
      <w:tabs>
        <w:tab w:val="center" w:pos="284"/>
        <w:tab w:val="left" w:pos="426"/>
      </w:tabs>
    </w:pPr>
    <w:rPr>
      <w:snapToGrid w:val="0"/>
      <w:lang w:eastAsia="en-US"/>
    </w:rPr>
  </w:style>
  <w:style w:type="paragraph" w:customStyle="1" w:styleId="RollCallSymbols14pt">
    <w:name w:val="RollCallSymbols14pt"/>
    <w:basedOn w:val="Normal"/>
    <w:rsid w:val="00D51253"/>
    <w:pPr>
      <w:spacing w:before="120" w:after="120"/>
      <w:jc w:val="center"/>
    </w:pPr>
    <w:rPr>
      <w:rFonts w:ascii="Arial" w:hAnsi="Arial"/>
      <w:b/>
      <w:bCs/>
      <w:snapToGrid w:val="0"/>
      <w:sz w:val="28"/>
      <w:lang w:eastAsia="en-US"/>
    </w:rPr>
  </w:style>
  <w:style w:type="paragraph" w:customStyle="1" w:styleId="RollCallTable">
    <w:name w:val="RollCallTable"/>
    <w:basedOn w:val="Normal"/>
    <w:rsid w:val="00D51253"/>
    <w:pPr>
      <w:spacing w:before="120" w:after="120"/>
    </w:pPr>
    <w:rPr>
      <w:snapToGrid w:val="0"/>
      <w:sz w:val="16"/>
      <w:lang w:eastAsia="en-US"/>
    </w:rPr>
  </w:style>
  <w:style w:type="paragraph" w:customStyle="1" w:styleId="Normal24a">
    <w:name w:val="Normal24a"/>
    <w:basedOn w:val="Normal"/>
    <w:rsid w:val="00D51253"/>
    <w:pPr>
      <w:spacing w:after="480"/>
    </w:pPr>
  </w:style>
  <w:style w:type="paragraph" w:customStyle="1" w:styleId="NormalBoldCenter">
    <w:name w:val="NormalBoldCenter"/>
    <w:basedOn w:val="Normal"/>
    <w:rsid w:val="00D51253"/>
    <w:pPr>
      <w:jc w:val="center"/>
    </w:pPr>
    <w:rPr>
      <w:b/>
    </w:rPr>
  </w:style>
  <w:style w:type="character" w:styleId="Hyperlink">
    <w:name w:val="Hyperlink"/>
    <w:basedOn w:val="DefaultParagraphFont"/>
    <w:rsid w:val="002714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local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0F804-9F00-472F-9B70-E07ECA34B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2362</Words>
  <Characters>17575</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2024-04-25T12:31:00Z</dcterms:created>
  <dcterms:modified xsi:type="dcterms:W3CDTF">2024-04-25T12:31:00Z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A9-0180/2024</vt:lpwstr>
  </property>
  <property fmtid="{D5CDD505-2E9C-101B-9397-08002B2CF9AE}" pid="4" name="&lt;Type&gt;">
    <vt:lpwstr>RR</vt:lpwstr>
  </property>
</Properties>
</file>