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26BA" w14:paraId="0A9C612D" w14:textId="77777777" w:rsidTr="0010095E">
        <w:trPr>
          <w:trHeight w:hRule="exact" w:val="1418"/>
        </w:trPr>
        <w:tc>
          <w:tcPr>
            <w:tcW w:w="6804" w:type="dxa"/>
            <w:shd w:val="clear" w:color="auto" w:fill="auto"/>
            <w:vAlign w:val="center"/>
          </w:tcPr>
          <w:p w14:paraId="68017130" w14:textId="77777777" w:rsidR="00751A4A" w:rsidRPr="006126BA" w:rsidRDefault="00003393" w:rsidP="0010095E">
            <w:pPr>
              <w:pStyle w:val="EPName"/>
            </w:pPr>
            <w:r w:rsidRPr="006126BA">
              <w:t>Euroopan parlamentti</w:t>
            </w:r>
          </w:p>
          <w:p w14:paraId="1A60264A" w14:textId="77777777" w:rsidR="00751A4A" w:rsidRPr="006126BA" w:rsidRDefault="00817416" w:rsidP="00756632">
            <w:pPr>
              <w:pStyle w:val="EPTerm"/>
              <w:rPr>
                <w:rStyle w:val="HideTWBExt"/>
                <w:noProof w:val="0"/>
                <w:vanish w:val="0"/>
                <w:color w:val="auto"/>
              </w:rPr>
            </w:pPr>
            <w:r w:rsidRPr="006126BA">
              <w:t>2019-2024</w:t>
            </w:r>
          </w:p>
        </w:tc>
        <w:tc>
          <w:tcPr>
            <w:tcW w:w="2268" w:type="dxa"/>
            <w:shd w:val="clear" w:color="auto" w:fill="auto"/>
          </w:tcPr>
          <w:p w14:paraId="75A9B547" w14:textId="77777777" w:rsidR="00751A4A" w:rsidRPr="006126BA" w:rsidRDefault="00187494" w:rsidP="0010095E">
            <w:pPr>
              <w:pStyle w:val="EPLogo"/>
            </w:pPr>
            <w:r w:rsidRPr="006126BA">
              <w:rPr>
                <w:noProof/>
                <w:lang w:val="en-GB"/>
              </w:rPr>
              <w:drawing>
                <wp:inline distT="0" distB="0" distL="0" distR="0" wp14:anchorId="0EDF1495" wp14:editId="1F2549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48C2E8" w14:textId="77777777" w:rsidR="00D058B8" w:rsidRPr="006126BA" w:rsidRDefault="00D058B8" w:rsidP="004C5D52">
      <w:pPr>
        <w:pStyle w:val="LineTop"/>
      </w:pPr>
    </w:p>
    <w:p w14:paraId="7E6A03A9" w14:textId="77777777" w:rsidR="00680577" w:rsidRPr="006126BA" w:rsidRDefault="00003393" w:rsidP="00680577">
      <w:pPr>
        <w:pStyle w:val="EPBodyTA1"/>
      </w:pPr>
      <w:r w:rsidRPr="006126BA">
        <w:t>HYVÄKSYTYT TEKSTIT</w:t>
      </w:r>
    </w:p>
    <w:p w14:paraId="441B723D" w14:textId="77777777" w:rsidR="00D058B8" w:rsidRPr="006126BA" w:rsidRDefault="00D058B8" w:rsidP="00D058B8">
      <w:pPr>
        <w:pStyle w:val="LineBottom"/>
      </w:pPr>
    </w:p>
    <w:p w14:paraId="6BFA7423" w14:textId="39656404" w:rsidR="00003393" w:rsidRPr="006126BA" w:rsidRDefault="00003393" w:rsidP="00003393">
      <w:pPr>
        <w:pStyle w:val="ATHeading1"/>
      </w:pPr>
      <w:bookmarkStart w:id="0" w:name="TANumber"/>
      <w:r w:rsidRPr="006126BA">
        <w:t>P9_TA(2024)0</w:t>
      </w:r>
      <w:bookmarkEnd w:id="0"/>
      <w:r w:rsidR="006126BA">
        <w:t>373</w:t>
      </w:r>
    </w:p>
    <w:p w14:paraId="024644BA" w14:textId="1F276E7C" w:rsidR="00003393" w:rsidRPr="006126BA" w:rsidRDefault="008028A5" w:rsidP="000E33E8">
      <w:pPr>
        <w:pStyle w:val="ATHeading2"/>
      </w:pPr>
      <w:bookmarkStart w:id="1" w:name="title"/>
      <w:r w:rsidRPr="006126BA">
        <w:rPr>
          <w:bCs/>
        </w:rPr>
        <w:t>Ennakkoarvio tuloista ja menoista varai</w:t>
      </w:r>
      <w:r w:rsidR="000E33E8">
        <w:rPr>
          <w:bCs/>
        </w:rPr>
        <w:t>nhoitovuodeksi 2025 – Pääluokka </w:t>
      </w:r>
      <w:r w:rsidRPr="006126BA">
        <w:rPr>
          <w:bCs/>
        </w:rPr>
        <w:t>I – Euroopan parlamentti</w:t>
      </w:r>
      <w:bookmarkEnd w:id="1"/>
    </w:p>
    <w:p w14:paraId="5CC73729" w14:textId="77777777" w:rsidR="00003393" w:rsidRPr="006126BA" w:rsidRDefault="00003393" w:rsidP="00003393">
      <w:pPr>
        <w:rPr>
          <w:i/>
          <w:vanish/>
        </w:rPr>
      </w:pPr>
      <w:r w:rsidRPr="006126BA">
        <w:rPr>
          <w:i/>
        </w:rPr>
        <w:fldChar w:fldCharType="begin"/>
      </w:r>
      <w:r w:rsidRPr="006126BA">
        <w:rPr>
          <w:i/>
        </w:rPr>
        <w:instrText xml:space="preserve"> TC"(</w:instrText>
      </w:r>
      <w:bookmarkStart w:id="2" w:name="DocNumber"/>
      <w:r w:rsidRPr="006126BA">
        <w:rPr>
          <w:i/>
        </w:rPr>
        <w:instrText>A9-0180/2024</w:instrText>
      </w:r>
      <w:bookmarkEnd w:id="2"/>
      <w:r w:rsidRPr="006126BA">
        <w:rPr>
          <w:i/>
        </w:rPr>
        <w:instrText xml:space="preserve"> - Esittelijä: Anna</w:instrText>
      </w:r>
      <w:r w:rsidRPr="006126BA">
        <w:rPr>
          <w:i/>
        </w:rPr>
        <w:noBreakHyphen/>
        <w:instrText xml:space="preserve">Michelle Asimakopoulou)"\l3 \n&gt; \* MERGEFORMAT </w:instrText>
      </w:r>
      <w:r w:rsidRPr="006126BA">
        <w:rPr>
          <w:i/>
        </w:rPr>
        <w:fldChar w:fldCharType="end"/>
      </w:r>
    </w:p>
    <w:p w14:paraId="619C0473" w14:textId="77777777" w:rsidR="00003393" w:rsidRPr="006126BA" w:rsidRDefault="00003393" w:rsidP="00003393">
      <w:pPr>
        <w:rPr>
          <w:vanish/>
        </w:rPr>
      </w:pPr>
      <w:bookmarkStart w:id="3" w:name="Commission"/>
      <w:r w:rsidRPr="006126BA">
        <w:rPr>
          <w:vanish/>
        </w:rPr>
        <w:t>Budjettivaliokunta</w:t>
      </w:r>
      <w:bookmarkEnd w:id="3"/>
    </w:p>
    <w:p w14:paraId="3963977B" w14:textId="77777777" w:rsidR="00003393" w:rsidRPr="006126BA" w:rsidRDefault="00003393" w:rsidP="00003393">
      <w:pPr>
        <w:rPr>
          <w:vanish/>
        </w:rPr>
      </w:pPr>
      <w:bookmarkStart w:id="4" w:name="PE"/>
      <w:r w:rsidRPr="006126BA">
        <w:rPr>
          <w:vanish/>
        </w:rPr>
        <w:t>PE759.633</w:t>
      </w:r>
      <w:bookmarkEnd w:id="4"/>
    </w:p>
    <w:p w14:paraId="3CB70C25" w14:textId="77777777" w:rsidR="00003393" w:rsidRPr="006126BA" w:rsidRDefault="00003393" w:rsidP="00003393">
      <w:pPr>
        <w:pStyle w:val="ATHeading3"/>
      </w:pPr>
      <w:bookmarkStart w:id="5" w:name="Sujet"/>
      <w:r w:rsidRPr="006126BA">
        <w:t>Euroopan parlamentin päätöslauselma 25. huhtikuuta 2024 Euroopan parlamentin ennakkoarviosta tuloista ja menoista varainhoitovuodeksi 2025</w:t>
      </w:r>
      <w:bookmarkEnd w:id="5"/>
      <w:r w:rsidRPr="006126BA">
        <w:t xml:space="preserve"> </w:t>
      </w:r>
      <w:bookmarkStart w:id="6" w:name="References"/>
      <w:r w:rsidRPr="006126BA">
        <w:t>(2023/2221(BUI))</w:t>
      </w:r>
      <w:bookmarkEnd w:id="6"/>
    </w:p>
    <w:p w14:paraId="5559C5B3" w14:textId="77777777" w:rsidR="00B0571D" w:rsidRPr="006126BA" w:rsidRDefault="00B0571D" w:rsidP="008028A5">
      <w:pPr>
        <w:pStyle w:val="EPComma"/>
        <w:widowControl/>
        <w:rPr>
          <w:szCs w:val="24"/>
        </w:rPr>
      </w:pPr>
      <w:bookmarkStart w:id="7" w:name="TextBodyBegin"/>
      <w:bookmarkEnd w:id="7"/>
      <w:r w:rsidRPr="006126BA">
        <w:rPr>
          <w:i/>
        </w:rPr>
        <w:t>Euroopan parlamentti</w:t>
      </w:r>
      <w:r w:rsidRPr="006126BA">
        <w:t>, joka</w:t>
      </w:r>
    </w:p>
    <w:p w14:paraId="70025132" w14:textId="77777777" w:rsidR="00B0571D" w:rsidRPr="006126BA" w:rsidRDefault="00B0571D" w:rsidP="008028A5">
      <w:pPr>
        <w:pStyle w:val="NormalHanging12a"/>
        <w:widowControl/>
        <w:rPr>
          <w:szCs w:val="24"/>
        </w:rPr>
      </w:pPr>
      <w:r w:rsidRPr="006126BA">
        <w:t>–</w:t>
      </w:r>
      <w:r w:rsidRPr="006126BA">
        <w:tab/>
        <w:t>ottaa huomioon Euroopan unionin toiminnasta tehdyn sopimuksen 314 artiklan,</w:t>
      </w:r>
    </w:p>
    <w:p w14:paraId="23F1DDF5" w14:textId="77777777" w:rsidR="00B0571D" w:rsidRPr="006126BA" w:rsidRDefault="00B0571D" w:rsidP="008028A5">
      <w:pPr>
        <w:pStyle w:val="NormalHanging12a"/>
        <w:widowControl/>
        <w:rPr>
          <w:szCs w:val="24"/>
        </w:rPr>
      </w:pPr>
      <w:r w:rsidRPr="006126BA">
        <w:t>–</w:t>
      </w:r>
      <w:r w:rsidRPr="006126BA">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w:t>
      </w:r>
      <w:bookmarkStart w:id="8" w:name="_GoBack"/>
      <w:bookmarkEnd w:id="8"/>
      <w:r w:rsidRPr="006126BA">
        <w:t>ksen (EU, Euratom) 2018/1046</w:t>
      </w:r>
      <w:r w:rsidRPr="006126BA">
        <w:rPr>
          <w:rStyle w:val="FootnoteReference"/>
          <w:szCs w:val="24"/>
        </w:rPr>
        <w:footnoteReference w:id="1"/>
      </w:r>
      <w:r w:rsidRPr="006126BA">
        <w:t>,</w:t>
      </w:r>
    </w:p>
    <w:p w14:paraId="10DCBDF9" w14:textId="77777777" w:rsidR="00B0571D" w:rsidRPr="006126BA" w:rsidRDefault="00B0571D" w:rsidP="008028A5">
      <w:pPr>
        <w:pStyle w:val="NormalHanging12a"/>
        <w:widowControl/>
        <w:rPr>
          <w:szCs w:val="24"/>
        </w:rPr>
      </w:pPr>
      <w:r w:rsidRPr="006126BA">
        <w:t>–</w:t>
      </w:r>
      <w:r w:rsidRPr="006126BA">
        <w:tab/>
        <w:t>ottaa huomioon vuosia 2021–2027 koskevan monivuotisen rahoituskehyksen vahvistamisesta 17. joulukuuta 2020 annetun neuvoston asetuksen (EU, Euratom) 2020/2093</w:t>
      </w:r>
      <w:r w:rsidRPr="006126BA">
        <w:rPr>
          <w:szCs w:val="24"/>
          <w:vertAlign w:val="superscript"/>
        </w:rPr>
        <w:footnoteReference w:id="2"/>
      </w:r>
      <w:r w:rsidRPr="006126BA">
        <w:t>, parlamentin, neuvoston ja komission tässä yhteydessä hyväksymät yhteiset julistukset</w:t>
      </w:r>
      <w:r w:rsidRPr="006126BA">
        <w:rPr>
          <w:szCs w:val="24"/>
          <w:vertAlign w:val="superscript"/>
        </w:rPr>
        <w:footnoteReference w:id="3"/>
      </w:r>
      <w:r w:rsidRPr="006126BA">
        <w:t xml:space="preserve"> ja asiaan liittyvät yksipuoliset julistukset</w:t>
      </w:r>
      <w:r w:rsidRPr="006126BA">
        <w:rPr>
          <w:szCs w:val="24"/>
          <w:vertAlign w:val="superscript"/>
        </w:rPr>
        <w:footnoteReference w:id="4"/>
      </w:r>
      <w:r w:rsidRPr="006126BA">
        <w:t xml:space="preserve">, </w:t>
      </w:r>
    </w:p>
    <w:p w14:paraId="7F70B53F" w14:textId="77777777" w:rsidR="00B0571D" w:rsidRPr="006126BA" w:rsidRDefault="00B0571D" w:rsidP="008028A5">
      <w:pPr>
        <w:pStyle w:val="NormalHanging12a"/>
        <w:widowControl/>
        <w:rPr>
          <w:szCs w:val="24"/>
        </w:rPr>
      </w:pPr>
      <w:r w:rsidRPr="006126BA">
        <w:t>–</w:t>
      </w:r>
      <w:r w:rsidRPr="006126BA">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6126BA">
        <w:rPr>
          <w:rStyle w:val="FootnoteReference"/>
          <w:szCs w:val="24"/>
        </w:rPr>
        <w:footnoteReference w:id="5"/>
      </w:r>
      <w:r w:rsidRPr="006126BA">
        <w:t>,</w:t>
      </w:r>
    </w:p>
    <w:p w14:paraId="21E63025" w14:textId="03D0F3BE" w:rsidR="00B0571D" w:rsidRPr="006126BA" w:rsidRDefault="00B0571D" w:rsidP="008028A5">
      <w:pPr>
        <w:pStyle w:val="NormalHanging12a"/>
        <w:widowControl/>
        <w:rPr>
          <w:szCs w:val="24"/>
        </w:rPr>
      </w:pPr>
      <w:r w:rsidRPr="006126BA">
        <w:lastRenderedPageBreak/>
        <w:t>–</w:t>
      </w:r>
      <w:r w:rsidRPr="006126BA">
        <w:tab/>
        <w:t>ottaa huomioon ehdotuksesta monivuotisen rahoituskehyksen 2021–2027 väliarvioinnista</w:t>
      </w:r>
      <w:r w:rsidR="00901A5C" w:rsidRPr="006126BA">
        <w:t xml:space="preserve"> 3. lokakuuta 2023 antamansa väliaikaisen mietinnön</w:t>
      </w:r>
      <w:r w:rsidRPr="006126BA">
        <w:rPr>
          <w:szCs w:val="24"/>
          <w:vertAlign w:val="superscript"/>
        </w:rPr>
        <w:footnoteReference w:id="6"/>
      </w:r>
      <w:r w:rsidRPr="006126BA">
        <w:t>,</w:t>
      </w:r>
    </w:p>
    <w:p w14:paraId="16D1B178" w14:textId="77777777" w:rsidR="00B0571D" w:rsidRPr="006126BA" w:rsidRDefault="00B0571D" w:rsidP="008028A5">
      <w:pPr>
        <w:pStyle w:val="NormalHanging12a"/>
        <w:widowControl/>
        <w:rPr>
          <w:szCs w:val="24"/>
        </w:rPr>
      </w:pPr>
      <w:r w:rsidRPr="006126BA">
        <w:t>–</w:t>
      </w:r>
      <w:r w:rsidRPr="006126BA">
        <w:tab/>
        <w:t>ottaa huomioon 15. joulukuuta 2022 antamansa päätöslauselman monivuotisen rahoituskehyksen 2021–2027 vahvistamisesta: uusiin haasteisiin soveltuva sopeutumiskykyinen EU:n talousarvio</w:t>
      </w:r>
      <w:r w:rsidRPr="006126BA">
        <w:rPr>
          <w:szCs w:val="24"/>
          <w:vertAlign w:val="superscript"/>
        </w:rPr>
        <w:footnoteReference w:id="7"/>
      </w:r>
      <w:r w:rsidRPr="006126BA">
        <w:t xml:space="preserve">, </w:t>
      </w:r>
    </w:p>
    <w:p w14:paraId="0591FAA6" w14:textId="77777777" w:rsidR="00B0571D" w:rsidRPr="006126BA" w:rsidRDefault="00B0571D" w:rsidP="008028A5">
      <w:pPr>
        <w:pStyle w:val="NormalHanging12a"/>
        <w:widowControl/>
        <w:rPr>
          <w:szCs w:val="24"/>
        </w:rPr>
      </w:pPr>
      <w:r w:rsidRPr="006126BA">
        <w:t>–</w:t>
      </w:r>
      <w:r w:rsidRPr="006126BA">
        <w:tab/>
        <w:t>ottaa huomioon vuosia 2021–2027 koskevan monivuotisen rahoituskehyksen vahvistamisesta annetun asetuksen (EU, Euratom) 2020/2093 muuttamisesta 29. helmikuuta 2024 annetun neuvoston asetuksen (EU, Euratom) 2024/765</w:t>
      </w:r>
      <w:r w:rsidRPr="006126BA">
        <w:rPr>
          <w:rStyle w:val="FootnoteReference"/>
          <w:szCs w:val="24"/>
        </w:rPr>
        <w:footnoteReference w:id="8"/>
      </w:r>
      <w:r w:rsidRPr="006126BA">
        <w:t xml:space="preserve"> (monivuotisen rahoituskehyksen tarkistus),</w:t>
      </w:r>
    </w:p>
    <w:p w14:paraId="4C4972AB" w14:textId="77777777" w:rsidR="00B0571D" w:rsidRPr="006126BA" w:rsidRDefault="00B0571D" w:rsidP="008028A5">
      <w:pPr>
        <w:pStyle w:val="NormalHanging12a"/>
        <w:widowControl/>
        <w:rPr>
          <w:szCs w:val="24"/>
        </w:rPr>
      </w:pPr>
      <w:r w:rsidRPr="006126BA">
        <w:t>–</w:t>
      </w:r>
      <w:r w:rsidRPr="006126BA">
        <w:tab/>
        <w:t>ottaa huomioon 16. toukokuuta 2022 annetun komission ehdotuksen Euroopan parlamentin ja neuvoston asetukseksi unionin yleiseen talousarvioon sovellettavista varainhoitosäännöistä</w:t>
      </w:r>
      <w:r w:rsidRPr="006126BA">
        <w:rPr>
          <w:rStyle w:val="FootnoteReference"/>
          <w:szCs w:val="24"/>
        </w:rPr>
        <w:footnoteReference w:id="9"/>
      </w:r>
      <w:r w:rsidRPr="006126BA">
        <w:t>,</w:t>
      </w:r>
    </w:p>
    <w:p w14:paraId="38C0E516" w14:textId="77777777" w:rsidR="00B0571D" w:rsidRPr="006126BA" w:rsidRDefault="00B0571D" w:rsidP="008028A5">
      <w:pPr>
        <w:pStyle w:val="NormalHanging12a"/>
        <w:widowControl/>
        <w:rPr>
          <w:szCs w:val="24"/>
        </w:rPr>
      </w:pPr>
      <w:r w:rsidRPr="006126BA">
        <w:t>–</w:t>
      </w:r>
      <w:r w:rsidRPr="006126BA">
        <w:tab/>
        <w:t>ottaa huomioon Euroopan unionin virkamiehiin sovellettavien henkilöstösääntöjen ja unionin muuhun henkilöstöön sovellettavien palvelussuhteen ehtojen muuttamisesta 22. lokakuuta 2013 annetun Euroopan parlamentin ja neuvoston asetuksen (EU, Euratom) N:o 1023/2013</w:t>
      </w:r>
      <w:r w:rsidRPr="006126BA">
        <w:rPr>
          <w:rStyle w:val="FootnoteReference"/>
          <w:szCs w:val="24"/>
        </w:rPr>
        <w:footnoteReference w:id="10"/>
      </w:r>
      <w:r w:rsidRPr="006126BA">
        <w:t xml:space="preserve">, </w:t>
      </w:r>
    </w:p>
    <w:p w14:paraId="5B214419" w14:textId="77777777" w:rsidR="00B0571D" w:rsidRPr="006126BA" w:rsidRDefault="00B0571D" w:rsidP="008028A5">
      <w:pPr>
        <w:pStyle w:val="NormalHanging12a"/>
        <w:widowControl/>
        <w:rPr>
          <w:szCs w:val="24"/>
        </w:rPr>
      </w:pPr>
      <w:r w:rsidRPr="006126BA">
        <w:t>–</w:t>
      </w:r>
      <w:r w:rsidRPr="006126BA">
        <w:tab/>
        <w:t>ottaa huomioon 20. huhtikuuta 2023 antamansa päätöslauselman Euroopan parlamentin ennakkoarviosta tuloista ja menoista varainhoitovuodeksi 2024</w:t>
      </w:r>
      <w:r w:rsidRPr="006126BA">
        <w:rPr>
          <w:rStyle w:val="FootnoteReference"/>
          <w:szCs w:val="24"/>
        </w:rPr>
        <w:footnoteReference w:id="11"/>
      </w:r>
      <w:r w:rsidRPr="006126BA">
        <w:t xml:space="preserve">, </w:t>
      </w:r>
    </w:p>
    <w:p w14:paraId="263E5B62" w14:textId="77777777" w:rsidR="00B0571D" w:rsidRPr="006126BA" w:rsidRDefault="00B0571D" w:rsidP="008028A5">
      <w:pPr>
        <w:pStyle w:val="NormalHanging12a"/>
        <w:widowControl/>
        <w:rPr>
          <w:szCs w:val="24"/>
        </w:rPr>
      </w:pPr>
      <w:r w:rsidRPr="006126BA">
        <w:t>–</w:t>
      </w:r>
      <w:r w:rsidRPr="006126BA">
        <w:tab/>
        <w:t>ottaa huomioon 18. lokakuuta 2023 antamansa päätöslauselman neuvoston kannasta esitykseen Euroopan unionin yleiseksi talousarvioksi varainhoitovuodeksi 2024</w:t>
      </w:r>
      <w:r w:rsidRPr="006126BA">
        <w:rPr>
          <w:rStyle w:val="FootnoteReference"/>
          <w:szCs w:val="24"/>
        </w:rPr>
        <w:footnoteReference w:id="12"/>
      </w:r>
      <w:r w:rsidRPr="006126BA">
        <w:t xml:space="preserve">, </w:t>
      </w:r>
    </w:p>
    <w:p w14:paraId="41449272" w14:textId="77777777" w:rsidR="00B0571D" w:rsidRPr="006126BA" w:rsidRDefault="00B0571D" w:rsidP="008028A5">
      <w:pPr>
        <w:pStyle w:val="NormalHanging12a"/>
        <w:widowControl/>
        <w:rPr>
          <w:szCs w:val="24"/>
        </w:rPr>
      </w:pPr>
      <w:r w:rsidRPr="006126BA">
        <w:t>–</w:t>
      </w:r>
      <w:r w:rsidRPr="006126BA">
        <w:tab/>
        <w:t>ottaa huomioon Euroopan unionin yleisen talousarvion varainhoitovuodeksi 2024</w:t>
      </w:r>
      <w:r w:rsidRPr="006126BA">
        <w:rPr>
          <w:rStyle w:val="FootnoteReference"/>
          <w:szCs w:val="24"/>
        </w:rPr>
        <w:footnoteReference w:id="13"/>
      </w:r>
      <w:r w:rsidRPr="006126BA">
        <w:t xml:space="preserve"> sekä siihen liittyvät parlamentin, neuvoston ja komission yhteiset lausumat, </w:t>
      </w:r>
    </w:p>
    <w:p w14:paraId="7EB30311" w14:textId="77777777" w:rsidR="00B0571D" w:rsidRPr="006126BA" w:rsidRDefault="00B0571D" w:rsidP="008028A5">
      <w:pPr>
        <w:pStyle w:val="NormalHanging12a"/>
        <w:widowControl/>
        <w:rPr>
          <w:szCs w:val="24"/>
        </w:rPr>
      </w:pPr>
      <w:r w:rsidRPr="006126BA">
        <w:t>–</w:t>
      </w:r>
      <w:r w:rsidRPr="006126BA">
        <w:tab/>
        <w:t>ottaa huomioon pääsihteerin raportin puhemiehistölle parlamentin alustavasta ennakkoarvioesityksestä varainhoitovuodeksi 2025,</w:t>
      </w:r>
    </w:p>
    <w:p w14:paraId="34899358" w14:textId="77777777" w:rsidR="00B0571D" w:rsidRPr="006126BA" w:rsidRDefault="00B0571D" w:rsidP="008028A5">
      <w:pPr>
        <w:pStyle w:val="NormalHanging12a"/>
        <w:widowControl/>
        <w:rPr>
          <w:szCs w:val="24"/>
        </w:rPr>
      </w:pPr>
      <w:r w:rsidRPr="006126BA">
        <w:t>–</w:t>
      </w:r>
      <w:r w:rsidRPr="006126BA">
        <w:tab/>
        <w:t>ottaa huomioon puhemiehistön 11. maaliskuuta 2024 työjärjestyksen 25 artiklan 7 kohdan ja 102 artiklan 1 kohdan mukaisesti laatiman alustavan ennakkoarvioesityksen,</w:t>
      </w:r>
    </w:p>
    <w:p w14:paraId="1CE66DAA" w14:textId="77777777" w:rsidR="00B0571D" w:rsidRPr="006126BA" w:rsidRDefault="00B0571D" w:rsidP="008028A5">
      <w:pPr>
        <w:pStyle w:val="NormalHanging12a"/>
        <w:widowControl/>
        <w:rPr>
          <w:szCs w:val="24"/>
        </w:rPr>
      </w:pPr>
      <w:r w:rsidRPr="006126BA">
        <w:t>–</w:t>
      </w:r>
      <w:r w:rsidRPr="006126BA">
        <w:tab/>
        <w:t>ottaa huomioon budjettivaliokunnan työjärjestyksen 102 artiklan 2 kohdan mukaisesti laatiman ennakkoarvioesityksen,</w:t>
      </w:r>
    </w:p>
    <w:p w14:paraId="4F09CC4D" w14:textId="77777777" w:rsidR="00B0571D" w:rsidRPr="006126BA" w:rsidRDefault="00B0571D" w:rsidP="008028A5">
      <w:pPr>
        <w:pStyle w:val="NormalHanging12a"/>
        <w:widowControl/>
        <w:rPr>
          <w:szCs w:val="24"/>
        </w:rPr>
      </w:pPr>
      <w:r w:rsidRPr="006126BA">
        <w:t>–</w:t>
      </w:r>
      <w:r w:rsidRPr="006126BA">
        <w:tab/>
        <w:t>ottaa huomioon työjärjestyksen 102 artiklan,</w:t>
      </w:r>
    </w:p>
    <w:p w14:paraId="45EF92FE" w14:textId="77777777" w:rsidR="00B0571D" w:rsidRPr="006126BA" w:rsidRDefault="00B0571D" w:rsidP="008028A5">
      <w:pPr>
        <w:pStyle w:val="NormalHanging12a"/>
        <w:widowControl/>
        <w:rPr>
          <w:szCs w:val="24"/>
        </w:rPr>
      </w:pPr>
      <w:r w:rsidRPr="006126BA">
        <w:t>–</w:t>
      </w:r>
      <w:r w:rsidRPr="006126BA">
        <w:tab/>
        <w:t>ottaa huomioon budjettivaliokunnan mietinnön (A9-0180/2024),</w:t>
      </w:r>
    </w:p>
    <w:p w14:paraId="12E6FF21" w14:textId="77777777" w:rsidR="00B0571D" w:rsidRPr="006126BA" w:rsidRDefault="00B0571D" w:rsidP="008028A5">
      <w:pPr>
        <w:pStyle w:val="Action"/>
        <w:widowControl/>
        <w:tabs>
          <w:tab w:val="clear" w:pos="357"/>
        </w:tabs>
        <w:spacing w:after="200"/>
        <w:ind w:left="567" w:hanging="567"/>
        <w:outlineLvl w:val="0"/>
        <w:rPr>
          <w:szCs w:val="24"/>
        </w:rPr>
      </w:pPr>
      <w:r w:rsidRPr="006126BA">
        <w:lastRenderedPageBreak/>
        <w:t>A.</w:t>
      </w:r>
      <w:r w:rsidRPr="006126BA">
        <w:tab/>
        <w:t xml:space="preserve">ottaa huomioon, että pääsihteerin 26. helmikuuta 2024 parlamentin alustavaa ennakkoarvioesitystä vuodeksi 2025 varten ehdottama talousarvio on 2 507 233 329 euroa, mikä merkitsee 5,21 prosentin eli 124 132 017 euron lisäystä vuoden 2024 talousarvioon verrattuna; </w:t>
      </w:r>
    </w:p>
    <w:p w14:paraId="42D65B32" w14:textId="77777777" w:rsidR="00B0571D" w:rsidRPr="006126BA" w:rsidRDefault="00B0571D" w:rsidP="008028A5">
      <w:pPr>
        <w:pStyle w:val="Action"/>
        <w:widowControl/>
        <w:tabs>
          <w:tab w:val="clear" w:pos="357"/>
        </w:tabs>
        <w:spacing w:after="200"/>
        <w:ind w:left="567" w:hanging="567"/>
        <w:outlineLvl w:val="0"/>
        <w:rPr>
          <w:szCs w:val="24"/>
        </w:rPr>
      </w:pPr>
      <w:r w:rsidRPr="006126BA">
        <w:t>B.</w:t>
      </w:r>
      <w:r w:rsidRPr="006126BA">
        <w:tab/>
        <w:t>ottaa huomioon, että komission talven 2024 (väli)ennusteen mukaan EU:n inflaatioasteen odotetaan olevan 3 prosenttia vuonna 2024 ja 2,5 prosenttia vuonna 2025; ottaa huomioon, että vuosien 2021–2027 monivuotisen rahoituskehyksen otsakkeen 7 menotaso perustuu 2 prosentin vuotuiseen lisäykseen;</w:t>
      </w:r>
    </w:p>
    <w:p w14:paraId="34756E92" w14:textId="77777777" w:rsidR="00B0571D" w:rsidRPr="006126BA" w:rsidRDefault="00B0571D" w:rsidP="008028A5">
      <w:pPr>
        <w:pStyle w:val="Action"/>
        <w:widowControl/>
        <w:tabs>
          <w:tab w:val="clear" w:pos="357"/>
        </w:tabs>
        <w:spacing w:after="200"/>
        <w:ind w:left="567" w:hanging="567"/>
        <w:outlineLvl w:val="0"/>
        <w:rPr>
          <w:szCs w:val="24"/>
        </w:rPr>
      </w:pPr>
      <w:r w:rsidRPr="006126BA">
        <w:t>C.</w:t>
      </w:r>
      <w:r w:rsidRPr="006126BA">
        <w:tab/>
        <w:t xml:space="preserve">ottaa huomioon, että parlamentin uskottavuus riippuu sen kyvystä suoriutua mahdollisimman hyvin keskeisestä talousarvio-, lainsäädäntö- ja valvontatyöstänsä ja näyttää samalla muille unionin toimielimille esimerkkiä menojen huolellisessa ja tehokkaassa suunnittelussa ja toteutuksessa sekä vallitsevien talouden realiteettien huomioon ottamisessa; </w:t>
      </w:r>
    </w:p>
    <w:p w14:paraId="181FB5FA" w14:textId="77777777" w:rsidR="00B0571D" w:rsidRPr="006126BA" w:rsidRDefault="00B0571D" w:rsidP="008028A5">
      <w:pPr>
        <w:pStyle w:val="Action"/>
        <w:widowControl/>
        <w:tabs>
          <w:tab w:val="clear" w:pos="357"/>
        </w:tabs>
        <w:spacing w:after="200"/>
        <w:ind w:left="567" w:hanging="567"/>
        <w:outlineLvl w:val="0"/>
        <w:rPr>
          <w:szCs w:val="24"/>
        </w:rPr>
      </w:pPr>
      <w:r w:rsidRPr="006126BA">
        <w:t>D.</w:t>
      </w:r>
      <w:r w:rsidRPr="006126BA">
        <w:tab/>
        <w:t>toteaa, että vuosi 2025 on vaalien jälkeen ensimmäinen kokonainen toimintavuosi, jolloin keskeisten poliittisten toimintojen sekä tukitoimintojen tahti palautuu ennalleen;</w:t>
      </w:r>
    </w:p>
    <w:p w14:paraId="1394F09E" w14:textId="6F656F96" w:rsidR="00B0571D" w:rsidRPr="006126BA" w:rsidRDefault="006126BA" w:rsidP="008028A5">
      <w:pPr>
        <w:pStyle w:val="Action"/>
        <w:widowControl/>
        <w:tabs>
          <w:tab w:val="clear" w:pos="357"/>
        </w:tabs>
        <w:spacing w:after="200"/>
        <w:ind w:left="567" w:hanging="567"/>
        <w:outlineLvl w:val="0"/>
        <w:rPr>
          <w:szCs w:val="24"/>
        </w:rPr>
      </w:pPr>
      <w:r>
        <w:t>E.</w:t>
      </w:r>
      <w:r w:rsidR="00B0571D" w:rsidRPr="006126BA">
        <w:tab/>
        <w:t>ottaa huomioon, että parlamentti viimeisteli viime vuonna aloittamansa perusteellisen uudistusprosessin, jonka tarkoituksena on yhtäältä tarkistaa parlamentin sisäisiä työskentelymenetelmiä parlamentin toiminnan tehostamiseksi ja toisaalta vahvistaa parlamentin institutionaalista roolia, jotta parannetaan parlamentin toimintaa lainsäätäjänä, budjettivallan käyttäjänä ja vastuuvapauden myöntävänä viranomaisena sekä lisätään parlamentin valmiuksia harjoittaa demokraattista valvontaa;</w:t>
      </w:r>
    </w:p>
    <w:p w14:paraId="53DFAB19" w14:textId="77777777" w:rsidR="00B0571D" w:rsidRPr="006126BA" w:rsidRDefault="00B0571D" w:rsidP="008028A5">
      <w:pPr>
        <w:widowControl/>
        <w:spacing w:after="240"/>
        <w:ind w:left="567" w:hanging="567"/>
        <w:rPr>
          <w:b/>
          <w:bCs/>
          <w:i/>
          <w:iCs/>
          <w:szCs w:val="24"/>
        </w:rPr>
      </w:pPr>
      <w:r w:rsidRPr="006126BA">
        <w:rPr>
          <w:b/>
          <w:i/>
        </w:rPr>
        <w:t>Yleiset puitteet</w:t>
      </w:r>
    </w:p>
    <w:p w14:paraId="46B3C5C8" w14:textId="77777777" w:rsidR="00B0571D" w:rsidRPr="006126BA" w:rsidRDefault="00B0571D" w:rsidP="008028A5">
      <w:pPr>
        <w:pStyle w:val="action0"/>
        <w:spacing w:after="200"/>
        <w:ind w:left="567" w:hanging="567"/>
        <w:rPr>
          <w:bCs/>
          <w:iCs/>
        </w:rPr>
      </w:pPr>
      <w:r w:rsidRPr="006126BA">
        <w:t>1.</w:t>
      </w:r>
      <w:r w:rsidRPr="006126BA">
        <w:tab/>
        <w:t>on huolissaan otsakkeen 7 tilanteesta nykyisessä monivuotisessa rahoituskehyksessä; muistuttaa, että rajoitteet johtuvat leikkauksista, joita neuvosto sovelsi komission jo ennestään hyvin alhaiseen alkuperäiseen ehdotukseen, kun se sopi nykyisestä monivuotisesta rahoituskehyksestä 2021–2027; pitää valitettavana, että neuvosto vastustaa komission ehdotusta otsakkeen 7 enimmäismäärän korottamisesta monivuotisen rahoituskehyksen tarkistuksen yhteydessä vuodesta 2024 alkaen; huomauttaa, että monivuotisen rahoituskehyksen tarkistuksessa ei onnistuttu ratkaisemaan otsakkeen 7 enimmäismäärään liittyvää kysymystä; korostaa, että vuoden 2025 ennustettu negatiivinen liikkumavara edellyttää, että tähän tarkoitukseen käytetään otsakkeen 7 erityisrahoitusvälineitä;</w:t>
      </w:r>
    </w:p>
    <w:p w14:paraId="79B7727A" w14:textId="77777777" w:rsidR="00B0571D" w:rsidRPr="006126BA" w:rsidRDefault="00B0571D" w:rsidP="008028A5">
      <w:pPr>
        <w:pStyle w:val="action0"/>
        <w:spacing w:after="200"/>
        <w:ind w:left="567" w:hanging="567"/>
      </w:pPr>
      <w:r w:rsidRPr="006126BA">
        <w:t xml:space="preserve">2. </w:t>
      </w:r>
      <w:r w:rsidRPr="006126BA">
        <w:tab/>
        <w:t>palauttaa mieliin, että lähes kaksi kolmasosaa talousarviosta perustuu sääntömääräisiin velvoitteisiin; palauttaa mieliin, että komissio ennustaa tällä hetkellä palkkojen indeksikorotuksen olevan Euroopan parlamentin henkilöstösääntöjen ja jäsenten asemaa koskevien sääntöjen mukaisesti 5,3 prosenttia heinäkuussa 2024, 0,6 prosenttia huhtikuussa 2025 ja 3,7 prosenttia heinäkuussa 2025; panee merkille, että vuoden 2024 talousarvioon sisältyy palkkojen 3,4 prosentin indeksikorotus heinäkuusta 2024 alkaen; toteaa, että budjettivaliokunta seuraa sitä, miten palkkojen indeksikorotus on virallisten ennusteiden mukaan kehittymässä;</w:t>
      </w:r>
    </w:p>
    <w:p w14:paraId="0DAFB6F2" w14:textId="77777777" w:rsidR="00B0571D" w:rsidRPr="006126BA" w:rsidRDefault="00B0571D" w:rsidP="008028A5">
      <w:pPr>
        <w:pStyle w:val="action0"/>
        <w:spacing w:after="200"/>
        <w:ind w:left="567" w:hanging="567"/>
      </w:pPr>
      <w:r w:rsidRPr="006126BA">
        <w:t>3.</w:t>
      </w:r>
      <w:r w:rsidRPr="006126BA">
        <w:tab/>
        <w:t xml:space="preserve">hyväksyy puhemiehistön ja budjettivaliokunnan sovittelussa 9. huhtikuuta 2024 saavutetun yhteisymmärryksen siitä, että lisäys vuoden 2024 talousarvioon verrattuna on 4,87 prosenttia, jolloin ennakkoarvio vuodeksi 2025 on kokonaisuudessaan 2 499 233 329 euroa, ja hyväksyy, että seuraaviin budjettikohtiin ehdotettuja määrärahoja vähennetään vastaavasti yhteensä 11 000 000 eurolla: </w:t>
      </w:r>
    </w:p>
    <w:p w14:paraId="290A28DF" w14:textId="77777777" w:rsidR="00B0571D" w:rsidRPr="006126BA" w:rsidRDefault="00B0571D" w:rsidP="008028A5">
      <w:pPr>
        <w:pStyle w:val="action0"/>
        <w:ind w:left="567" w:firstLine="0"/>
      </w:pPr>
      <w:r w:rsidRPr="006126BA">
        <w:lastRenderedPageBreak/>
        <w:t>2 0 0 0 — Vuokrat, 2 0 0 7 — Kiinteistöjen rakennuttaminen ja tilojen kunnostus, 2 3 9 0 — EMAS-järjestelmään ja kestävyyteen liittyvä toiminta, tiedotustoimet mukaan luettuina, ja Euroopan parlamentin hiilidioksidipäästöjen kompensointi, 3 2 4 2 — Julkaisu- ja tiedotusmenot sekä menot osallistumisesta julkisiin tapahtumiin, 3 2 4 3 — Euroopan parlamentin vierailukeskukset, 1 0 1 — Varaus ennakoimattomia menoja varten;</w:t>
      </w:r>
    </w:p>
    <w:p w14:paraId="05CECD61" w14:textId="77777777" w:rsidR="00B0571D" w:rsidRPr="006126BA" w:rsidRDefault="00B0571D" w:rsidP="008028A5">
      <w:pPr>
        <w:pStyle w:val="action0"/>
        <w:ind w:left="567" w:firstLine="0"/>
      </w:pPr>
      <w:r w:rsidRPr="006126BA">
        <w:t>päättää lisäksi lisätä puhemiehistön 11. maaliskuuta 2024 hyväksymän alustavan ennakkoarvioesityksen menoja 3 000 000 eurolla ja lisätä vastaavasti seuraaviin budjettikohtiin ehdotettuja määrärahoja:</w:t>
      </w:r>
    </w:p>
    <w:p w14:paraId="69A9B7F6" w14:textId="77777777" w:rsidR="00B0571D" w:rsidRPr="006126BA" w:rsidRDefault="00B0571D" w:rsidP="008028A5">
      <w:pPr>
        <w:pStyle w:val="action0"/>
        <w:ind w:left="567" w:firstLine="0"/>
      </w:pPr>
      <w:r w:rsidRPr="006126BA">
        <w:t>3 2 4 4 — Vierailijaryhmiin liittyvät järjestelyt, Euroscola-ohjelma ja kolmansien maiden mielipiteenmuokkaajia koskevat kutsut, 4 0 3 — Euroopan tason poliittisten säätiöiden rahoitus;</w:t>
      </w:r>
    </w:p>
    <w:p w14:paraId="2F033B46" w14:textId="77777777" w:rsidR="00B0571D" w:rsidRPr="006126BA" w:rsidRDefault="00B0571D" w:rsidP="008028A5">
      <w:pPr>
        <w:pStyle w:val="action0"/>
        <w:spacing w:after="200"/>
        <w:ind w:left="567" w:hanging="567"/>
      </w:pPr>
      <w:r w:rsidRPr="006126BA">
        <w:t>4.</w:t>
      </w:r>
      <w:r w:rsidRPr="006126BA">
        <w:tab/>
        <w:t>panee merkille, että vuoden 2024 talousarvioon nähden suunnitellusta 116 miljoonan euron lisäyksestä 98 miljoonaa johtuu sääntömääräisistä velvoitteista, pääasiassa henkilöstön palkkojen päivityksestä (54,7 miljoonaa euroa) ja avustajiin liittyvistä menoista (33,2 miljoonaa euroa); panee merkille, että muiden kuin sääntömääräisten menojen lisäys vuodesta 2024 vuoteen 2025 ei ylitä kahta prosenttia;</w:t>
      </w:r>
    </w:p>
    <w:p w14:paraId="2A05BD47" w14:textId="77777777" w:rsidR="00B0571D" w:rsidRPr="006126BA" w:rsidRDefault="00B0571D" w:rsidP="008028A5">
      <w:pPr>
        <w:pStyle w:val="action0"/>
        <w:spacing w:after="200"/>
        <w:ind w:left="567" w:hanging="567"/>
      </w:pPr>
      <w:r w:rsidRPr="006126BA">
        <w:t xml:space="preserve">5. </w:t>
      </w:r>
      <w:r w:rsidRPr="006126BA">
        <w:tab/>
        <w:t>toteaa, että parlamentti ei pyydä yhtään uutta tointa vuodeksi 2025;</w:t>
      </w:r>
    </w:p>
    <w:p w14:paraId="393B2642" w14:textId="77777777" w:rsidR="00B0571D" w:rsidRPr="006126BA" w:rsidRDefault="00B0571D" w:rsidP="008028A5">
      <w:pPr>
        <w:pStyle w:val="action0"/>
        <w:spacing w:after="200"/>
        <w:ind w:left="567" w:hanging="567"/>
      </w:pPr>
      <w:r w:rsidRPr="006126BA">
        <w:t xml:space="preserve">6. </w:t>
      </w:r>
      <w:r w:rsidRPr="006126BA">
        <w:tab/>
        <w:t>panee merkille, että vuoden 2023 talousarvioon otetut 98 vakinaista tointa henkilöstösääntöjen 29 artiklan 4 kohdan soveltamisen helpottamiseksi on poistettu vuoden 2025 henkilöstötaulukosta;</w:t>
      </w:r>
    </w:p>
    <w:p w14:paraId="2D37872C" w14:textId="77777777" w:rsidR="00B0571D" w:rsidRPr="006126BA" w:rsidRDefault="00B0571D" w:rsidP="008028A5">
      <w:pPr>
        <w:pStyle w:val="Action"/>
        <w:widowControl/>
        <w:tabs>
          <w:tab w:val="clear" w:pos="357"/>
        </w:tabs>
        <w:spacing w:after="200"/>
        <w:outlineLvl w:val="0"/>
        <w:rPr>
          <w:b/>
          <w:i/>
          <w:szCs w:val="24"/>
        </w:rPr>
      </w:pPr>
      <w:r w:rsidRPr="006126BA">
        <w:rPr>
          <w:b/>
          <w:i/>
        </w:rPr>
        <w:t>Vierailijaryhmät ja Europa Experience -keskukset</w:t>
      </w:r>
    </w:p>
    <w:p w14:paraId="46496A9E" w14:textId="77777777" w:rsidR="00B0571D" w:rsidRPr="006126BA" w:rsidRDefault="00B0571D" w:rsidP="008028A5">
      <w:pPr>
        <w:pStyle w:val="action0"/>
        <w:spacing w:after="200"/>
        <w:ind w:left="567" w:hanging="567"/>
      </w:pPr>
      <w:r w:rsidRPr="006126BA">
        <w:t>7.</w:t>
      </w:r>
      <w:r w:rsidRPr="006126BA">
        <w:tab/>
        <w:t>palauttaa mieliin, että vierailijaryhmät kaikilla parlamentin toimipaikoilla ovat tärkeä väline, jonka avulla jäsenet voivat olla yhteydessä äänestäjiin ja esitellä heille parlamentaarista toimintaansa; korostaa, että vierailijaryhmät auttavat osaltaan tuomaan parlamentin roolia esille äänestäjien keskuudessa kaikkialla unionissa;</w:t>
      </w:r>
    </w:p>
    <w:p w14:paraId="098BFBC1" w14:textId="77777777" w:rsidR="00B0571D" w:rsidRPr="006126BA" w:rsidRDefault="00B0571D" w:rsidP="008028A5">
      <w:pPr>
        <w:pStyle w:val="action0"/>
        <w:spacing w:after="200"/>
        <w:ind w:left="567" w:hanging="567"/>
      </w:pPr>
      <w:r w:rsidRPr="006126BA">
        <w:t>8.</w:t>
      </w:r>
      <w:r w:rsidRPr="006126BA">
        <w:tab/>
        <w:t xml:space="preserve">panee huolestuneena merkille, että on yhä vaikeampaa järjestää tällaisia vierailuja nykyisen talousarvion taloudellisten rajoitusten vuoksi erityisesti niiden jäsenten tapauksessa, joiden jäsenvaltiot sijaitsevat maantieteellisesti kaukana Brysselistä ja Strasbourgista; kehottaa myöntämään riittävästi rahoitusta matka- ja majoituskulujen kattamiseen ottaen huomioon inflaation ja hinnat niin vierailijaryhmien lähtömaissa kuin Brysselissä ja Strasbourgissakin; katsoo, että 10 prosentin lisäys määrärahoihin henkilöä kohden on tarpeen, jotta voidaan reagoida vallitseviin olosuhteisiin; kehottaa pääsihteeriä ehdottamaan kvestoreille mahdollisimman pian korvattavien kustannusten enimmäismäärien korottamista, jotta voidaan jatkaa ja lisätä jäsenille annettavaa tukea, jotta vierailijaryhmät voivat vierailla parlamentissa; </w:t>
      </w:r>
    </w:p>
    <w:p w14:paraId="5A45D21C" w14:textId="77777777" w:rsidR="00B0571D" w:rsidRPr="006126BA" w:rsidRDefault="00B0571D" w:rsidP="008028A5">
      <w:pPr>
        <w:pStyle w:val="action0"/>
        <w:spacing w:after="200"/>
        <w:ind w:left="567" w:hanging="567"/>
      </w:pPr>
      <w:r w:rsidRPr="006126BA">
        <w:t>9.</w:t>
      </w:r>
      <w:r w:rsidRPr="006126BA">
        <w:tab/>
        <w:t>panee huolestuneena merkille parlamentin jäsenten vierailijaryhmiä koskevat sisäiset säännöt, joiden vuoksi joissakin tilanteissa 30 prosenttia alkuvaiheen kustannuksista jää valtuutettujen avustajien maksettavaksi; korostaa, että kyseiset säännöt eivät toimi käytännössä ja että tästä aiheutuu valtuutetuille avustajille taloudellista rasitetta; kehottaa puhemiehistöä tarkistamaan ja päivittämään vierailuja koskevia nykyisiä sääntöjään, jotta voidaan ratkaista vierailujen suunnitteluun ja järjestämiseen liittyvät vaikeudet;</w:t>
      </w:r>
    </w:p>
    <w:p w14:paraId="439A6273" w14:textId="77777777" w:rsidR="00B0571D" w:rsidRPr="006126BA" w:rsidRDefault="00B0571D" w:rsidP="008028A5">
      <w:pPr>
        <w:pStyle w:val="NormalHanging12a"/>
        <w:widowControl/>
        <w:spacing w:after="200"/>
        <w:rPr>
          <w:szCs w:val="24"/>
        </w:rPr>
      </w:pPr>
      <w:r w:rsidRPr="006126BA">
        <w:lastRenderedPageBreak/>
        <w:t>10.</w:t>
      </w:r>
      <w:r w:rsidRPr="006126BA">
        <w:tab/>
        <w:t>palauttaa mieliin puhemiehistön 25. marraskuuta 2019 tekemän päätöksen perustaa Europa Experience -keskus kaikkiin jäsenvaltioihin vuoden 2024 loppuun mennessä; pitää valitettavana, että Europa Experience -keskusten perustaminen kaikkiin jäsenvaltioihin ennen vuoden 2024 parlamenttivaaleja on viivästynyt, ja toteaa, että tällä hetkellä toiminnassa on vain 12 keskusta; toteaa, että monet ulkoiset tekijät, kuten kiinteistömarkkinoiden epävakaus, ovat osaltaan vaikuttaneet näihin viivästyksiin;</w:t>
      </w:r>
    </w:p>
    <w:p w14:paraId="14BFAD4C" w14:textId="77777777" w:rsidR="00B0571D" w:rsidRPr="006126BA" w:rsidRDefault="00B0571D" w:rsidP="008028A5">
      <w:pPr>
        <w:pStyle w:val="action0"/>
        <w:spacing w:after="200"/>
        <w:ind w:left="567" w:hanging="567"/>
      </w:pPr>
      <w:r w:rsidRPr="006126BA">
        <w:t>11.</w:t>
      </w:r>
      <w:r w:rsidRPr="006126BA">
        <w:tab/>
        <w:t>panee merkille, että vuonna 2025 on tarkoitus avata viisi keskusta (Ateenassa, Zagrebissa, Haagissa, Sofiassa ja Budapestissa); pyytää, että kaikkiin jäsenvaltioihin perustetaan Europa Experience -keskus mahdollisimman pian; muistuttaa, että Europa Experience -keskusten tarkoituksena on antaa kaikille kansalaisille mahdollisuus saada parempi käsitys unionin toimielinten toiminnasta;</w:t>
      </w:r>
    </w:p>
    <w:p w14:paraId="1867F615" w14:textId="77777777" w:rsidR="00B0571D" w:rsidRPr="006126BA" w:rsidRDefault="00B0571D" w:rsidP="008028A5">
      <w:pPr>
        <w:pStyle w:val="Action"/>
        <w:keepNext/>
        <w:widowControl/>
        <w:tabs>
          <w:tab w:val="clear" w:pos="357"/>
        </w:tabs>
        <w:spacing w:after="200"/>
        <w:outlineLvl w:val="0"/>
        <w:rPr>
          <w:b/>
          <w:bCs/>
          <w:i/>
          <w:szCs w:val="24"/>
        </w:rPr>
      </w:pPr>
      <w:r w:rsidRPr="006126BA">
        <w:rPr>
          <w:b/>
          <w:i/>
        </w:rPr>
        <w:t>Infrastruktuuri</w:t>
      </w:r>
    </w:p>
    <w:p w14:paraId="67584351" w14:textId="77777777" w:rsidR="00B0571D" w:rsidRPr="006126BA" w:rsidRDefault="00B0571D" w:rsidP="008028A5">
      <w:pPr>
        <w:pStyle w:val="action0"/>
        <w:spacing w:after="200"/>
        <w:ind w:left="567" w:hanging="567"/>
      </w:pPr>
      <w:r w:rsidRPr="006126BA">
        <w:t xml:space="preserve">12. </w:t>
      </w:r>
      <w:r w:rsidRPr="006126BA">
        <w:tab/>
        <w:t>panee merkille, että budjettivaliokunta hyväksyi puhemiehistön päätöksen toteuttaa SPAAK-rakennuksen perusteellinen peruskorjaus, kuten parlamentti kehotti 19. lokakuuta 2022 antamassaan päätöslauselmassa neuvoston kannasta esitykseen Euroopan unionin yleiseksi talousarvioksi varainhoitovuodeksi 2023</w:t>
      </w:r>
      <w:r w:rsidRPr="006126BA">
        <w:rPr>
          <w:rStyle w:val="FootnoteReference"/>
        </w:rPr>
        <w:footnoteReference w:id="14"/>
      </w:r>
      <w:r w:rsidRPr="006126BA">
        <w:t>; korostaa, että nykyisen rakennuksen energiatehokkuusluokitus on hyvin alhainen ja että siitä puuttuu kipeästi kaivattu joustavuus, jotta se sopisi käyttötarkoitukseensa; korostaa, että parlamentin olisi hallinnoitava rakennuskantaansa energiatehokkuuden ja kestävyyden näkökulmasta, jotta se olisi yhdenmukainen vihreän kehityksen ohjelman tavoitteiden kanssa; toteaa, että peruskorjaus johtaa merkittäviin vuotuisiin kustannussäästöihin ja vähentää hiilidioksidipäästöjä sekä auttaa lisäksi täyttämään tarkistetun energiatehokkuusdirektiivin ja rakennusten energiatehokkuusdirektiivin vaatimukset; muistuttaa puhemiehistöä siitä, että avoimuus, asianmukainen tiedottaminen budjettivaliokunnalle ja sen kuuleminen, mukaan lukien mahdollisuus saada kattavat tiedot, ovat tarpeen ennen kuin tehdään merkittäviä päätöksiä kiinteistöihin liittyvistä kysymyksistä ja niiden rahoituksesta, koska niillä on merkittäviä talousarviovaikutuksia;</w:t>
      </w:r>
    </w:p>
    <w:p w14:paraId="401B6367" w14:textId="77777777" w:rsidR="00B0571D" w:rsidRPr="006126BA" w:rsidRDefault="00B0571D" w:rsidP="008028A5">
      <w:pPr>
        <w:pStyle w:val="action0"/>
        <w:spacing w:after="200"/>
        <w:ind w:left="567" w:hanging="567"/>
      </w:pPr>
      <w:r w:rsidRPr="006126BA">
        <w:t>13.</w:t>
      </w:r>
      <w:r w:rsidRPr="006126BA">
        <w:tab/>
        <w:t xml:space="preserve">panee merkille tarpeen aloittaa TREVES II -rakennuksen peruskorjaustyöt vuonna 2025, jotta voidaan helpottaa SPAAK-rakennuksen peruskorjauksen yhteydessä siirtymään joutuvan henkilöstön tilapäistä sijoittamista; </w:t>
      </w:r>
    </w:p>
    <w:p w14:paraId="75C12C40" w14:textId="77777777" w:rsidR="00B0571D" w:rsidRPr="006126BA" w:rsidRDefault="00B0571D" w:rsidP="008028A5">
      <w:pPr>
        <w:pStyle w:val="NormalHanging12a"/>
        <w:widowControl/>
        <w:rPr>
          <w:szCs w:val="24"/>
        </w:rPr>
      </w:pPr>
      <w:r w:rsidRPr="006126BA">
        <w:t>14.</w:t>
      </w:r>
      <w:r w:rsidRPr="006126BA">
        <w:tab/>
        <w:t>pitää myönteisenä parlamentin toimintaperiaatteita, joilla pyritään varmistamaan, että vammaiset henkilöt voivat käyttää parlamentin rakennuksia täysin itsenäisesti, ja tukee tässä yhteydessä tarvittavia lisätoimenpiteitä ja -mukautuksia; tiedostaa tarpeen parantaa vammaisten henkilöiden pääsyä Strasbourgin täysistuntosaliin;</w:t>
      </w:r>
    </w:p>
    <w:p w14:paraId="0ECB782F" w14:textId="77777777" w:rsidR="00B0571D" w:rsidRPr="006126BA" w:rsidRDefault="00B0571D" w:rsidP="008028A5">
      <w:pPr>
        <w:pStyle w:val="action0"/>
        <w:spacing w:after="200"/>
        <w:ind w:left="567" w:hanging="567"/>
      </w:pPr>
      <w:r w:rsidRPr="006126BA">
        <w:t>15.</w:t>
      </w:r>
      <w:r w:rsidRPr="006126BA">
        <w:tab/>
        <w:t xml:space="preserve">palauttaa mieliin, että parlamentin hallinto valmistelee parhaillaan kattavaa lähestymistapaa parlamentin pitkän aikavälin kiinteistöpolitiikan määrittelemiseksi ottaen huomioon erityisesti ympäristövelvoitteet, kustannukset ja budjettirajoitukset, energiatehokkuuden ja jätehuollon 55-valmiuspaketin mukaisesti, ja odottaa tulosten julkistamista; kehottaa arvioimaan pandemian seurauksena käyttöön otettuja joustavia työskentelytapoja ja toteaa samalla, että julkisen päätöksenteon kannalta fyysinen läsnäolo poliittisissa neuvotteluissa, keskusteluissa tai näkemystenvaihdoissa on edelleen tehokkaampaa; </w:t>
      </w:r>
    </w:p>
    <w:p w14:paraId="2ECE49F7" w14:textId="77777777" w:rsidR="00B0571D" w:rsidRPr="006126BA" w:rsidRDefault="00B0571D" w:rsidP="008028A5">
      <w:pPr>
        <w:pStyle w:val="action0"/>
        <w:spacing w:after="200"/>
        <w:ind w:left="567" w:hanging="567"/>
      </w:pPr>
      <w:r w:rsidRPr="006126BA">
        <w:lastRenderedPageBreak/>
        <w:t xml:space="preserve">16. </w:t>
      </w:r>
      <w:r w:rsidRPr="006126BA">
        <w:tab/>
        <w:t>panee merkille käytännön, jonka mukaan vuoden lopussa tehtävällä keräilysiirrolla rahoitetaan kiinteistöhankkeita; panee merkille, että tämä keräilysiirto tehdään järjestelmällisesti samoista luvuista ja osastoista ja usein täsmälleen samoista budjettikohdista; toteaa, että vuosittainen keräilysiirto voi palvella myös muita tarkoituksia kuin kiinteistöihin liittyvien hankkeiden rahoittamista;</w:t>
      </w:r>
    </w:p>
    <w:p w14:paraId="3AF8469F" w14:textId="77777777" w:rsidR="00B0571D" w:rsidRPr="006126BA" w:rsidRDefault="00B0571D" w:rsidP="008028A5">
      <w:pPr>
        <w:pStyle w:val="action0"/>
        <w:spacing w:after="200"/>
        <w:ind w:left="567" w:hanging="567"/>
      </w:pPr>
      <w:r w:rsidRPr="006126BA">
        <w:t>17.</w:t>
      </w:r>
      <w:r w:rsidRPr="006126BA">
        <w:tab/>
        <w:t>panee tyytyväisenä merkille parlamentin jatkuvat pyrkimykset ja toimenpiteet ympäristöjalanjälkensä pienentämiseksi; toistaa täyden tukensa parlamentin ympäristöasioiden hallintajärjestelmän (EMAS) tavoitteille vuodeksi 2024; odottaa parlamentin saavuttavan kaikki EMASin keskeisiin tulosindikaattoreihin liittyvät tavoitteet vuoden 2024 loppuun mennessä ja hyväksyvän uudet kunnianhimoiset tavoitteet tuleville vuosille; panee erityisesti merkille erinäiset tähän liittyvät saavutukset, mukaan lukien hiilidioksidipäästöjen vähentäminen 44 prosentilla vuodesta 2006, paperin käytön vähentäminen 66 prosentilla vuoteen 2014 verrattuna, se, että suuri osa henkilöstöstä kävelee tai pyöräilee töihin, muovin käytön merkittävä väheneminen ja uusiutuvan energian infrastruktuurin onnistunut käyttöönotto, jonka ansiosta parlamentti tuotti 458 megawattituntia aurinkoenergiaa vuonna 2023;</w:t>
      </w:r>
    </w:p>
    <w:p w14:paraId="61BA1CF3" w14:textId="77777777" w:rsidR="00B0571D" w:rsidRPr="006126BA" w:rsidRDefault="00B0571D" w:rsidP="008028A5">
      <w:pPr>
        <w:pStyle w:val="action0"/>
        <w:spacing w:after="200"/>
        <w:ind w:left="567" w:hanging="567"/>
      </w:pPr>
      <w:r w:rsidRPr="006126BA">
        <w:t>18.</w:t>
      </w:r>
      <w:r w:rsidRPr="006126BA">
        <w:tab/>
        <w:t>panee merkille päästöhyvitysten hintojen nousun; muistuttaa, että energiatehokkuusinvestoinnit ovat hyvä tapa saada rahalle vastinetta; pitää myönteisinä ja kannustaa tekemään investointeja uusiutuvaan energiaan ja asteittaiseen fossiilisten polttoaineiden käytöstä luopumiseen erityisesti energiakriisin ja geopoliittisen tilanteen vuoksi ja kehottaa ottamaan tämän huomioon seuraavassa monivuotisessa kiinteistöstrategiassa; panee merkille, että parlamentti on asentanut aurinkosähköpaneeleja ja asentaa niitä edelleen lisätäkseen entisestään paikan päällä tuotettavan uusiutuvan energian osuutta siten, että saavutetaan 25 prosentin tavoite; muistuttaa, että lähes kaksi kolmasosaa parlamentin hiilijalanjäljestä on peräisin henkilöliikenteestä; suhtautuu myönteisesti parlamentin pyrkimyksiin vähentää hiilidioksidipäästöjä tilausjunien avulla ja kehottaa lisäämään mahdollisuuksia siirtyä käyttämään kolmen toimipaikan välisessä matkustamisessa junaa;</w:t>
      </w:r>
    </w:p>
    <w:p w14:paraId="3BF5724A" w14:textId="77777777" w:rsidR="00B0571D" w:rsidRPr="006126BA" w:rsidRDefault="00B0571D" w:rsidP="008028A5">
      <w:pPr>
        <w:pStyle w:val="Action"/>
        <w:keepNext/>
        <w:widowControl/>
        <w:tabs>
          <w:tab w:val="clear" w:pos="357"/>
        </w:tabs>
        <w:spacing w:after="200"/>
        <w:outlineLvl w:val="0"/>
        <w:rPr>
          <w:b/>
          <w:i/>
          <w:szCs w:val="24"/>
        </w:rPr>
      </w:pPr>
      <w:r w:rsidRPr="006126BA">
        <w:rPr>
          <w:b/>
          <w:i/>
        </w:rPr>
        <w:t>Muut seikat</w:t>
      </w:r>
    </w:p>
    <w:p w14:paraId="522E5CD2" w14:textId="02236019" w:rsidR="00B0571D" w:rsidRPr="006126BA" w:rsidRDefault="00B0571D" w:rsidP="008028A5">
      <w:pPr>
        <w:pStyle w:val="action0"/>
        <w:spacing w:after="200"/>
        <w:ind w:left="567" w:hanging="567"/>
      </w:pPr>
      <w:r w:rsidRPr="006126BA">
        <w:t>19.</w:t>
      </w:r>
      <w:r w:rsidRPr="006126BA">
        <w:tab/>
        <w:t xml:space="preserve">muistuttaa jatkuvasta kamppailusta, jota unioni käy turvatakseen eurooppalaiset arvot ja säilyttääkseen demokraattisten prosessiemme eheyden; pitää myönteisinä parlamentin toimia näiden tavoitteiden saavuttamiseksi ja disinformaation ja tiedon manipuloinnin torjumiseksi; kehottaa viestinnän pääosastoa ja </w:t>
      </w:r>
      <w:r w:rsidR="00D30F40" w:rsidRPr="006126BA">
        <w:t xml:space="preserve">Euroopan parlamentin </w:t>
      </w:r>
      <w:r w:rsidRPr="006126BA">
        <w:t>yhteystoimistoja</w:t>
      </w:r>
      <w:r w:rsidR="00D30F40" w:rsidRPr="006126BA">
        <w:t xml:space="preserve"> (EPLO)</w:t>
      </w:r>
      <w:r w:rsidRPr="006126BA">
        <w:t xml:space="preserve"> jatkamaan tehokkaiden strategioiden kehittämistä ja täytäntöönpanoa disinformaation ja tiedon manipuloinnin torjumiseksi; korostaa, että yksi tehokkaimmista aseista disinformaation torjumiseksi on myönteinen, tosiasioihin perustuva viestintä parlamentin toiminnasta;</w:t>
      </w:r>
    </w:p>
    <w:p w14:paraId="57ABB942" w14:textId="77777777" w:rsidR="00B0571D" w:rsidRPr="006126BA" w:rsidRDefault="00B0571D" w:rsidP="008028A5">
      <w:pPr>
        <w:pStyle w:val="action0"/>
        <w:spacing w:after="200"/>
        <w:ind w:left="567" w:hanging="567"/>
        <w:rPr>
          <w:rFonts w:eastAsia="Times New Roman"/>
        </w:rPr>
      </w:pPr>
      <w:r w:rsidRPr="006126BA">
        <w:t>20.</w:t>
      </w:r>
      <w:r w:rsidRPr="006126BA">
        <w:tab/>
        <w:t xml:space="preserve">muistuttaa, että parlamentti tukee voimakkaasti monikielisyyttä ja edistää kansallisten, alueellisten ja kielivähemmistöjen oikeuksia; katsoo, että parlamentti voi osallistua aktiivisesti disinformaation torjuntaan lisäämällä tarvittaessa viestintäänsä myös kielivähemmistöjen ja -yhteisöjen kielillä; kehottaa puhemiehistöä laajentamaan jäsenvaltioiden kansallisten, alueellisten ja kielivähemmistöjen tarpeita vastaavan parlamentin tiedotusmateriaalin tuotantoa ja levittämistä esimerkiksi yhteystoimistoissa ja Europa Experience -keskuksissa keinona torjua yrityksiä käyttää kielellisiä eroja yhteenkuuluvuuden esteenä; palauttaa tässä yhteydessä mieliin toimet, joita yhteystoimistot ovat toteuttaneet Baltian maissa Venäjän Ukrainassa aloittaman hyökkäyssodan jälkeen antaakseen kansalaisille tietoa ukrainan ja venäjän kielillä, erityisesti keskittyen Venäjän disinformaation ja propagandan torjumiseen, ja kannustaa </w:t>
      </w:r>
      <w:r w:rsidRPr="006126BA">
        <w:lastRenderedPageBreak/>
        <w:t>tukemaan ja edistämään edelleen tällaisia ukrainan ja venäjän kielillä toteutettavia toimia; korostaa, että on tärkeää, että yhteystoimistot osallistuvat aktiivisesti kansalaiskasvatusta koskevan parlamentin työn täytäntöönpanoon erilaisten ohjelmien kautta, joihin otetaan mukaan paikallisyhteisöjä, kouluja ja yliopistoja;</w:t>
      </w:r>
    </w:p>
    <w:p w14:paraId="71EEF210" w14:textId="77777777" w:rsidR="00B0571D" w:rsidRPr="006126BA" w:rsidRDefault="00B0571D" w:rsidP="008028A5">
      <w:pPr>
        <w:pStyle w:val="action0"/>
        <w:spacing w:after="200"/>
        <w:ind w:left="567" w:hanging="567"/>
      </w:pPr>
      <w:r w:rsidRPr="006126BA">
        <w:t>21.</w:t>
      </w:r>
      <w:r w:rsidRPr="006126BA">
        <w:tab/>
        <w:t xml:space="preserve">korostaa tekoälyn mahdollisuuksia tukea jäseniä edustajantoimen hoitamisessa ja erilaisissa parlamentin hallintoon liittyvissä toimissa; suhtautuu myönteisesti siihen, että tekoälyhankkeita on jo suunnitteilla vuodeksi 2025; </w:t>
      </w:r>
    </w:p>
    <w:p w14:paraId="76C94EE3" w14:textId="77777777" w:rsidR="00B0571D" w:rsidRPr="006126BA" w:rsidRDefault="00B0571D" w:rsidP="008028A5">
      <w:pPr>
        <w:pStyle w:val="action0"/>
        <w:spacing w:after="200"/>
        <w:ind w:left="567" w:hanging="567"/>
      </w:pPr>
      <w:r w:rsidRPr="006126BA">
        <w:t>22.</w:t>
      </w:r>
      <w:r w:rsidRPr="006126BA">
        <w:tab/>
        <w:t>tukee pääsihteerin budjettivaliokunnassa tekemää ilmoitusta vähentää jäsenten ja heidän toimistojensa hallinnollista taakkaa ja byrokratiaa ja nopeuttaa samalla hallinnon sisäisten prosessien digitalisointia; korostaa, että digitalisaatioon tehtävät investoinnit ovat keskipitkällä aikavälillä tuottavia eikä niitä saisi viivästyttää lyhyen aikavälin kustannussäästöjen vuoksi;</w:t>
      </w:r>
    </w:p>
    <w:p w14:paraId="23E45D11" w14:textId="77777777" w:rsidR="00B0571D" w:rsidRPr="006126BA" w:rsidRDefault="00B0571D" w:rsidP="008028A5">
      <w:pPr>
        <w:pStyle w:val="action0"/>
        <w:spacing w:after="200"/>
        <w:ind w:left="567" w:hanging="567"/>
      </w:pPr>
      <w:r w:rsidRPr="006126BA">
        <w:t>23.</w:t>
      </w:r>
      <w:r w:rsidRPr="006126BA">
        <w:tab/>
        <w:t>kehottaa parlamenttia arvioimaan edelleen säännöllisesti henkilöstötarpeidensa organisointia ja optimoimaan henkilöstön jakautumisen parlamentin pääsihteeristössä erityisesti kohdentamalla avoimia virkoja ja toimia uudelleen yksiköiden välillä, jotta henkilöstömäärä pysyy mahdollisimman vakaana; kehottaa pääsihteeriä arvioimaan riskit, joita liittyy siihen, että palvelukseen otetaan yhä enemmän sopimussuhteisia toimihenkilöitä, ja joihin kuuluu muun muassa vaara, että parlamenttiin luodaan kaksitasoinen henkilöstörakenne; korostaa, että vakinaisen henkilöstön olisi hoidettava keskeiset pysyvät toimet ja tehtävät;</w:t>
      </w:r>
    </w:p>
    <w:p w14:paraId="0AD31FBC" w14:textId="77777777" w:rsidR="00B0571D" w:rsidRPr="006126BA" w:rsidRDefault="00B0571D" w:rsidP="008028A5">
      <w:pPr>
        <w:pStyle w:val="action0"/>
        <w:spacing w:after="200"/>
        <w:ind w:left="567" w:hanging="567"/>
      </w:pPr>
      <w:r w:rsidRPr="006126BA">
        <w:t>24.</w:t>
      </w:r>
      <w:r w:rsidRPr="006126BA">
        <w:tab/>
        <w:t>korostaa, että oikeudenmukaisen maantieteellisen tasapainon varmistaminen on tärkeä osa aidosti eurooppalaisen julkisen palvelun luomista; huomauttaa, että parlamentti on vuosien mittaan toteuttanut useita tähän liittyviä toimenpiteitä; toteaa, että tässä asiassa on silti parantamisen varaa; panee merkille, että puhemiehistö on luonut oikeudelliset puitteet kansalaisuuden perusteella kohdistettujen kilpailujen järjestämiselle ja päättänyt järjestää ensimmäisen tällaisista kilpailuista; korostaa, että kilpailujen olisi aina perustuttava ansioihin;</w:t>
      </w:r>
    </w:p>
    <w:p w14:paraId="60751881" w14:textId="77777777" w:rsidR="00B0571D" w:rsidRPr="006126BA" w:rsidRDefault="00B0571D" w:rsidP="008028A5">
      <w:pPr>
        <w:pStyle w:val="action0"/>
        <w:spacing w:after="200"/>
        <w:ind w:left="567" w:hanging="567"/>
      </w:pPr>
      <w:r w:rsidRPr="006126BA">
        <w:t>25.</w:t>
      </w:r>
      <w:r w:rsidRPr="006126BA">
        <w:tab/>
        <w:t>panee merkille jo käytössä olevan menettelyn, joka koskee johonkin parlamentin elimeen kuuluvan kansainvälisen viittomakielen käyttäjän esittämiä tämän kielen tulkkauksen järjestämistä kokouksessa koskevia pyyntöjä; pyytää pääsihteeriä tarkastelemaan edelleen muita mahdollisuuksia, kuten puheentunnistus- ja konekäännösvälineitä, kaikkien kansalaisten yhtäläisten osallistumismahdollisuuksien periaatteen mukaisesti;</w:t>
      </w:r>
    </w:p>
    <w:p w14:paraId="073A0953" w14:textId="77777777" w:rsidR="00B0571D" w:rsidRPr="006126BA" w:rsidRDefault="00B0571D" w:rsidP="008028A5">
      <w:pPr>
        <w:pStyle w:val="NormalHanging12a"/>
        <w:widowControl/>
        <w:rPr>
          <w:szCs w:val="24"/>
        </w:rPr>
      </w:pPr>
      <w:r w:rsidRPr="006126BA">
        <w:t>26.</w:t>
      </w:r>
      <w:r w:rsidRPr="006126BA">
        <w:tab/>
        <w:t>toistaa täysistunnossa useaan kertaan hyväksytyn pyyntönsä siitä, että puhemiehistö aloittaisi työn työjärjestyksen tarkistamiseksi niin, että jäsenet voivat käyttää äänioikeuttaan etänä ollessaan äitiys- tai isyysvapaalla, pitkäaikaisen sairauden aikana tai ylivoimaisen esteen sattuessa, hyödyntäen pandemian aikana tästä äänestysmenettelystä saatuja teknisiä kokemuksia;</w:t>
      </w:r>
    </w:p>
    <w:p w14:paraId="58845D50" w14:textId="5638C54B" w:rsidR="00B0571D" w:rsidRDefault="00B0571D" w:rsidP="008028A5">
      <w:pPr>
        <w:pStyle w:val="NormalHanging12a"/>
        <w:widowControl/>
      </w:pPr>
      <w:r w:rsidRPr="006126BA">
        <w:t>27.</w:t>
      </w:r>
      <w:r w:rsidRPr="006126BA">
        <w:tab/>
        <w:t>kehottaa jälleen puhemiehistöä takaamaan, että kaikki parlamentin ravintolat pitävät kiinni laatuun, tehokkuuteen ja kohtuuhintaisuuteen liittyvistä standardeistaan, ja ottamaan uudelleen käyttöön kulunvalvonnan itsepalveluravintolan sisäänkäynneillä ruuhka-aikana; pitää hyvänä kulunvalvonnan ottamista käyttöön Strasbourgin WEISS-rakennuksen itsepalveluravintolan sisäänkäynneillä istuntojaksojen aikana;</w:t>
      </w:r>
    </w:p>
    <w:p w14:paraId="5AF5AD8E" w14:textId="33C8F2E7" w:rsidR="000173E3" w:rsidRPr="000173E3" w:rsidRDefault="000173E3" w:rsidP="008028A5">
      <w:pPr>
        <w:pStyle w:val="NormalHanging12a"/>
        <w:widowControl/>
      </w:pPr>
      <w:r w:rsidRPr="00751318">
        <w:t>28.</w:t>
      </w:r>
      <w:r w:rsidRPr="00751318">
        <w:tab/>
        <w:t>kehottaa sitoutumaan aidosti monikielisyysperiaatteen toteuttamiseen</w:t>
      </w:r>
      <w:r>
        <w:t>;</w:t>
      </w:r>
    </w:p>
    <w:p w14:paraId="68FCADB0" w14:textId="183A4462" w:rsidR="00B0571D" w:rsidRPr="006126BA" w:rsidRDefault="000173E3" w:rsidP="008028A5">
      <w:pPr>
        <w:pStyle w:val="action0"/>
        <w:spacing w:after="200"/>
        <w:ind w:left="567" w:hanging="567"/>
      </w:pPr>
      <w:r>
        <w:rPr>
          <w:rStyle w:val="doceo-font-family-base"/>
          <w:shd w:val="clear" w:color="auto" w:fill="FFFFFF"/>
        </w:rPr>
        <w:lastRenderedPageBreak/>
        <w:t>29</w:t>
      </w:r>
      <w:r w:rsidR="00B0571D" w:rsidRPr="006126BA">
        <w:rPr>
          <w:rStyle w:val="doceo-font-family-base"/>
          <w:shd w:val="clear" w:color="auto" w:fill="FFFFFF"/>
        </w:rPr>
        <w:t>.</w:t>
      </w:r>
      <w:r w:rsidR="00B0571D" w:rsidRPr="006126BA">
        <w:rPr>
          <w:rStyle w:val="doceo-font-family-base"/>
          <w:shd w:val="clear" w:color="auto" w:fill="FFFFFF"/>
        </w:rPr>
        <w:tab/>
        <w:t>kehottaa jälleen puheenjohtajakokousta ja puhemiehistöä tarkistamaan valtuuskuntien tehtävien suorittamista ja valtuuskuntamatkoja unionin ulkopuolelle koskevia täytäntöönpanomääräyksiä; painottaa, että tarkistamisen yhteydessä olisi tarkasteltava valtuutettujen avustajien mahdollisuutta osallistua jäsenten mukana tietyin edellytyksin parlamentin virallisille valtuuskunta- ja virkamatkoille;</w:t>
      </w:r>
      <w:r w:rsidR="00B0571D" w:rsidRPr="006126BA">
        <w:t xml:space="preserve"> korostaa, että tämä muutos ei aiheuttaisi minkäänlaista muutosta kokonaismäärärahoihin eikä vaikuttaisi talousarvioon;</w:t>
      </w:r>
    </w:p>
    <w:p w14:paraId="5930C020" w14:textId="272259BD" w:rsidR="00B0571D" w:rsidRPr="006126BA" w:rsidRDefault="000173E3" w:rsidP="00751318">
      <w:pPr>
        <w:pStyle w:val="action0"/>
        <w:spacing w:after="200"/>
        <w:ind w:left="567" w:hanging="567"/>
        <w:rPr>
          <w:snapToGrid w:val="0"/>
        </w:rPr>
      </w:pPr>
      <w:r>
        <w:rPr>
          <w:rFonts w:ascii="TimesNewRomanPSMT" w:hAnsi="TimesNewRomanPSMT"/>
        </w:rPr>
        <w:t>30</w:t>
      </w:r>
      <w:r w:rsidR="00B0571D" w:rsidRPr="006126BA">
        <w:rPr>
          <w:rFonts w:ascii="TimesNewRomanPSMT" w:hAnsi="TimesNewRomanPSMT"/>
        </w:rPr>
        <w:t>.</w:t>
      </w:r>
      <w:r w:rsidR="00B0571D" w:rsidRPr="006126BA">
        <w:rPr>
          <w:rFonts w:ascii="TimesNewRomanPSMT" w:hAnsi="TimesNewRomanPSMT"/>
        </w:rPr>
        <w:tab/>
      </w:r>
      <w:r w:rsidR="00B0571D" w:rsidRPr="006126BA">
        <w:t>odottaa, että täysistunnon hyväksymät pyynnöt olisi pantava täytäntöön ensisijaisina prioriteetteina;</w:t>
      </w:r>
    </w:p>
    <w:p w14:paraId="3E47786C" w14:textId="77777777" w:rsidR="00B0571D" w:rsidRPr="006126BA" w:rsidRDefault="00B0571D" w:rsidP="008028A5">
      <w:pPr>
        <w:widowControl/>
        <w:spacing w:after="240"/>
        <w:ind w:left="567" w:hanging="567"/>
        <w:jc w:val="center"/>
        <w:rPr>
          <w:szCs w:val="24"/>
        </w:rPr>
      </w:pPr>
      <w:r w:rsidRPr="006126BA">
        <w:t>°</w:t>
      </w:r>
    </w:p>
    <w:p w14:paraId="56E3972F" w14:textId="77777777" w:rsidR="00B0571D" w:rsidRPr="006126BA" w:rsidRDefault="00B0571D" w:rsidP="008028A5">
      <w:pPr>
        <w:widowControl/>
        <w:spacing w:after="240"/>
        <w:ind w:left="567" w:hanging="567"/>
        <w:jc w:val="center"/>
        <w:rPr>
          <w:szCs w:val="24"/>
        </w:rPr>
      </w:pPr>
      <w:r w:rsidRPr="006126BA">
        <w:t>°         °</w:t>
      </w:r>
    </w:p>
    <w:p w14:paraId="742BB8A4" w14:textId="4E87DF52" w:rsidR="00B0571D" w:rsidRPr="006126BA" w:rsidRDefault="000173E3" w:rsidP="008028A5">
      <w:pPr>
        <w:pStyle w:val="action0"/>
        <w:spacing w:before="200" w:after="200"/>
        <w:ind w:left="567" w:hanging="567"/>
      </w:pPr>
      <w:r>
        <w:t>31</w:t>
      </w:r>
      <w:r w:rsidR="00B0571D" w:rsidRPr="006126BA">
        <w:t>.</w:t>
      </w:r>
      <w:r w:rsidR="00B0571D" w:rsidRPr="006126BA">
        <w:tab/>
        <w:t>vahvistaa ennakkoarvion varainhoitovuodeksi 2025;</w:t>
      </w:r>
    </w:p>
    <w:p w14:paraId="6A5C8E57" w14:textId="4D8F23DB" w:rsidR="00B0571D" w:rsidRPr="007D5DA4" w:rsidRDefault="000173E3" w:rsidP="006126BA">
      <w:pPr>
        <w:pStyle w:val="action0"/>
        <w:spacing w:after="200"/>
        <w:ind w:left="567" w:hanging="567"/>
        <w:rPr>
          <w:rFonts w:ascii="Arial" w:hAnsi="Arial" w:cs="Arial"/>
          <w:sz w:val="22"/>
          <w:szCs w:val="22"/>
        </w:rPr>
      </w:pPr>
      <w:r>
        <w:t>32</w:t>
      </w:r>
      <w:r w:rsidR="00B0571D" w:rsidRPr="006126BA">
        <w:t>.</w:t>
      </w:r>
      <w:r w:rsidR="00B0571D" w:rsidRPr="006126BA">
        <w:tab/>
        <w:t xml:space="preserve">kehottaa puhemiestä välittämään tämän päätöslauselman ja ennakkoarvion </w:t>
      </w:r>
      <w:r w:rsidR="007D5DA4" w:rsidRPr="006126BA">
        <w:t>neuvostolle ja komissiolle.</w:t>
      </w:r>
    </w:p>
    <w:sectPr w:rsidR="00B0571D" w:rsidRPr="007D5DA4" w:rsidSect="007D5DA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BC027" w14:textId="77777777" w:rsidR="008028A5" w:rsidRPr="007D5DA4" w:rsidRDefault="008028A5">
      <w:r w:rsidRPr="007D5DA4">
        <w:separator/>
      </w:r>
    </w:p>
  </w:endnote>
  <w:endnote w:type="continuationSeparator" w:id="0">
    <w:p w14:paraId="4722BB35" w14:textId="77777777" w:rsidR="008028A5" w:rsidRPr="007D5DA4" w:rsidRDefault="008028A5">
      <w:r w:rsidRPr="007D5D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FC737" w14:textId="77777777" w:rsidR="008028A5" w:rsidRPr="007D5DA4" w:rsidRDefault="008028A5">
      <w:r w:rsidRPr="007D5DA4">
        <w:separator/>
      </w:r>
    </w:p>
  </w:footnote>
  <w:footnote w:type="continuationSeparator" w:id="0">
    <w:p w14:paraId="3643B442" w14:textId="77777777" w:rsidR="008028A5" w:rsidRPr="007D5DA4" w:rsidRDefault="008028A5">
      <w:r w:rsidRPr="007D5DA4">
        <w:continuationSeparator/>
      </w:r>
    </w:p>
  </w:footnote>
  <w:footnote w:id="1">
    <w:p w14:paraId="5DA79B32" w14:textId="77777777" w:rsidR="008028A5" w:rsidRPr="006126BA" w:rsidRDefault="008028A5" w:rsidP="007D5DA4">
      <w:pPr>
        <w:pStyle w:val="FootnoteText"/>
        <w:ind w:left="567" w:hanging="567"/>
        <w:rPr>
          <w:sz w:val="24"/>
          <w:lang w:val="da-DK"/>
        </w:rPr>
      </w:pPr>
      <w:r w:rsidRPr="007D5DA4">
        <w:rPr>
          <w:rStyle w:val="FootnoteReference"/>
          <w:sz w:val="24"/>
          <w:lang w:val="fi-FI"/>
        </w:rPr>
        <w:footnoteRef/>
      </w:r>
      <w:r w:rsidRPr="006126BA">
        <w:rPr>
          <w:sz w:val="24"/>
          <w:lang w:val="da-DK"/>
        </w:rPr>
        <w:t xml:space="preserve"> </w:t>
      </w:r>
      <w:r w:rsidRPr="006126BA">
        <w:rPr>
          <w:sz w:val="24"/>
          <w:lang w:val="da-DK"/>
        </w:rPr>
        <w:tab/>
        <w:t>EUVL L 193, 30.7.2018, s. 1.</w:t>
      </w:r>
    </w:p>
  </w:footnote>
  <w:footnote w:id="2">
    <w:p w14:paraId="01F9B8FD" w14:textId="77777777" w:rsidR="008028A5" w:rsidRPr="006126BA" w:rsidRDefault="008028A5" w:rsidP="007D5DA4">
      <w:pPr>
        <w:pStyle w:val="FootnoteText"/>
        <w:ind w:left="567" w:hanging="567"/>
        <w:rPr>
          <w:sz w:val="24"/>
          <w:lang w:val="da-DK"/>
        </w:rPr>
      </w:pPr>
      <w:r w:rsidRPr="007D5DA4">
        <w:rPr>
          <w:rStyle w:val="FootnoteReference"/>
          <w:sz w:val="24"/>
          <w:lang w:val="fi-FI"/>
        </w:rPr>
        <w:footnoteRef/>
      </w:r>
      <w:r w:rsidRPr="006126BA">
        <w:rPr>
          <w:sz w:val="24"/>
          <w:lang w:val="da-DK"/>
        </w:rPr>
        <w:t xml:space="preserve"> </w:t>
      </w:r>
      <w:r w:rsidRPr="006126BA">
        <w:rPr>
          <w:sz w:val="24"/>
          <w:lang w:val="da-DK"/>
        </w:rPr>
        <w:tab/>
        <w:t>EUVL L 433 I, 22.12.2020, s. 11.</w:t>
      </w:r>
    </w:p>
  </w:footnote>
  <w:footnote w:id="3">
    <w:p w14:paraId="643A83FF" w14:textId="77777777" w:rsidR="008028A5" w:rsidRPr="007D5DA4" w:rsidRDefault="008028A5" w:rsidP="007D5DA4">
      <w:pPr>
        <w:pStyle w:val="FootnoteText"/>
        <w:ind w:left="567" w:hanging="567"/>
        <w:rPr>
          <w:sz w:val="24"/>
          <w:lang w:val="fi-FI"/>
        </w:rPr>
      </w:pPr>
      <w:r w:rsidRPr="007D5DA4">
        <w:rPr>
          <w:rStyle w:val="FootnoteReference"/>
          <w:sz w:val="24"/>
          <w:lang w:val="fi-FI"/>
        </w:rPr>
        <w:footnoteRef/>
      </w:r>
      <w:r w:rsidRPr="007D5DA4">
        <w:rPr>
          <w:sz w:val="24"/>
          <w:lang w:val="fi-FI"/>
        </w:rPr>
        <w:t xml:space="preserve"> </w:t>
      </w:r>
      <w:r w:rsidRPr="007D5DA4">
        <w:rPr>
          <w:sz w:val="24"/>
          <w:lang w:val="fi-FI"/>
        </w:rPr>
        <w:tab/>
        <w:t>EUVL C 444 I, 22.12.2020, s. 4.</w:t>
      </w:r>
    </w:p>
  </w:footnote>
  <w:footnote w:id="4">
    <w:p w14:paraId="33E6AF6C" w14:textId="77777777" w:rsidR="008028A5" w:rsidRPr="007D5DA4" w:rsidRDefault="008028A5" w:rsidP="007D5DA4">
      <w:pPr>
        <w:pStyle w:val="FootnoteText"/>
        <w:ind w:left="567" w:hanging="567"/>
        <w:rPr>
          <w:sz w:val="24"/>
          <w:lang w:val="fi-FI"/>
        </w:rPr>
      </w:pPr>
      <w:r w:rsidRPr="007D5DA4">
        <w:rPr>
          <w:rStyle w:val="FootnoteReference"/>
          <w:sz w:val="24"/>
          <w:lang w:val="fi-FI"/>
        </w:rPr>
        <w:footnoteRef/>
      </w:r>
      <w:r w:rsidRPr="007D5DA4">
        <w:rPr>
          <w:sz w:val="24"/>
          <w:lang w:val="fi-FI"/>
        </w:rPr>
        <w:t xml:space="preserve"> </w:t>
      </w:r>
      <w:r w:rsidRPr="007D5DA4">
        <w:rPr>
          <w:sz w:val="24"/>
          <w:lang w:val="fi-FI"/>
        </w:rPr>
        <w:tab/>
        <w:t>Hyväksytyt tekstit, P9_TA(2020)0357.</w:t>
      </w:r>
    </w:p>
  </w:footnote>
  <w:footnote w:id="5">
    <w:p w14:paraId="33E48E4A" w14:textId="77777777" w:rsidR="008028A5" w:rsidRPr="007D5DA4" w:rsidRDefault="008028A5" w:rsidP="007D5DA4">
      <w:pPr>
        <w:pStyle w:val="FootnoteText"/>
        <w:ind w:left="567" w:hanging="567"/>
        <w:rPr>
          <w:sz w:val="24"/>
          <w:lang w:val="fi-FI"/>
        </w:rPr>
      </w:pPr>
      <w:r w:rsidRPr="007D5DA4">
        <w:rPr>
          <w:rStyle w:val="FootnoteReference"/>
          <w:sz w:val="24"/>
          <w:lang w:val="fi-FI"/>
        </w:rPr>
        <w:footnoteRef/>
      </w:r>
      <w:r w:rsidRPr="007D5DA4">
        <w:rPr>
          <w:sz w:val="24"/>
          <w:lang w:val="fi-FI"/>
        </w:rPr>
        <w:t xml:space="preserve"> </w:t>
      </w:r>
      <w:r w:rsidRPr="007D5DA4">
        <w:rPr>
          <w:sz w:val="24"/>
          <w:lang w:val="fi-FI"/>
        </w:rPr>
        <w:tab/>
        <w:t>EUVL L 433 I, 22.12.2020, s. 28.</w:t>
      </w:r>
    </w:p>
  </w:footnote>
  <w:footnote w:id="6">
    <w:p w14:paraId="62336E5E" w14:textId="77777777" w:rsidR="008028A5" w:rsidRPr="007D5DA4" w:rsidRDefault="008028A5" w:rsidP="007D5DA4">
      <w:pPr>
        <w:pStyle w:val="FootnoteText"/>
        <w:ind w:left="567" w:hanging="567"/>
        <w:rPr>
          <w:sz w:val="24"/>
          <w:lang w:val="fi-FI"/>
        </w:rPr>
      </w:pPr>
      <w:r w:rsidRPr="007D5DA4">
        <w:rPr>
          <w:rStyle w:val="FootnoteReference"/>
          <w:sz w:val="24"/>
          <w:lang w:val="fi-FI"/>
        </w:rPr>
        <w:footnoteRef/>
      </w:r>
      <w:r w:rsidRPr="007D5DA4">
        <w:rPr>
          <w:sz w:val="24"/>
          <w:lang w:val="fi-FI"/>
        </w:rPr>
        <w:t xml:space="preserve"> </w:t>
      </w:r>
      <w:r w:rsidRPr="007D5DA4">
        <w:rPr>
          <w:sz w:val="24"/>
          <w:lang w:val="fi-FI"/>
        </w:rPr>
        <w:tab/>
        <w:t>Hyväksytyt tekstit, P9_TA(2023)0335.</w:t>
      </w:r>
    </w:p>
  </w:footnote>
  <w:footnote w:id="7">
    <w:p w14:paraId="6A1E02E8" w14:textId="77777777" w:rsidR="008028A5" w:rsidRPr="007D5DA4" w:rsidRDefault="008028A5" w:rsidP="007D5DA4">
      <w:pPr>
        <w:pStyle w:val="Action"/>
        <w:tabs>
          <w:tab w:val="clear" w:pos="357"/>
        </w:tabs>
        <w:spacing w:after="0"/>
        <w:ind w:left="567" w:hanging="567"/>
        <w:outlineLvl w:val="0"/>
      </w:pPr>
      <w:r w:rsidRPr="007D5DA4">
        <w:rPr>
          <w:rStyle w:val="FootnoteReference"/>
        </w:rPr>
        <w:footnoteRef/>
      </w:r>
      <w:r w:rsidRPr="007D5DA4">
        <w:t xml:space="preserve"> </w:t>
      </w:r>
      <w:r w:rsidRPr="007D5DA4">
        <w:tab/>
        <w:t>EUVL C 177, 17.5.2023, s. 115.</w:t>
      </w:r>
    </w:p>
  </w:footnote>
  <w:footnote w:id="8">
    <w:p w14:paraId="1C627AAA" w14:textId="77777777" w:rsidR="008028A5" w:rsidRPr="007D5DA4" w:rsidRDefault="008028A5" w:rsidP="007D5DA4">
      <w:pPr>
        <w:pStyle w:val="FootnoteText"/>
        <w:ind w:left="567" w:hanging="567"/>
        <w:rPr>
          <w:sz w:val="24"/>
          <w:lang w:val="fi-FI"/>
        </w:rPr>
      </w:pPr>
      <w:r w:rsidRPr="007D5DA4">
        <w:rPr>
          <w:rStyle w:val="FootnoteReference"/>
          <w:sz w:val="24"/>
          <w:lang w:val="fi-FI"/>
        </w:rPr>
        <w:footnoteRef/>
      </w:r>
      <w:r w:rsidRPr="007D5DA4">
        <w:rPr>
          <w:rStyle w:val="Emphasis"/>
          <w:color w:val="333333"/>
          <w:sz w:val="24"/>
          <w:shd w:val="clear" w:color="auto" w:fill="FFFFFF"/>
          <w:lang w:val="fi-FI"/>
        </w:rPr>
        <w:t xml:space="preserve"> </w:t>
      </w:r>
      <w:r w:rsidRPr="007D5DA4">
        <w:rPr>
          <w:rStyle w:val="Emphasis"/>
          <w:color w:val="333333"/>
          <w:sz w:val="24"/>
          <w:shd w:val="clear" w:color="auto" w:fill="FFFFFF"/>
          <w:lang w:val="fi-FI"/>
        </w:rPr>
        <w:tab/>
      </w:r>
      <w:r w:rsidRPr="006126BA">
        <w:rPr>
          <w:rStyle w:val="Emphasis"/>
          <w:i w:val="0"/>
          <w:color w:val="333333"/>
          <w:sz w:val="24"/>
          <w:shd w:val="clear" w:color="auto" w:fill="FFFFFF"/>
          <w:lang w:val="fi-FI"/>
        </w:rPr>
        <w:t>EUVL L, 2024/765, 29.2.2024, ELI: http://data.europa.eu/eli/reg/2024/765/oj.</w:t>
      </w:r>
    </w:p>
  </w:footnote>
  <w:footnote w:id="9">
    <w:p w14:paraId="09089351" w14:textId="77777777" w:rsidR="008028A5" w:rsidRPr="007D5DA4" w:rsidRDefault="008028A5" w:rsidP="007D5DA4">
      <w:pPr>
        <w:pStyle w:val="FootnoteText"/>
        <w:ind w:left="567" w:hanging="567"/>
        <w:rPr>
          <w:sz w:val="24"/>
          <w:lang w:val="fi-FI"/>
        </w:rPr>
      </w:pPr>
      <w:r w:rsidRPr="007D5DA4">
        <w:rPr>
          <w:rStyle w:val="FootnoteReference"/>
          <w:sz w:val="24"/>
          <w:lang w:val="fi-FI"/>
        </w:rPr>
        <w:footnoteRef/>
      </w:r>
      <w:r w:rsidRPr="007D5DA4">
        <w:rPr>
          <w:sz w:val="24"/>
          <w:lang w:val="fi-FI"/>
        </w:rPr>
        <w:t xml:space="preserve"> </w:t>
      </w:r>
      <w:r w:rsidRPr="007D5DA4">
        <w:rPr>
          <w:sz w:val="24"/>
          <w:lang w:val="fi-FI"/>
        </w:rPr>
        <w:tab/>
        <w:t>COM(2022)0223.</w:t>
      </w:r>
    </w:p>
  </w:footnote>
  <w:footnote w:id="10">
    <w:p w14:paraId="29084FD0" w14:textId="77777777" w:rsidR="008028A5" w:rsidRPr="007D5DA4" w:rsidRDefault="008028A5" w:rsidP="007D5DA4">
      <w:pPr>
        <w:pStyle w:val="FootnoteText"/>
        <w:ind w:left="567" w:hanging="567"/>
        <w:rPr>
          <w:sz w:val="24"/>
          <w:lang w:val="fi-FI"/>
        </w:rPr>
      </w:pPr>
      <w:r w:rsidRPr="007D5DA4">
        <w:rPr>
          <w:rStyle w:val="FootnoteReference"/>
          <w:sz w:val="24"/>
          <w:lang w:val="fi-FI"/>
        </w:rPr>
        <w:footnoteRef/>
      </w:r>
      <w:r w:rsidRPr="007D5DA4">
        <w:rPr>
          <w:sz w:val="24"/>
          <w:lang w:val="fi-FI"/>
        </w:rPr>
        <w:t xml:space="preserve"> </w:t>
      </w:r>
      <w:r w:rsidRPr="007D5DA4">
        <w:rPr>
          <w:sz w:val="24"/>
          <w:lang w:val="fi-FI"/>
        </w:rPr>
        <w:tab/>
        <w:t>EUVL L 287, 29.10.2013, s. 15.</w:t>
      </w:r>
    </w:p>
  </w:footnote>
  <w:footnote w:id="11">
    <w:p w14:paraId="3EEA99AE" w14:textId="77777777" w:rsidR="008028A5" w:rsidRPr="007D5DA4" w:rsidRDefault="008028A5" w:rsidP="007D5DA4">
      <w:pPr>
        <w:pStyle w:val="FootnoteText"/>
        <w:ind w:left="567" w:hanging="567"/>
        <w:rPr>
          <w:sz w:val="24"/>
          <w:lang w:val="fi-FI"/>
        </w:rPr>
      </w:pPr>
      <w:r w:rsidRPr="007D5DA4">
        <w:rPr>
          <w:rStyle w:val="FootnoteReference"/>
          <w:sz w:val="24"/>
          <w:lang w:val="fi-FI"/>
        </w:rPr>
        <w:footnoteRef/>
      </w:r>
      <w:r w:rsidRPr="007D5DA4">
        <w:rPr>
          <w:sz w:val="24"/>
          <w:lang w:val="fi-FI"/>
        </w:rPr>
        <w:t xml:space="preserve"> </w:t>
      </w:r>
      <w:r w:rsidRPr="007D5DA4">
        <w:rPr>
          <w:sz w:val="24"/>
          <w:lang w:val="fi-FI"/>
        </w:rPr>
        <w:tab/>
        <w:t>Hyväksytyt tekstit, P9_TA(2023)0119.</w:t>
      </w:r>
    </w:p>
  </w:footnote>
  <w:footnote w:id="12">
    <w:p w14:paraId="49168E1D" w14:textId="77777777" w:rsidR="008028A5" w:rsidRPr="007D5DA4" w:rsidRDefault="008028A5" w:rsidP="007D5DA4">
      <w:pPr>
        <w:pStyle w:val="FootnoteText"/>
        <w:ind w:left="567" w:hanging="567"/>
        <w:rPr>
          <w:sz w:val="24"/>
          <w:lang w:val="fi-FI"/>
        </w:rPr>
      </w:pPr>
      <w:r w:rsidRPr="007D5DA4">
        <w:rPr>
          <w:rStyle w:val="FootnoteReference"/>
          <w:sz w:val="24"/>
          <w:lang w:val="fi-FI"/>
        </w:rPr>
        <w:footnoteRef/>
      </w:r>
      <w:r w:rsidRPr="007D5DA4">
        <w:rPr>
          <w:sz w:val="24"/>
          <w:lang w:val="fi-FI"/>
        </w:rPr>
        <w:t xml:space="preserve"> </w:t>
      </w:r>
      <w:r w:rsidRPr="007D5DA4">
        <w:rPr>
          <w:sz w:val="24"/>
          <w:lang w:val="fi-FI"/>
        </w:rPr>
        <w:tab/>
        <w:t>Hyväksytyt tekstit, P9_TA(2023)0367.</w:t>
      </w:r>
    </w:p>
  </w:footnote>
  <w:footnote w:id="13">
    <w:p w14:paraId="0156C994" w14:textId="222A48AB" w:rsidR="008028A5" w:rsidRPr="007D5DA4" w:rsidRDefault="008028A5" w:rsidP="007D5DA4">
      <w:pPr>
        <w:pStyle w:val="FootnoteText"/>
        <w:ind w:left="567" w:hanging="567"/>
        <w:rPr>
          <w:sz w:val="24"/>
          <w:lang w:val="fi-FI"/>
        </w:rPr>
      </w:pPr>
      <w:r w:rsidRPr="007D5DA4">
        <w:rPr>
          <w:rStyle w:val="FootnoteReference"/>
          <w:sz w:val="24"/>
          <w:lang w:val="fi-FI"/>
        </w:rPr>
        <w:footnoteRef/>
      </w:r>
      <w:r w:rsidRPr="007D5DA4">
        <w:rPr>
          <w:sz w:val="24"/>
          <w:lang w:val="fi-FI"/>
        </w:rPr>
        <w:t xml:space="preserve"> </w:t>
      </w:r>
      <w:r w:rsidRPr="007D5DA4">
        <w:rPr>
          <w:sz w:val="24"/>
          <w:lang w:val="fi-FI"/>
        </w:rPr>
        <w:tab/>
        <w:t>EUVL L 207, 22.2.2024.</w:t>
      </w:r>
    </w:p>
  </w:footnote>
  <w:footnote w:id="14">
    <w:p w14:paraId="797FDA79" w14:textId="77777777" w:rsidR="008028A5" w:rsidRPr="007D5DA4" w:rsidRDefault="008028A5" w:rsidP="007D5DA4">
      <w:pPr>
        <w:pStyle w:val="FootnoteText"/>
        <w:ind w:left="567" w:hanging="567"/>
        <w:rPr>
          <w:sz w:val="24"/>
          <w:lang w:val="fi-FI"/>
        </w:rPr>
      </w:pPr>
      <w:r w:rsidRPr="007D5DA4">
        <w:rPr>
          <w:rStyle w:val="FootnoteReference"/>
          <w:sz w:val="24"/>
          <w:lang w:val="fi-FI"/>
        </w:rPr>
        <w:footnoteRef/>
      </w:r>
      <w:r w:rsidRPr="007D5DA4">
        <w:rPr>
          <w:sz w:val="24"/>
          <w:lang w:val="fi-FI"/>
        </w:rPr>
        <w:t xml:space="preserve"> </w:t>
      </w:r>
      <w:r w:rsidRPr="007D5DA4">
        <w:rPr>
          <w:sz w:val="24"/>
          <w:lang w:val="fi-FI"/>
        </w:rPr>
        <w:tab/>
        <w:t>Hyväksytyt tekstit, P9_TA(2022)0366.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0"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1"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2"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3"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3" w15:restartNumberingAfterBreak="0">
    <w:nsid w:val="1B59677E"/>
    <w:multiLevelType w:val="hybridMultilevel"/>
    <w:tmpl w:val="4374264C"/>
    <w:lvl w:ilvl="0" w:tplc="E7B81872">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4" w15:restartNumberingAfterBreak="0">
    <w:nsid w:val="335C0D9D"/>
    <w:multiLevelType w:val="hybridMultilevel"/>
    <w:tmpl w:val="DDB89A0A"/>
    <w:lvl w:ilvl="0" w:tplc="04090001">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3B15534A"/>
    <w:multiLevelType w:val="hybridMultilevel"/>
    <w:tmpl w:val="680E4B70"/>
    <w:lvl w:ilvl="0" w:tplc="04090001">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5B5B7323"/>
    <w:multiLevelType w:val="hybridMultilevel"/>
    <w:tmpl w:val="C4EC386E"/>
    <w:lvl w:ilvl="0" w:tplc="04090001">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3"/>
  </w:num>
  <w:num w:numId="36">
    <w:abstractNumId w:val="34"/>
  </w:num>
  <w:num w:numId="37">
    <w:abstractNumId w:val="37"/>
  </w:num>
  <w:num w:numId="38">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FI"/>
    <w:docVar w:name="dvnumam" w:val="0"/>
    <w:docVar w:name="dvpe" w:val="759.633"/>
    <w:docVar w:name="dvrapporteur" w:val="Esittelijä: "/>
    <w:docVar w:name="dvtitre" w:val="Euroopan parlamentin päätöslauselma 25. huhtikuuta 2024 Euroopan parlamentin ennakkoarviosta tuloista ja menoista varainhoitovuodeksi 2025(2023/2221(BUI))"/>
  </w:docVars>
  <w:rsids>
    <w:rsidRoot w:val="00003393"/>
    <w:rsid w:val="00002272"/>
    <w:rsid w:val="00003393"/>
    <w:rsid w:val="000173E3"/>
    <w:rsid w:val="00064002"/>
    <w:rsid w:val="000677B9"/>
    <w:rsid w:val="000831BA"/>
    <w:rsid w:val="000A42CC"/>
    <w:rsid w:val="000E33E8"/>
    <w:rsid w:val="000E7DD9"/>
    <w:rsid w:val="0010095E"/>
    <w:rsid w:val="00125B37"/>
    <w:rsid w:val="00187494"/>
    <w:rsid w:val="001F32AE"/>
    <w:rsid w:val="002767FF"/>
    <w:rsid w:val="002B18FE"/>
    <w:rsid w:val="002B5493"/>
    <w:rsid w:val="00343214"/>
    <w:rsid w:val="00361C00"/>
    <w:rsid w:val="00395FA1"/>
    <w:rsid w:val="003E15D4"/>
    <w:rsid w:val="00410EE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CA1"/>
    <w:rsid w:val="006037C0"/>
    <w:rsid w:val="006126BA"/>
    <w:rsid w:val="006631B6"/>
    <w:rsid w:val="00680577"/>
    <w:rsid w:val="006F74FA"/>
    <w:rsid w:val="00731ADD"/>
    <w:rsid w:val="00734777"/>
    <w:rsid w:val="00747932"/>
    <w:rsid w:val="00751318"/>
    <w:rsid w:val="00751A4A"/>
    <w:rsid w:val="00756632"/>
    <w:rsid w:val="00762C74"/>
    <w:rsid w:val="00786EC0"/>
    <w:rsid w:val="007D1690"/>
    <w:rsid w:val="007D5DA4"/>
    <w:rsid w:val="007E22AD"/>
    <w:rsid w:val="008028A5"/>
    <w:rsid w:val="00817416"/>
    <w:rsid w:val="00842779"/>
    <w:rsid w:val="00865F67"/>
    <w:rsid w:val="00881A7B"/>
    <w:rsid w:val="008840E5"/>
    <w:rsid w:val="00887B3E"/>
    <w:rsid w:val="008C2AC6"/>
    <w:rsid w:val="00901A5C"/>
    <w:rsid w:val="0090430B"/>
    <w:rsid w:val="00930C23"/>
    <w:rsid w:val="0093193B"/>
    <w:rsid w:val="009509D8"/>
    <w:rsid w:val="00950B64"/>
    <w:rsid w:val="00981893"/>
    <w:rsid w:val="009D12E4"/>
    <w:rsid w:val="00A1687D"/>
    <w:rsid w:val="00A43E52"/>
    <w:rsid w:val="00A4678D"/>
    <w:rsid w:val="00A778C7"/>
    <w:rsid w:val="00AB441E"/>
    <w:rsid w:val="00AB6293"/>
    <w:rsid w:val="00AE0928"/>
    <w:rsid w:val="00AF3B82"/>
    <w:rsid w:val="00B0571D"/>
    <w:rsid w:val="00B12E95"/>
    <w:rsid w:val="00B22876"/>
    <w:rsid w:val="00B558F0"/>
    <w:rsid w:val="00BD48FE"/>
    <w:rsid w:val="00BD7BD8"/>
    <w:rsid w:val="00BE6ADC"/>
    <w:rsid w:val="00C05BFE"/>
    <w:rsid w:val="00C23CD4"/>
    <w:rsid w:val="00C61C0C"/>
    <w:rsid w:val="00C941CB"/>
    <w:rsid w:val="00CC2357"/>
    <w:rsid w:val="00CF071A"/>
    <w:rsid w:val="00D058B8"/>
    <w:rsid w:val="00D30F4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DEE3F6"/>
  <w15:chartTrackingRefBased/>
  <w15:docId w15:val="{647833FA-50E2-46E9-B3F0-05B70372F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symbol,Footnote,Footnote Reference Number,Footnote Reference_LVL6,Footnote Reference_LVL61,Footnote Reference_LVL62,Footnote Reference_LVL63,Footnote Reference_LVL64,C26 Footnote Number,Footnote Reference_LVL65,16 Poi"/>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0571D"/>
    <w:rPr>
      <w:b/>
      <w:kern w:val="28"/>
      <w:sz w:val="28"/>
      <w:lang w:val="fr-FR" w:eastAsia="fr-FR"/>
    </w:rPr>
  </w:style>
  <w:style w:type="character" w:customStyle="1" w:styleId="Heading2Char">
    <w:name w:val="Heading 2 Char"/>
    <w:basedOn w:val="DefaultParagraphFont"/>
    <w:link w:val="Heading2"/>
    <w:uiPriority w:val="9"/>
    <w:semiHidden/>
    <w:rsid w:val="00B0571D"/>
    <w:rPr>
      <w:sz w:val="24"/>
      <w:lang w:val="fr-FR" w:eastAsia="fr-FR"/>
    </w:rPr>
  </w:style>
  <w:style w:type="character" w:customStyle="1" w:styleId="Heading3Char">
    <w:name w:val="Heading 3 Char"/>
    <w:basedOn w:val="DefaultParagraphFont"/>
    <w:link w:val="Heading3"/>
    <w:uiPriority w:val="9"/>
    <w:semiHidden/>
    <w:rsid w:val="00B0571D"/>
    <w:rPr>
      <w:rFonts w:ascii="Arial" w:hAnsi="Arial"/>
      <w:sz w:val="24"/>
      <w:lang w:val="fr-FR" w:eastAsia="fr-FR"/>
    </w:rPr>
  </w:style>
  <w:style w:type="character" w:customStyle="1" w:styleId="Heading4Char">
    <w:name w:val="Heading 4 Char"/>
    <w:basedOn w:val="DefaultParagraphFont"/>
    <w:link w:val="Heading4"/>
    <w:uiPriority w:val="9"/>
    <w:semiHidden/>
    <w:rsid w:val="00B0571D"/>
    <w:rPr>
      <w:sz w:val="24"/>
      <w:lang w:val="en-US" w:eastAsia="fr-FR"/>
    </w:rPr>
  </w:style>
  <w:style w:type="character" w:customStyle="1" w:styleId="Heading5Char">
    <w:name w:val="Heading 5 Char"/>
    <w:basedOn w:val="DefaultParagraphFont"/>
    <w:link w:val="Heading5"/>
    <w:uiPriority w:val="9"/>
    <w:semiHidden/>
    <w:rsid w:val="00B0571D"/>
    <w:rPr>
      <w:sz w:val="24"/>
      <w:lang w:val="en-US" w:eastAsia="fr-FR"/>
    </w:rPr>
  </w:style>
  <w:style w:type="character" w:customStyle="1" w:styleId="Heading6Char">
    <w:name w:val="Heading 6 Char"/>
    <w:basedOn w:val="DefaultParagraphFont"/>
    <w:link w:val="Heading6"/>
    <w:uiPriority w:val="9"/>
    <w:semiHidden/>
    <w:rsid w:val="00B0571D"/>
    <w:rPr>
      <w:i/>
      <w:sz w:val="22"/>
      <w:lang w:val="fi-FI"/>
    </w:rPr>
  </w:style>
  <w:style w:type="character" w:customStyle="1" w:styleId="Heading7Char">
    <w:name w:val="Heading 7 Char"/>
    <w:basedOn w:val="DefaultParagraphFont"/>
    <w:link w:val="Heading7"/>
    <w:uiPriority w:val="9"/>
    <w:semiHidden/>
    <w:rsid w:val="00B0571D"/>
    <w:rPr>
      <w:rFonts w:ascii="Arial" w:hAnsi="Arial"/>
      <w:sz w:val="24"/>
      <w:lang w:val="fi-FI"/>
    </w:rPr>
  </w:style>
  <w:style w:type="character" w:customStyle="1" w:styleId="Heading8Char">
    <w:name w:val="Heading 8 Char"/>
    <w:basedOn w:val="DefaultParagraphFont"/>
    <w:link w:val="Heading8"/>
    <w:uiPriority w:val="9"/>
    <w:semiHidden/>
    <w:rsid w:val="00B0571D"/>
    <w:rPr>
      <w:rFonts w:ascii="Arial" w:hAnsi="Arial"/>
      <w:i/>
      <w:sz w:val="24"/>
      <w:lang w:val="fi-FI"/>
    </w:rPr>
  </w:style>
  <w:style w:type="character" w:customStyle="1" w:styleId="Heading9Char">
    <w:name w:val="Heading 9 Char"/>
    <w:basedOn w:val="DefaultParagraphFont"/>
    <w:link w:val="Heading9"/>
    <w:uiPriority w:val="9"/>
    <w:semiHidden/>
    <w:rsid w:val="00B0571D"/>
    <w:rPr>
      <w:rFonts w:ascii="Arial" w:hAnsi="Arial"/>
      <w:b/>
      <w:i/>
      <w:sz w:val="18"/>
      <w:lang w:val="fi-FI"/>
    </w:rPr>
  </w:style>
  <w:style w:type="paragraph" w:styleId="TOCHeading">
    <w:name w:val="TOC Heading"/>
    <w:basedOn w:val="Normal"/>
    <w:next w:val="Normal"/>
    <w:uiPriority w:val="39"/>
    <w:unhideWhenUsed/>
    <w:qFormat/>
    <w:rsid w:val="00B0571D"/>
    <w:pPr>
      <w:widowControl/>
      <w:spacing w:after="240"/>
    </w:pPr>
    <w:rPr>
      <w:lang w:val="en-GB"/>
    </w:rPr>
  </w:style>
  <w:style w:type="paragraph" w:customStyle="1" w:styleId="EPFooter2">
    <w:name w:val="EPFooter2"/>
    <w:basedOn w:val="Normal"/>
    <w:next w:val="Normal"/>
    <w:rsid w:val="00B0571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B0571D"/>
    <w:pPr>
      <w:spacing w:after="240"/>
    </w:pPr>
  </w:style>
  <w:style w:type="paragraph" w:customStyle="1" w:styleId="TOCPage">
    <w:name w:val="TOC Page"/>
    <w:basedOn w:val="Normal"/>
    <w:next w:val="TOC1"/>
    <w:rsid w:val="00B0571D"/>
    <w:pPr>
      <w:keepNext/>
      <w:spacing w:after="240"/>
      <w:jc w:val="right"/>
    </w:pPr>
    <w:rPr>
      <w:rFonts w:ascii="Arial" w:hAnsi="Arial"/>
      <w:b/>
    </w:rPr>
  </w:style>
  <w:style w:type="paragraph" w:customStyle="1" w:styleId="PageHeading">
    <w:name w:val="PageHeading"/>
    <w:basedOn w:val="Normal"/>
    <w:rsid w:val="00B0571D"/>
    <w:pPr>
      <w:keepNext/>
      <w:spacing w:after="480"/>
      <w:jc w:val="center"/>
    </w:pPr>
    <w:rPr>
      <w:rFonts w:ascii="Arial" w:hAnsi="Arial" w:cs="Arial"/>
      <w:b/>
    </w:rPr>
  </w:style>
  <w:style w:type="paragraph" w:customStyle="1" w:styleId="NormalBold">
    <w:name w:val="NormalBold"/>
    <w:basedOn w:val="Normal"/>
    <w:rsid w:val="00B0571D"/>
    <w:rPr>
      <w:b/>
    </w:rPr>
  </w:style>
  <w:style w:type="paragraph" w:customStyle="1" w:styleId="NormalHanging12a">
    <w:name w:val="NormalHanging12a"/>
    <w:basedOn w:val="Normal"/>
    <w:link w:val="NormalHanging12aChar"/>
    <w:rsid w:val="00B0571D"/>
    <w:pPr>
      <w:spacing w:after="240"/>
      <w:ind w:left="567" w:hanging="567"/>
    </w:pPr>
  </w:style>
  <w:style w:type="character" w:customStyle="1" w:styleId="NormalHanging12aChar">
    <w:name w:val="NormalHanging12a Char"/>
    <w:basedOn w:val="DefaultParagraphFont"/>
    <w:link w:val="NormalHanging12a"/>
    <w:locked/>
    <w:rsid w:val="00B0571D"/>
    <w:rPr>
      <w:sz w:val="24"/>
      <w:lang w:val="fi-FI"/>
    </w:rPr>
  </w:style>
  <w:style w:type="paragraph" w:customStyle="1" w:styleId="CoverNormal24a">
    <w:name w:val="CoverNormal24a"/>
    <w:basedOn w:val="Normal"/>
    <w:rsid w:val="00B0571D"/>
    <w:pPr>
      <w:spacing w:after="480"/>
      <w:ind w:left="1417"/>
    </w:pPr>
  </w:style>
  <w:style w:type="paragraph" w:customStyle="1" w:styleId="CoverNormal">
    <w:name w:val="CoverNormal"/>
    <w:basedOn w:val="Normal"/>
    <w:rsid w:val="00B0571D"/>
    <w:pPr>
      <w:ind w:left="1418"/>
    </w:pPr>
  </w:style>
  <w:style w:type="paragraph" w:customStyle="1" w:styleId="CoverReference">
    <w:name w:val="CoverReference"/>
    <w:basedOn w:val="Normal"/>
    <w:rsid w:val="00B0571D"/>
    <w:pPr>
      <w:spacing w:before="1080"/>
      <w:jc w:val="right"/>
    </w:pPr>
    <w:rPr>
      <w:rFonts w:ascii="Arial" w:hAnsi="Arial" w:cs="Arial"/>
      <w:b/>
    </w:rPr>
  </w:style>
  <w:style w:type="paragraph" w:customStyle="1" w:styleId="CoverDocType24a">
    <w:name w:val="CoverDocType24a"/>
    <w:basedOn w:val="Normal"/>
    <w:rsid w:val="00B0571D"/>
    <w:pPr>
      <w:spacing w:after="480"/>
      <w:ind w:left="1418"/>
    </w:pPr>
    <w:rPr>
      <w:rFonts w:ascii="Arial" w:hAnsi="Arial"/>
      <w:b/>
      <w:sz w:val="48"/>
    </w:rPr>
  </w:style>
  <w:style w:type="paragraph" w:customStyle="1" w:styleId="CoverDate">
    <w:name w:val="CoverDate"/>
    <w:basedOn w:val="Normal"/>
    <w:rsid w:val="00B0571D"/>
    <w:pPr>
      <w:spacing w:before="240" w:after="1200"/>
    </w:pPr>
  </w:style>
  <w:style w:type="paragraph" w:customStyle="1" w:styleId="EPBody">
    <w:name w:val="EPBody"/>
    <w:basedOn w:val="Normal"/>
    <w:rsid w:val="00B0571D"/>
    <w:pPr>
      <w:jc w:val="center"/>
    </w:pPr>
    <w:rPr>
      <w:rFonts w:ascii="Arial" w:hAnsi="Arial" w:cs="Arial"/>
      <w:i/>
      <w:sz w:val="22"/>
      <w:szCs w:val="22"/>
    </w:rPr>
  </w:style>
  <w:style w:type="paragraph" w:customStyle="1" w:styleId="EPFooter">
    <w:name w:val="EPFooter"/>
    <w:basedOn w:val="Normal"/>
    <w:rsid w:val="00B0571D"/>
    <w:pPr>
      <w:tabs>
        <w:tab w:val="center" w:pos="4535"/>
        <w:tab w:val="right" w:pos="9071"/>
      </w:tabs>
      <w:spacing w:before="240" w:after="240"/>
    </w:pPr>
    <w:rPr>
      <w:color w:val="010000"/>
      <w:sz w:val="22"/>
    </w:rPr>
  </w:style>
  <w:style w:type="paragraph" w:styleId="Header">
    <w:name w:val="header"/>
    <w:basedOn w:val="Normal"/>
    <w:link w:val="HeaderChar"/>
    <w:uiPriority w:val="99"/>
    <w:rsid w:val="00B0571D"/>
    <w:pPr>
      <w:tabs>
        <w:tab w:val="center" w:pos="4513"/>
        <w:tab w:val="right" w:pos="9026"/>
      </w:tabs>
    </w:pPr>
  </w:style>
  <w:style w:type="character" w:customStyle="1" w:styleId="HeaderChar">
    <w:name w:val="Header Char"/>
    <w:basedOn w:val="DefaultParagraphFont"/>
    <w:link w:val="Header"/>
    <w:uiPriority w:val="99"/>
    <w:rsid w:val="00B0571D"/>
    <w:rPr>
      <w:sz w:val="24"/>
      <w:lang w:val="fi-FI"/>
    </w:rPr>
  </w:style>
  <w:style w:type="paragraph" w:customStyle="1" w:styleId="EPComma">
    <w:name w:val="EPComma"/>
    <w:basedOn w:val="Normal"/>
    <w:rsid w:val="00B0571D"/>
    <w:pPr>
      <w:spacing w:before="480" w:after="240"/>
    </w:pPr>
  </w:style>
  <w:style w:type="paragraph" w:customStyle="1" w:styleId="FootnoteReference1">
    <w:name w:val="Footnote Reference1"/>
    <w:basedOn w:val="Normal"/>
    <w:link w:val="FootnoteReference"/>
    <w:rsid w:val="00B0571D"/>
    <w:pPr>
      <w:widowControl/>
      <w:spacing w:after="160" w:line="240" w:lineRule="exact"/>
    </w:pPr>
    <w:rPr>
      <w:sz w:val="20"/>
      <w:vertAlign w:val="superscript"/>
      <w:lang w:val="en-GB"/>
    </w:rPr>
  </w:style>
  <w:style w:type="paragraph" w:customStyle="1" w:styleId="Action">
    <w:name w:val="Action"/>
    <w:basedOn w:val="Normal"/>
    <w:rsid w:val="00B0571D"/>
    <w:pPr>
      <w:tabs>
        <w:tab w:val="left" w:pos="357"/>
      </w:tabs>
      <w:spacing w:after="240"/>
      <w:ind w:left="357" w:hanging="357"/>
    </w:pPr>
  </w:style>
  <w:style w:type="paragraph" w:customStyle="1" w:styleId="action0">
    <w:name w:val="action"/>
    <w:basedOn w:val="Normal"/>
    <w:rsid w:val="00B0571D"/>
    <w:pPr>
      <w:widowControl/>
      <w:spacing w:after="240"/>
      <w:ind w:left="357" w:hanging="357"/>
    </w:pPr>
    <w:rPr>
      <w:rFonts w:eastAsiaTheme="minorHAnsi"/>
      <w:szCs w:val="24"/>
    </w:rPr>
  </w:style>
  <w:style w:type="paragraph" w:styleId="Footer">
    <w:name w:val="footer"/>
    <w:basedOn w:val="Normal"/>
    <w:link w:val="FooterChar"/>
    <w:uiPriority w:val="99"/>
    <w:rsid w:val="00B0571D"/>
    <w:pPr>
      <w:tabs>
        <w:tab w:val="center" w:pos="4513"/>
        <w:tab w:val="right" w:pos="9026"/>
      </w:tabs>
    </w:pPr>
  </w:style>
  <w:style w:type="character" w:customStyle="1" w:styleId="FooterChar">
    <w:name w:val="Footer Char"/>
    <w:basedOn w:val="DefaultParagraphFont"/>
    <w:link w:val="Footer"/>
    <w:uiPriority w:val="99"/>
    <w:rsid w:val="00B0571D"/>
    <w:rPr>
      <w:sz w:val="24"/>
      <w:lang w:val="fi-FI"/>
    </w:rPr>
  </w:style>
  <w:style w:type="character" w:customStyle="1" w:styleId="doceo-font-family-base">
    <w:name w:val="doceo-font-family-base"/>
    <w:basedOn w:val="DefaultParagraphFont"/>
    <w:rsid w:val="00B0571D"/>
  </w:style>
  <w:style w:type="paragraph" w:styleId="BalloonText">
    <w:name w:val="Balloon Text"/>
    <w:basedOn w:val="Normal"/>
    <w:link w:val="BalloonTextChar"/>
    <w:uiPriority w:val="99"/>
    <w:unhideWhenUsed/>
    <w:rsid w:val="00B0571D"/>
    <w:rPr>
      <w:rFonts w:ascii="Segoe UI" w:hAnsi="Segoe UI" w:cs="Segoe UI"/>
      <w:sz w:val="18"/>
      <w:szCs w:val="18"/>
    </w:rPr>
  </w:style>
  <w:style w:type="character" w:customStyle="1" w:styleId="BalloonTextChar">
    <w:name w:val="Balloon Text Char"/>
    <w:basedOn w:val="DefaultParagraphFont"/>
    <w:link w:val="BalloonText"/>
    <w:uiPriority w:val="99"/>
    <w:rsid w:val="00B0571D"/>
    <w:rPr>
      <w:rFonts w:ascii="Segoe UI" w:hAnsi="Segoe UI" w:cs="Segoe UI"/>
      <w:sz w:val="18"/>
      <w:szCs w:val="18"/>
      <w:lang w:val="fi-FI"/>
    </w:rPr>
  </w:style>
  <w:style w:type="paragraph" w:customStyle="1" w:styleId="Default">
    <w:name w:val="Default"/>
    <w:rsid w:val="00B0571D"/>
    <w:pPr>
      <w:spacing w:before="160"/>
    </w:pPr>
    <w:rPr>
      <w:rFonts w:ascii="Helvetica Neue" w:eastAsia="Arial Unicode MS" w:hAnsi="Helvetica Neue" w:cs="Arial Unicode MS"/>
      <w:color w:val="000000"/>
      <w:sz w:val="24"/>
      <w:szCs w:val="24"/>
      <w:lang w:val="fi-FI"/>
      <w14:textOutline w14:w="0" w14:cap="flat" w14:cmpd="sng" w14:algn="ctr">
        <w14:noFill/>
        <w14:prstDash w14:val="solid"/>
        <w14:bevel/>
      </w14:textOutline>
    </w:rPr>
  </w:style>
  <w:style w:type="paragraph" w:styleId="EndnoteText">
    <w:name w:val="endnote text"/>
    <w:basedOn w:val="Normal"/>
    <w:link w:val="EndnoteTextChar"/>
    <w:rsid w:val="00B0571D"/>
    <w:rPr>
      <w:sz w:val="20"/>
    </w:rPr>
  </w:style>
  <w:style w:type="character" w:customStyle="1" w:styleId="EndnoteTextChar">
    <w:name w:val="Endnote Text Char"/>
    <w:basedOn w:val="DefaultParagraphFont"/>
    <w:link w:val="EndnoteText"/>
    <w:rsid w:val="00B0571D"/>
    <w:rPr>
      <w:lang w:val="fi-FI"/>
    </w:rPr>
  </w:style>
  <w:style w:type="character" w:styleId="EndnoteReference">
    <w:name w:val="endnote reference"/>
    <w:basedOn w:val="DefaultParagraphFont"/>
    <w:rsid w:val="00B0571D"/>
    <w:rPr>
      <w:vertAlign w:val="superscript"/>
    </w:rPr>
  </w:style>
  <w:style w:type="character" w:styleId="Emphasis">
    <w:name w:val="Emphasis"/>
    <w:basedOn w:val="DefaultParagraphFont"/>
    <w:uiPriority w:val="20"/>
    <w:qFormat/>
    <w:rsid w:val="00B0571D"/>
    <w:rPr>
      <w:i/>
      <w:iCs/>
    </w:rPr>
  </w:style>
  <w:style w:type="paragraph" w:customStyle="1" w:styleId="msonormal0">
    <w:name w:val="msonormal"/>
    <w:basedOn w:val="Normal"/>
    <w:rsid w:val="00B0571D"/>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B0571D"/>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B0571D"/>
    <w:rPr>
      <w:rFonts w:eastAsiaTheme="minorHAnsi"/>
      <w:lang w:val="fi-FI" w:eastAsia="en-US"/>
    </w:rPr>
  </w:style>
  <w:style w:type="paragraph" w:styleId="Title">
    <w:name w:val="Title"/>
    <w:basedOn w:val="Normal"/>
    <w:next w:val="Normal"/>
    <w:link w:val="TitleChar"/>
    <w:uiPriority w:val="10"/>
    <w:qFormat/>
    <w:rsid w:val="00B0571D"/>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B0571D"/>
    <w:rPr>
      <w:rFonts w:ascii="Arial" w:eastAsiaTheme="majorEastAsia" w:hAnsi="Arial" w:cs="Arial"/>
      <w:b/>
      <w:bCs/>
      <w:kern w:val="28"/>
      <w:sz w:val="32"/>
      <w:szCs w:val="32"/>
      <w:lang w:val="fi-FI" w:eastAsia="en-US"/>
    </w:rPr>
  </w:style>
  <w:style w:type="paragraph" w:styleId="Subtitle">
    <w:name w:val="Subtitle"/>
    <w:basedOn w:val="Normal"/>
    <w:next w:val="Normal"/>
    <w:link w:val="SubtitleChar"/>
    <w:uiPriority w:val="11"/>
    <w:qFormat/>
    <w:rsid w:val="00B0571D"/>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B0571D"/>
    <w:rPr>
      <w:rFonts w:ascii="Arial" w:eastAsiaTheme="majorEastAsia" w:hAnsi="Arial" w:cs="Arial"/>
      <w:sz w:val="24"/>
      <w:szCs w:val="24"/>
      <w:lang w:val="fi-FI" w:eastAsia="en-US"/>
    </w:rPr>
  </w:style>
  <w:style w:type="paragraph" w:styleId="CommentSubject">
    <w:name w:val="annotation subject"/>
    <w:basedOn w:val="CommentText"/>
    <w:next w:val="CommentText"/>
    <w:link w:val="CommentSubjectChar"/>
    <w:uiPriority w:val="99"/>
    <w:unhideWhenUsed/>
    <w:rsid w:val="00B0571D"/>
    <w:rPr>
      <w:b/>
      <w:bCs/>
    </w:rPr>
  </w:style>
  <w:style w:type="character" w:customStyle="1" w:styleId="CommentSubjectChar">
    <w:name w:val="Comment Subject Char"/>
    <w:basedOn w:val="CommentTextChar"/>
    <w:link w:val="CommentSubject"/>
    <w:uiPriority w:val="99"/>
    <w:rsid w:val="00B0571D"/>
    <w:rPr>
      <w:rFonts w:eastAsiaTheme="minorHAnsi"/>
      <w:b/>
      <w:bCs/>
      <w:lang w:val="fi-FI" w:eastAsia="en-US"/>
    </w:rPr>
  </w:style>
  <w:style w:type="paragraph" w:styleId="NoSpacing">
    <w:name w:val="No Spacing"/>
    <w:basedOn w:val="Normal"/>
    <w:uiPriority w:val="1"/>
    <w:qFormat/>
    <w:rsid w:val="00B0571D"/>
    <w:pPr>
      <w:widowControl/>
      <w:jc w:val="both"/>
    </w:pPr>
    <w:rPr>
      <w:rFonts w:eastAsiaTheme="minorHAnsi"/>
      <w:szCs w:val="32"/>
      <w:lang w:eastAsia="en-US"/>
    </w:rPr>
  </w:style>
  <w:style w:type="paragraph" w:styleId="ListParagraph">
    <w:name w:val="List Paragraph"/>
    <w:basedOn w:val="Normal"/>
    <w:uiPriority w:val="34"/>
    <w:qFormat/>
    <w:rsid w:val="00B0571D"/>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B0571D"/>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B0571D"/>
    <w:rPr>
      <w:rFonts w:eastAsiaTheme="minorHAnsi"/>
      <w:i/>
      <w:sz w:val="24"/>
      <w:szCs w:val="24"/>
      <w:lang w:val="fi-FI" w:eastAsia="en-US"/>
    </w:rPr>
  </w:style>
  <w:style w:type="paragraph" w:styleId="IntenseQuote">
    <w:name w:val="Intense Quote"/>
    <w:basedOn w:val="Normal"/>
    <w:next w:val="Normal"/>
    <w:link w:val="IntenseQuoteChar"/>
    <w:uiPriority w:val="30"/>
    <w:qFormat/>
    <w:rsid w:val="00B0571D"/>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B0571D"/>
    <w:rPr>
      <w:rFonts w:eastAsiaTheme="minorHAnsi"/>
      <w:b/>
      <w:i/>
      <w:sz w:val="24"/>
      <w:szCs w:val="22"/>
      <w:lang w:val="fi-FI" w:eastAsia="en-US"/>
    </w:rPr>
  </w:style>
  <w:style w:type="paragraph" w:customStyle="1" w:styleId="TableTitle">
    <w:name w:val="Table Title"/>
    <w:basedOn w:val="Normal"/>
    <w:uiPriority w:val="99"/>
    <w:rsid w:val="00B0571D"/>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B0571D"/>
    <w:pPr>
      <w:keepNext/>
      <w:widowControl/>
    </w:pPr>
    <w:rPr>
      <w:rFonts w:eastAsiaTheme="minorEastAsia"/>
      <w:sz w:val="18"/>
      <w:szCs w:val="18"/>
    </w:rPr>
  </w:style>
  <w:style w:type="paragraph" w:customStyle="1" w:styleId="NormalRight">
    <w:name w:val="Normal Right"/>
    <w:basedOn w:val="Normal"/>
    <w:next w:val="Normal"/>
    <w:uiPriority w:val="99"/>
    <w:rsid w:val="00B0571D"/>
    <w:pPr>
      <w:widowControl/>
      <w:spacing w:before="120" w:after="120"/>
      <w:jc w:val="right"/>
    </w:pPr>
    <w:rPr>
      <w:rFonts w:eastAsiaTheme="minorEastAsia"/>
      <w:szCs w:val="24"/>
    </w:rPr>
  </w:style>
  <w:style w:type="paragraph" w:customStyle="1" w:styleId="ReusedInfo">
    <w:name w:val="ReusedInfo"/>
    <w:next w:val="Normal"/>
    <w:uiPriority w:val="99"/>
    <w:rsid w:val="00B0571D"/>
    <w:pPr>
      <w:shd w:val="clear" w:color="auto" w:fill="C0C0C0"/>
      <w:spacing w:before="60" w:after="60"/>
    </w:pPr>
    <w:rPr>
      <w:rFonts w:eastAsiaTheme="minorEastAsia"/>
      <w:lang w:val="fi-FI"/>
    </w:rPr>
  </w:style>
  <w:style w:type="paragraph" w:customStyle="1" w:styleId="Section">
    <w:name w:val="Section"/>
    <w:basedOn w:val="Normal"/>
    <w:next w:val="Normal"/>
    <w:uiPriority w:val="99"/>
    <w:rsid w:val="00B0571D"/>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B0571D"/>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B0571D"/>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B0571D"/>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B0571D"/>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B0571D"/>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B0571D"/>
    <w:pPr>
      <w:keepNext/>
      <w:widowControl/>
      <w:spacing w:before="480" w:after="120"/>
    </w:pPr>
    <w:rPr>
      <w:rFonts w:eastAsiaTheme="minorEastAsia"/>
      <w:b/>
      <w:bCs/>
      <w:i/>
      <w:iCs/>
      <w:szCs w:val="24"/>
    </w:rPr>
  </w:style>
  <w:style w:type="paragraph" w:customStyle="1" w:styleId="Item">
    <w:name w:val="Item"/>
    <w:basedOn w:val="Normal"/>
    <w:next w:val="Normal"/>
    <w:uiPriority w:val="99"/>
    <w:rsid w:val="00B0571D"/>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B0571D"/>
    <w:pPr>
      <w:keepNext/>
      <w:widowControl/>
      <w:spacing w:before="480" w:after="120"/>
    </w:pPr>
    <w:rPr>
      <w:rFonts w:eastAsiaTheme="minorEastAsia"/>
      <w:sz w:val="20"/>
    </w:rPr>
  </w:style>
  <w:style w:type="paragraph" w:customStyle="1" w:styleId="Annex">
    <w:name w:val="Annex"/>
    <w:basedOn w:val="Normal"/>
    <w:next w:val="Normal"/>
    <w:uiPriority w:val="99"/>
    <w:rsid w:val="00B0571D"/>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B0571D"/>
    <w:pPr>
      <w:widowControl/>
      <w:spacing w:before="120" w:after="120"/>
    </w:pPr>
    <w:rPr>
      <w:rFonts w:eastAsiaTheme="minorEastAsia"/>
      <w:i/>
      <w:iCs/>
      <w:sz w:val="20"/>
    </w:rPr>
  </w:style>
  <w:style w:type="paragraph" w:customStyle="1" w:styleId="Objective">
    <w:name w:val="Objective"/>
    <w:basedOn w:val="Normal"/>
    <w:next w:val="Normal"/>
    <w:uiPriority w:val="99"/>
    <w:rsid w:val="00B0571D"/>
    <w:pPr>
      <w:keepNext/>
      <w:widowControl/>
      <w:spacing w:before="120" w:after="120"/>
    </w:pPr>
    <w:rPr>
      <w:rFonts w:eastAsiaTheme="minorEastAsia"/>
      <w:i/>
      <w:iCs/>
      <w:sz w:val="20"/>
    </w:rPr>
  </w:style>
  <w:style w:type="paragraph" w:customStyle="1" w:styleId="Figures">
    <w:name w:val="Figures"/>
    <w:basedOn w:val="Normal"/>
    <w:next w:val="Normal"/>
    <w:uiPriority w:val="99"/>
    <w:rsid w:val="00B0571D"/>
    <w:pPr>
      <w:keepNext/>
      <w:widowControl/>
      <w:spacing w:before="120" w:after="120"/>
    </w:pPr>
    <w:rPr>
      <w:rFonts w:eastAsiaTheme="minorEastAsia"/>
      <w:i/>
      <w:iCs/>
      <w:sz w:val="20"/>
    </w:rPr>
  </w:style>
  <w:style w:type="paragraph" w:customStyle="1" w:styleId="Remarks">
    <w:name w:val="Remarks"/>
    <w:basedOn w:val="Normal"/>
    <w:next w:val="Normal"/>
    <w:uiPriority w:val="99"/>
    <w:rsid w:val="00B0571D"/>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B0571D"/>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B0571D"/>
    <w:pPr>
      <w:keepNext/>
      <w:widowControl/>
      <w:spacing w:before="120" w:after="120"/>
    </w:pPr>
    <w:rPr>
      <w:rFonts w:eastAsiaTheme="minorEastAsia"/>
      <w:i/>
      <w:iCs/>
      <w:sz w:val="20"/>
    </w:rPr>
  </w:style>
  <w:style w:type="paragraph" w:customStyle="1" w:styleId="Reference">
    <w:name w:val="Reference"/>
    <w:basedOn w:val="Normal"/>
    <w:next w:val="Normal"/>
    <w:uiPriority w:val="99"/>
    <w:rsid w:val="00B0571D"/>
    <w:pPr>
      <w:keepNext/>
      <w:widowControl/>
      <w:spacing w:before="120" w:after="120"/>
    </w:pPr>
    <w:rPr>
      <w:rFonts w:eastAsiaTheme="minorEastAsia"/>
      <w:i/>
      <w:iCs/>
      <w:sz w:val="20"/>
    </w:rPr>
  </w:style>
  <w:style w:type="character" w:styleId="CommentReference">
    <w:name w:val="annotation reference"/>
    <w:basedOn w:val="DefaultParagraphFont"/>
    <w:unhideWhenUsed/>
    <w:rsid w:val="00B0571D"/>
    <w:rPr>
      <w:sz w:val="16"/>
      <w:szCs w:val="16"/>
    </w:rPr>
  </w:style>
  <w:style w:type="character" w:styleId="SubtleEmphasis">
    <w:name w:val="Subtle Emphasis"/>
    <w:uiPriority w:val="19"/>
    <w:qFormat/>
    <w:rsid w:val="00B0571D"/>
    <w:rPr>
      <w:i/>
      <w:iCs w:val="0"/>
      <w:color w:val="5A5A5A" w:themeColor="text1" w:themeTint="A5"/>
    </w:rPr>
  </w:style>
  <w:style w:type="character" w:styleId="IntenseEmphasis">
    <w:name w:val="Intense Emphasis"/>
    <w:basedOn w:val="DefaultParagraphFont"/>
    <w:uiPriority w:val="21"/>
    <w:qFormat/>
    <w:rsid w:val="00B0571D"/>
    <w:rPr>
      <w:b/>
      <w:bCs w:val="0"/>
      <w:i/>
      <w:iCs w:val="0"/>
      <w:sz w:val="24"/>
      <w:szCs w:val="24"/>
      <w:u w:val="single"/>
    </w:rPr>
  </w:style>
  <w:style w:type="character" w:styleId="SubtleReference">
    <w:name w:val="Subtle Reference"/>
    <w:basedOn w:val="DefaultParagraphFont"/>
    <w:uiPriority w:val="31"/>
    <w:qFormat/>
    <w:rsid w:val="00B0571D"/>
    <w:rPr>
      <w:sz w:val="24"/>
      <w:szCs w:val="24"/>
      <w:u w:val="single"/>
    </w:rPr>
  </w:style>
  <w:style w:type="character" w:styleId="IntenseReference">
    <w:name w:val="Intense Reference"/>
    <w:basedOn w:val="DefaultParagraphFont"/>
    <w:uiPriority w:val="32"/>
    <w:qFormat/>
    <w:rsid w:val="00B0571D"/>
    <w:rPr>
      <w:b/>
      <w:bCs w:val="0"/>
      <w:sz w:val="24"/>
      <w:u w:val="single"/>
    </w:rPr>
  </w:style>
  <w:style w:type="character" w:styleId="BookTitle">
    <w:name w:val="Book Title"/>
    <w:basedOn w:val="DefaultParagraphFont"/>
    <w:uiPriority w:val="33"/>
    <w:qFormat/>
    <w:rsid w:val="00B0571D"/>
    <w:rPr>
      <w:rFonts w:asciiTheme="majorHAnsi" w:eastAsiaTheme="majorEastAsia" w:hAnsiTheme="majorHAnsi" w:cs="Calibri Light" w:hint="default"/>
      <w:b/>
      <w:bCs w:val="0"/>
      <w:i/>
      <w:iCs w:val="0"/>
      <w:sz w:val="24"/>
      <w:szCs w:val="24"/>
    </w:rPr>
  </w:style>
  <w:style w:type="character" w:customStyle="1" w:styleId="tw4winExternal">
    <w:name w:val="tw4winExternal"/>
    <w:basedOn w:val="DefaultParagraphFont"/>
    <w:uiPriority w:val="99"/>
    <w:rsid w:val="00B0571D"/>
  </w:style>
  <w:style w:type="character" w:customStyle="1" w:styleId="tw4winInternal">
    <w:name w:val="tw4winInternal"/>
    <w:basedOn w:val="DefaultParagraphFont"/>
    <w:uiPriority w:val="99"/>
    <w:rsid w:val="00B0571D"/>
    <w:rPr>
      <w:sz w:val="16"/>
      <w:szCs w:val="16"/>
      <w:u w:val="dash"/>
      <w:shd w:val="clear" w:color="auto" w:fill="FFFF00"/>
    </w:rPr>
  </w:style>
  <w:style w:type="character" w:customStyle="1" w:styleId="ReusedInlineInfo">
    <w:name w:val="ReusedInlineInfo"/>
    <w:basedOn w:val="DefaultParagraphFont"/>
    <w:uiPriority w:val="99"/>
    <w:rsid w:val="00B0571D"/>
    <w:rPr>
      <w:sz w:val="16"/>
      <w:szCs w:val="16"/>
      <w:u w:val="dash"/>
      <w:shd w:val="clear" w:color="auto" w:fill="FFFF00"/>
    </w:rPr>
  </w:style>
  <w:style w:type="character" w:customStyle="1" w:styleId="Error">
    <w:name w:val="Error"/>
    <w:basedOn w:val="DefaultParagraphFont"/>
    <w:uiPriority w:val="99"/>
    <w:rsid w:val="00B0571D"/>
    <w:rPr>
      <w:shd w:val="clear" w:color="auto" w:fill="FF0000"/>
    </w:rPr>
  </w:style>
  <w:style w:type="paragraph" w:customStyle="1" w:styleId="RollCallVotes">
    <w:name w:val="RollCallVotes"/>
    <w:basedOn w:val="Normal"/>
    <w:rsid w:val="00B0571D"/>
    <w:pPr>
      <w:spacing w:before="120" w:after="120"/>
      <w:jc w:val="center"/>
    </w:pPr>
    <w:rPr>
      <w:b/>
      <w:bCs/>
      <w:snapToGrid w:val="0"/>
      <w:sz w:val="16"/>
      <w:lang w:eastAsia="en-US"/>
    </w:rPr>
  </w:style>
  <w:style w:type="paragraph" w:customStyle="1" w:styleId="RollCallTabs">
    <w:name w:val="RollCallTabs"/>
    <w:basedOn w:val="Normal"/>
    <w:qFormat/>
    <w:rsid w:val="00B0571D"/>
    <w:pPr>
      <w:tabs>
        <w:tab w:val="center" w:pos="284"/>
        <w:tab w:val="left" w:pos="426"/>
      </w:tabs>
    </w:pPr>
    <w:rPr>
      <w:snapToGrid w:val="0"/>
      <w:lang w:eastAsia="en-US"/>
    </w:rPr>
  </w:style>
  <w:style w:type="paragraph" w:customStyle="1" w:styleId="RollCallSymbols14pt">
    <w:name w:val="RollCallSymbols14pt"/>
    <w:basedOn w:val="Normal"/>
    <w:rsid w:val="00B0571D"/>
    <w:pPr>
      <w:spacing w:before="120" w:after="120"/>
      <w:jc w:val="center"/>
    </w:pPr>
    <w:rPr>
      <w:rFonts w:ascii="Arial" w:hAnsi="Arial"/>
      <w:b/>
      <w:bCs/>
      <w:snapToGrid w:val="0"/>
      <w:sz w:val="28"/>
      <w:lang w:eastAsia="en-US"/>
    </w:rPr>
  </w:style>
  <w:style w:type="paragraph" w:customStyle="1" w:styleId="RollCallTable">
    <w:name w:val="RollCallTable"/>
    <w:basedOn w:val="Normal"/>
    <w:rsid w:val="00B0571D"/>
    <w:pPr>
      <w:spacing w:before="120" w:after="120"/>
    </w:pPr>
    <w:rPr>
      <w:snapToGrid w:val="0"/>
      <w:sz w:val="16"/>
      <w:lang w:eastAsia="en-US"/>
    </w:rPr>
  </w:style>
  <w:style w:type="paragraph" w:customStyle="1" w:styleId="Normal24a">
    <w:name w:val="Normal24a"/>
    <w:basedOn w:val="Normal"/>
    <w:rsid w:val="00B0571D"/>
    <w:pPr>
      <w:spacing w:after="480"/>
    </w:pPr>
  </w:style>
  <w:style w:type="paragraph" w:customStyle="1" w:styleId="NormalBoldCenter">
    <w:name w:val="NormalBoldCenter"/>
    <w:basedOn w:val="Normal"/>
    <w:rsid w:val="00B0571D"/>
    <w:pPr>
      <w:jc w:val="center"/>
    </w:pPr>
    <w:rPr>
      <w:b/>
    </w:rPr>
  </w:style>
  <w:style w:type="character" w:styleId="Strong">
    <w:name w:val="Strong"/>
    <w:basedOn w:val="DefaultParagraphFont"/>
    <w:uiPriority w:val="22"/>
    <w:qFormat/>
    <w:rsid w:val="00B0571D"/>
    <w:rPr>
      <w:b/>
      <w:bCs/>
    </w:rPr>
  </w:style>
  <w:style w:type="character" w:styleId="Hyperlink">
    <w:name w:val="Hyperlink"/>
    <w:basedOn w:val="DefaultParagraphFont"/>
    <w:rsid w:val="005E6CA1"/>
    <w:rPr>
      <w:color w:val="0563C1" w:themeColor="hyperlink"/>
      <w:u w:val="single"/>
    </w:rPr>
  </w:style>
  <w:style w:type="character" w:styleId="FollowedHyperlink">
    <w:name w:val="FollowedHyperlink"/>
    <w:basedOn w:val="DefaultParagraphFont"/>
    <w:rsid w:val="009D12E4"/>
    <w:rPr>
      <w:color w:val="954F72" w:themeColor="followedHyperlink"/>
      <w:u w:val="single"/>
    </w:rPr>
  </w:style>
  <w:style w:type="paragraph" w:customStyle="1" w:styleId="Normal6a">
    <w:name w:val="Normal6a"/>
    <w:basedOn w:val="Normal"/>
    <w:rsid w:val="000173E3"/>
    <w:pPr>
      <w:spacing w:after="120"/>
    </w:pPr>
  </w:style>
  <w:style w:type="paragraph" w:customStyle="1" w:styleId="AmColumnHeading">
    <w:name w:val="AmColumnHeading"/>
    <w:basedOn w:val="Normal"/>
    <w:rsid w:val="000173E3"/>
    <w:pPr>
      <w:spacing w:after="240"/>
      <w:jc w:val="center"/>
    </w:pPr>
    <w:rPr>
      <w:i/>
    </w:rPr>
  </w:style>
  <w:style w:type="paragraph" w:customStyle="1" w:styleId="AmNumberTabs">
    <w:name w:val="AmNumberTabs"/>
    <w:basedOn w:val="Normal"/>
    <w:rsid w:val="000173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173E3"/>
    <w:pPr>
      <w:spacing w:before="240"/>
    </w:pPr>
    <w:rPr>
      <w:b/>
    </w:rPr>
  </w:style>
  <w:style w:type="character" w:customStyle="1" w:styleId="NormalBold12bChar">
    <w:name w:val="NormalBold12b Char"/>
    <w:basedOn w:val="DefaultParagraphFont"/>
    <w:link w:val="NormalBold12b"/>
    <w:rsid w:val="000173E3"/>
    <w:rPr>
      <w:b/>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213C3-26C5-460C-92FD-79ABA4152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2271</Words>
  <Characters>19348</Characters>
  <Application>Microsoft Office Word</Application>
  <DocSecurity>0</DocSecurity>
  <Lines>161</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2024-04-25T12:28:00Z</dcterms:created>
  <dcterms:modified xsi:type="dcterms:W3CDTF">2024-04-25T12:28:00Z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A9-0180/2024</vt:lpwstr>
  </property>
  <property fmtid="{D5CDD505-2E9C-101B-9397-08002B2CF9AE}" pid="4" name="&lt;Type&gt;">
    <vt:lpwstr>RR</vt:lpwstr>
  </property>
  <property fmtid="{D5CDD505-2E9C-101B-9397-08002B2CF9AE}" pid="5" name="&lt;Model&gt;">
    <vt:lpwstr/>
  </property>
</Properties>
</file>