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7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579E" w:rsidRDefault="009A499F" w:rsidP="0010095E">
            <w:pPr>
              <w:pStyle w:val="EPName"/>
            </w:pPr>
            <w:r w:rsidRPr="0044579E">
              <w:t>Europski parlament</w:t>
            </w:r>
          </w:p>
          <w:p w:rsidR="00751A4A" w:rsidRPr="004457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7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579E" w:rsidRDefault="00187494" w:rsidP="0010095E">
            <w:pPr>
              <w:pStyle w:val="EPLogo"/>
            </w:pPr>
            <w:r w:rsidRPr="004457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579E" w:rsidRDefault="00D058B8" w:rsidP="004C5D52">
      <w:pPr>
        <w:pStyle w:val="LineTop"/>
      </w:pPr>
    </w:p>
    <w:p w:rsidR="00680577" w:rsidRPr="0044579E" w:rsidRDefault="009A499F" w:rsidP="00680577">
      <w:pPr>
        <w:pStyle w:val="EPBodyTA1"/>
      </w:pPr>
      <w:r w:rsidRPr="0044579E">
        <w:t>USVOJENI TEKSTOVI</w:t>
      </w:r>
    </w:p>
    <w:p w:rsidR="00D058B8" w:rsidRPr="0044579E" w:rsidRDefault="00D058B8" w:rsidP="00D058B8">
      <w:pPr>
        <w:pStyle w:val="LineBottom"/>
      </w:pPr>
    </w:p>
    <w:p w:rsidR="009A499F" w:rsidRPr="0044579E" w:rsidRDefault="009A499F" w:rsidP="009A499F">
      <w:pPr>
        <w:pStyle w:val="ATHeading1"/>
      </w:pPr>
      <w:bookmarkStart w:id="0" w:name="TANumber"/>
      <w:r w:rsidRPr="0044579E">
        <w:t>P9_TA(2024)0</w:t>
      </w:r>
      <w:r w:rsidR="00B166DD" w:rsidRPr="0044579E">
        <w:t>373</w:t>
      </w:r>
      <w:bookmarkEnd w:id="0"/>
    </w:p>
    <w:p w:rsidR="009A499F" w:rsidRPr="0044579E" w:rsidRDefault="009A499F" w:rsidP="009A499F">
      <w:pPr>
        <w:pStyle w:val="ATHeading2"/>
      </w:pPr>
      <w:bookmarkStart w:id="1" w:name="title"/>
      <w:r w:rsidRPr="0044579E">
        <w:t>Procjena prihoda i rashoda za financijsku godinu 2025. – dio I. – Europski parlament</w:t>
      </w:r>
      <w:bookmarkEnd w:id="1"/>
    </w:p>
    <w:p w:rsidR="009A499F" w:rsidRPr="0044579E" w:rsidRDefault="009A499F" w:rsidP="009A499F">
      <w:pPr>
        <w:rPr>
          <w:i/>
          <w:vanish/>
        </w:rPr>
      </w:pPr>
      <w:r w:rsidRPr="0044579E">
        <w:rPr>
          <w:i/>
        </w:rPr>
        <w:fldChar w:fldCharType="begin"/>
      </w:r>
      <w:r w:rsidRPr="0044579E">
        <w:rPr>
          <w:i/>
        </w:rPr>
        <w:instrText xml:space="preserve"> TC"(</w:instrText>
      </w:r>
      <w:bookmarkStart w:id="2" w:name="DocNumber"/>
      <w:r w:rsidRPr="0044579E">
        <w:rPr>
          <w:i/>
        </w:rPr>
        <w:instrText>A9-0180/2024</w:instrText>
      </w:r>
      <w:bookmarkEnd w:id="2"/>
      <w:r w:rsidRPr="0044579E">
        <w:rPr>
          <w:i/>
        </w:rPr>
        <w:instrText xml:space="preserve"> - Izvjestiteljica: </w:instrText>
      </w:r>
      <w:proofErr w:type="spellStart"/>
      <w:r w:rsidRPr="0044579E">
        <w:rPr>
          <w:i/>
        </w:rPr>
        <w:instrText>Anna-Michelle</w:instrText>
      </w:r>
      <w:proofErr w:type="spellEnd"/>
      <w:r w:rsidRPr="0044579E">
        <w:rPr>
          <w:i/>
        </w:rPr>
        <w:instrText xml:space="preserve"> </w:instrText>
      </w:r>
      <w:proofErr w:type="spellStart"/>
      <w:r w:rsidRPr="0044579E">
        <w:rPr>
          <w:i/>
        </w:rPr>
        <w:instrText>Asimakopoulou</w:instrText>
      </w:r>
      <w:proofErr w:type="spellEnd"/>
      <w:r w:rsidRPr="0044579E">
        <w:rPr>
          <w:i/>
        </w:rPr>
        <w:instrText xml:space="preserve">)"\l3 \n&gt; \* MERGEFORMAT </w:instrText>
      </w:r>
      <w:r w:rsidRPr="0044579E">
        <w:rPr>
          <w:i/>
        </w:rPr>
        <w:fldChar w:fldCharType="end"/>
      </w:r>
    </w:p>
    <w:p w:rsidR="009A499F" w:rsidRPr="0044579E" w:rsidRDefault="009A499F" w:rsidP="009A499F">
      <w:pPr>
        <w:rPr>
          <w:vanish/>
        </w:rPr>
      </w:pPr>
      <w:bookmarkStart w:id="3" w:name="Commission"/>
      <w:r w:rsidRPr="0044579E">
        <w:rPr>
          <w:vanish/>
        </w:rPr>
        <w:t>Odbor za proračune</w:t>
      </w:r>
      <w:bookmarkEnd w:id="3"/>
    </w:p>
    <w:p w:rsidR="009A499F" w:rsidRPr="0044579E" w:rsidRDefault="009A499F" w:rsidP="009A499F">
      <w:pPr>
        <w:rPr>
          <w:vanish/>
        </w:rPr>
      </w:pPr>
      <w:bookmarkStart w:id="4" w:name="PE"/>
      <w:r w:rsidRPr="0044579E">
        <w:rPr>
          <w:vanish/>
        </w:rPr>
        <w:t>PE759.633</w:t>
      </w:r>
      <w:bookmarkEnd w:id="4"/>
    </w:p>
    <w:p w:rsidR="009A499F" w:rsidRPr="0044579E" w:rsidRDefault="009A499F" w:rsidP="009A499F">
      <w:pPr>
        <w:pStyle w:val="ATHeading3"/>
      </w:pPr>
      <w:bookmarkStart w:id="5" w:name="Sujet"/>
      <w:r w:rsidRPr="0044579E">
        <w:t>Rezoluc</w:t>
      </w:r>
      <w:r w:rsidR="00CC03DD" w:rsidRPr="0044579E">
        <w:t>ija Europskog parlamenta od 25. travnja</w:t>
      </w:r>
      <w:r w:rsidRPr="0044579E">
        <w:t xml:space="preserve"> 2024. o procjeni prihoda i rashoda Europskog parlamenta za financijsku godinu 2025.</w:t>
      </w:r>
      <w:bookmarkEnd w:id="5"/>
      <w:r w:rsidRPr="0044579E">
        <w:t xml:space="preserve"> </w:t>
      </w:r>
      <w:bookmarkStart w:id="6" w:name="References"/>
      <w:r w:rsidRPr="0044579E">
        <w:t>(2023/2221(BUI))</w:t>
      </w:r>
      <w:bookmarkEnd w:id="6"/>
    </w:p>
    <w:p w:rsidR="007D7662" w:rsidRPr="0044579E" w:rsidRDefault="007D7662" w:rsidP="007D7662">
      <w:pPr>
        <w:pStyle w:val="EPComma"/>
      </w:pPr>
      <w:bookmarkStart w:id="7" w:name="TextBodyBegin"/>
      <w:bookmarkEnd w:id="7"/>
      <w:r w:rsidRPr="0044579E">
        <w:rPr>
          <w:i/>
        </w:rPr>
        <w:t>Europski parlament</w:t>
      </w:r>
      <w:r w:rsidRPr="0044579E">
        <w:t>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članak 314. Ugovora o funkcioniranju Europske unije,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44579E">
        <w:rPr>
          <w:rStyle w:val="FootnoteReference"/>
        </w:rPr>
        <w:footnoteReference w:id="1"/>
      </w:r>
      <w:r w:rsidRPr="0044579E">
        <w:t>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obzir Uredbu Vijeća (EU, Euratom) 2020/2093 od 17. prosinca 2020. kojom se utvrđuje višegodišnji financijski okvir za razdoblje 2021. – 2027.</w:t>
      </w:r>
      <w:r w:rsidRPr="0044579E">
        <w:rPr>
          <w:rStyle w:val="FootnoteReference"/>
        </w:rPr>
        <w:footnoteReference w:id="2"/>
      </w:r>
      <w:r w:rsidRPr="0044579E">
        <w:t xml:space="preserve"> i zajedničke izjave koje su Parlament, Vijeće i Komisija donijeli u tom kontekstu</w:t>
      </w:r>
      <w:r w:rsidRPr="0044579E">
        <w:rPr>
          <w:vertAlign w:val="superscript"/>
        </w:rPr>
        <w:footnoteReference w:id="3"/>
      </w:r>
      <w:r w:rsidRPr="0044579E">
        <w:t xml:space="preserve"> te povezane jednostrane izjave</w:t>
      </w:r>
      <w:r w:rsidRPr="0044579E">
        <w:rPr>
          <w:vertAlign w:val="superscript"/>
        </w:rPr>
        <w:footnoteReference w:id="4"/>
      </w:r>
      <w:r w:rsidRPr="0044579E">
        <w:t xml:space="preserve">, 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 xml:space="preserve">uzimajući u obzir </w:t>
      </w:r>
      <w:proofErr w:type="spellStart"/>
      <w:r w:rsidRPr="0044579E">
        <w:t>Međuinstitucijski</w:t>
      </w:r>
      <w:proofErr w:type="spellEnd"/>
      <w:r w:rsidRPr="0044579E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44579E">
        <w:rPr>
          <w:rStyle w:val="FootnoteReference"/>
        </w:rPr>
        <w:footnoteReference w:id="5"/>
      </w:r>
      <w:r w:rsidRPr="0044579E">
        <w:t>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privremeno izvješće</w:t>
      </w:r>
      <w:r w:rsidR="00CC03DD" w:rsidRPr="0044579E">
        <w:t xml:space="preserve"> od 3. listopada 2023.</w:t>
      </w:r>
      <w:r w:rsidRPr="0044579E">
        <w:t xml:space="preserve"> o prijedlogu revizije </w:t>
      </w:r>
      <w:r w:rsidRPr="0044579E">
        <w:lastRenderedPageBreak/>
        <w:t>višegodišnjeg financijskog okvira za razdoblje 2021. – 2027. u sredini programskog razdoblja</w:t>
      </w:r>
      <w:r w:rsidRPr="0044579E">
        <w:rPr>
          <w:vertAlign w:val="superscript"/>
        </w:rPr>
        <w:footnoteReference w:id="6"/>
      </w:r>
      <w:r w:rsidRPr="0044579E">
        <w:t>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svoju Rezoluciju od 15. prosinca 2022. o jačanju višegodišnjeg financijskog okvira 2021. – 2027.: otporan proračun EU-a prilagođen novim izazovima</w:t>
      </w:r>
      <w:r w:rsidRPr="0044579E">
        <w:rPr>
          <w:vertAlign w:val="superscript"/>
        </w:rPr>
        <w:footnoteReference w:id="7"/>
      </w:r>
      <w:r w:rsidRPr="0044579E">
        <w:t xml:space="preserve">, 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 xml:space="preserve">uzimajući u obzir Uredbu Vijeća (EU, Euratom) 2024/765 </w:t>
      </w:r>
      <w:r w:rsidRPr="0044579E">
        <w:rPr>
          <w:shd w:val="clear" w:color="auto" w:fill="FFFFFF"/>
        </w:rPr>
        <w:t>od 29. veljače 2024. o izmjeni Uredbe (EU, Euratom) 2020/2093</w:t>
      </w:r>
      <w:r w:rsidRPr="0044579E">
        <w:t xml:space="preserve"> kojom se utvrđuje višegodišnji financijski okvir za razdoblje 2021. – 2027.</w:t>
      </w:r>
      <w:r w:rsidRPr="0044579E">
        <w:rPr>
          <w:rStyle w:val="FootnoteReference"/>
          <w:szCs w:val="24"/>
        </w:rPr>
        <w:footnoteReference w:id="8"/>
      </w:r>
      <w:r w:rsidRPr="0044579E">
        <w:t xml:space="preserve"> (Revizija VFO-a),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Komisijin Prijedlog uredbe Europskog parlamenta i Vijeća od 16. svibnja 2022. o financijskim pravilima koja se primjenjuju na opći proračun Unije</w:t>
      </w:r>
      <w:r w:rsidRPr="0044579E">
        <w:rPr>
          <w:rStyle w:val="FootnoteReference"/>
        </w:rPr>
        <w:footnoteReference w:id="9"/>
      </w:r>
      <w:r w:rsidRPr="0044579E">
        <w:t>,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–</w:t>
      </w:r>
      <w:r w:rsidRPr="0044579E">
        <w:tab/>
        <w:t>uzimajući u obzir Uredbu (EU, Euratom) br. 1023/2013 Europskog parlamenta i Vijeća od 22. listopada 2013. o izmjeni Pravilnika o osoblju za dužnosnike Europske unije i Uvjeta zaposlenja ostalih službenika Europske unije</w:t>
      </w:r>
      <w:r w:rsidRPr="0044579E">
        <w:rPr>
          <w:rStyle w:val="FootnoteReference"/>
          <w:szCs w:val="24"/>
        </w:rPr>
        <w:footnoteReference w:id="10"/>
      </w:r>
      <w:r w:rsidRPr="0044579E">
        <w:t>,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–</w:t>
      </w:r>
      <w:r w:rsidRPr="0044579E">
        <w:tab/>
        <w:t>uzimajući u obzir svoju Rezoluciju od 20. travnja 2023. o procjeni prihoda i rashoda Europskog parlamenta za financijsku godinu 2024.</w:t>
      </w:r>
      <w:r w:rsidRPr="0044579E">
        <w:rPr>
          <w:rStyle w:val="FootnoteReference"/>
          <w:szCs w:val="24"/>
        </w:rPr>
        <w:footnoteReference w:id="11"/>
      </w:r>
      <w:r w:rsidRPr="0044579E">
        <w:t xml:space="preserve">, 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–</w:t>
      </w:r>
      <w:r w:rsidRPr="0044579E">
        <w:tab/>
        <w:t>uzimajući u obzir svoju Rezoluciju od 18. listopada 2023. o stajalištu Vijeća o nacrtu općeg proračuna Europske unije za financijsku godinu 2024.</w:t>
      </w:r>
      <w:r w:rsidRPr="0044579E">
        <w:rPr>
          <w:rStyle w:val="FootnoteReference"/>
          <w:szCs w:val="24"/>
        </w:rPr>
        <w:footnoteReference w:id="12"/>
      </w:r>
      <w:r w:rsidRPr="0044579E">
        <w:t xml:space="preserve">, 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–</w:t>
      </w:r>
      <w:r w:rsidRPr="0044579E">
        <w:tab/>
        <w:t>uzimajući u obzir opći proračun Europske unije za financijsku godinu 2024.</w:t>
      </w:r>
      <w:r w:rsidRPr="0044579E">
        <w:rPr>
          <w:rStyle w:val="FootnoteReference"/>
          <w:szCs w:val="24"/>
        </w:rPr>
        <w:footnoteReference w:id="13"/>
      </w:r>
      <w:r w:rsidRPr="0044579E">
        <w:t xml:space="preserve"> i zajedničke izjave Parlamenta, Vijeća i Komisije koje su mu priložene, 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izvješće glavnog tajnika Predsjedništvu o sastavljanju prednacrta projekcije proračuna Parlamenta za financijsku godinu 2025.,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prednacrt projekcije proračuna koji je Predsjedništvo sastavilo dana 11. ožujka 2024. u skladu s člankom 25. stavkom 7. i člankom 102. stavkom 1. Poslovnika Parlamenta,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nacrt projekcije proračuna koji je Odbor za proračune sastavio u skladu s člankom 102. stavkom 2. Poslovnika Parlamenta,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članak 102. Poslovnika,</w:t>
      </w:r>
    </w:p>
    <w:p w:rsidR="007D7662" w:rsidRPr="0044579E" w:rsidRDefault="007D7662" w:rsidP="007D7662">
      <w:pPr>
        <w:pStyle w:val="NormalHanging12a"/>
      </w:pPr>
      <w:r w:rsidRPr="0044579E">
        <w:t>–</w:t>
      </w:r>
      <w:r w:rsidRPr="0044579E">
        <w:tab/>
        <w:t>uzimajući u obzir izvješće Odbora za proračune (A9</w:t>
      </w:r>
      <w:r w:rsidRPr="0044579E">
        <w:noBreakHyphen/>
        <w:t>0180/2024),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44579E">
        <w:t>A.</w:t>
      </w:r>
      <w:r w:rsidRPr="0044579E">
        <w:tab/>
        <w:t xml:space="preserve">budući da proračun koji je 26. veljače 2024. predložio glavni tajnik za prednacrt projekcije proračuna Parlamenta za 2025. iznosi 2 507 233 329 EUR, što je povećanje od 5,21 % ili 124 132 017 EUR u usporedbi s proračunom za 2024.; 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44579E">
        <w:t>B.</w:t>
      </w:r>
      <w:r w:rsidRPr="0044579E">
        <w:tab/>
        <w:t>budući da Komisija u (privremenoj) zimskoj prognozi iz 2024. predviđa da će stopa inflacije u EU-u 2024. iznositi 3 %, a 2025. bit će 2,5 %; budući da se razina rashoda u naslovu 7. VFO-a za razdoblje 2021. – 2027. temelji na godišnjem povećanju od 2 %;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44579E">
        <w:t>C.</w:t>
      </w:r>
      <w:r w:rsidRPr="0044579E">
        <w:tab/>
        <w:t xml:space="preserve">budući da vjerodostojnost Parlamenta ovisi o njegovoj sposobnosti da ostvari rezultate u svom temeljnom proračunskom, zakonodavnom i nadzornom radu u skladu s najvišim standardima te da istovremeno posluži kao primjer ostalim institucijama Unije u tome da razborito i učinkovito planiraju i provode svoju potrošnju te da se u tome odražava prevladavajuća gospodarska stvarnost; 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44579E">
        <w:t>D.</w:t>
      </w:r>
      <w:r w:rsidRPr="0044579E">
        <w:tab/>
        <w:t>budući da će 2025. biti prva puna godina nakon izbora te će se stoga osnovne političke aktivnosti i potporne aktivnosti ponovno provoditi uobičajenim tempom;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44579E">
        <w:t xml:space="preserve">E. </w:t>
      </w:r>
      <w:r w:rsidRPr="0044579E">
        <w:tab/>
        <w:t xml:space="preserve">budući da je Parlament dovršio proces temeljite reforme započet prošle godine kako bi, s jedne strane, preispitao svoje interne metode rada da bi parlamentarni rad postao učinkovitiji, a s druge strane, kako bi učvrstio svoju institucionalnu ulogu, što dovodi do boljeg funkcioniranja Parlamenta kao </w:t>
      </w:r>
      <w:proofErr w:type="spellStart"/>
      <w:r w:rsidRPr="0044579E">
        <w:t>suzakonodavca</w:t>
      </w:r>
      <w:proofErr w:type="spellEnd"/>
      <w:r w:rsidRPr="0044579E">
        <w:t>, kao ogranka proračunskog tijela i kao tijela nadležnog za davanje razrješnice, te do povećanja kapaciteta za provođenje demokratskog nadzora;</w:t>
      </w:r>
    </w:p>
    <w:p w:rsidR="007D7662" w:rsidRPr="0044579E" w:rsidRDefault="007D7662" w:rsidP="007D7662">
      <w:pPr>
        <w:tabs>
          <w:tab w:val="left" w:pos="567"/>
        </w:tabs>
        <w:spacing w:after="240"/>
        <w:ind w:left="567" w:hanging="567"/>
        <w:rPr>
          <w:b/>
          <w:bCs/>
          <w:i/>
          <w:iCs/>
          <w:szCs w:val="24"/>
        </w:rPr>
      </w:pPr>
      <w:r w:rsidRPr="0044579E">
        <w:rPr>
          <w:b/>
          <w:i/>
        </w:rPr>
        <w:t>Opći okvir</w:t>
      </w:r>
    </w:p>
    <w:p w:rsidR="007D7662" w:rsidRPr="0044579E" w:rsidRDefault="007D7662" w:rsidP="007D7662">
      <w:pPr>
        <w:pStyle w:val="action0"/>
        <w:spacing w:after="200"/>
        <w:ind w:left="567" w:hanging="567"/>
        <w:rPr>
          <w:bCs/>
          <w:iCs/>
        </w:rPr>
      </w:pPr>
      <w:r w:rsidRPr="0044579E">
        <w:t>1.</w:t>
      </w:r>
      <w:r w:rsidRPr="0044579E">
        <w:tab/>
        <w:t>zabrinut je zbog stanja naslova 7. u aktualnom VFO-u; podsjeća da su ograničenja rezultat rezova koje je Vijeće primijenilo na ionako vrlo nizak početni prijedlog Komisije pri postizanju dogovora o aktualnom VFO-u za razdoblje 2021. – 2027.; žali zbog protivljenja Vijeća prijedlogu Komisije o povećanju gornje granice naslova 7. pri reviziji VFO-a od 2024.; ističe da tijekom revizije VFO-a nije riješeno pitanje gornje granice naslova 7.; ističe da predviđena negativna razlika do gornje granice za 2025. pretpostavlja upotrebu posebnih instrumenata iz naslova 7. u tu svrhu;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 xml:space="preserve">2. </w:t>
      </w:r>
      <w:r w:rsidRPr="0044579E">
        <w:tab/>
        <w:t xml:space="preserve">podsjeća da je gotovo dvije trećine proračuna utvrđeno zakonskim obvezama; podsjeća da će, u skladu s trenutačnim prognozama Komisije, </w:t>
      </w:r>
      <w:proofErr w:type="spellStart"/>
      <w:r w:rsidRPr="0044579E">
        <w:t>indeksacija</w:t>
      </w:r>
      <w:proofErr w:type="spellEnd"/>
      <w:r w:rsidRPr="0044579E">
        <w:t xml:space="preserve"> plaća u skladu s Pravilnikom o osoblju i Statutom zastupnika u Europskom parlamentu biti 5,3 % u srpnju 2024., 0,6 % u travnju 2025. i 3,7 % u srpnju 2025.; napominje da proračun za 2024. uključuje </w:t>
      </w:r>
      <w:proofErr w:type="spellStart"/>
      <w:r w:rsidRPr="0044579E">
        <w:t>indeksaciju</w:t>
      </w:r>
      <w:proofErr w:type="spellEnd"/>
      <w:r w:rsidRPr="0044579E">
        <w:t xml:space="preserve"> plaća od 3,4 % od srpnja 2024.; napominje da će Odbor za proračune pratiti službeni predviđeni razvoj </w:t>
      </w:r>
      <w:proofErr w:type="spellStart"/>
      <w:r w:rsidRPr="0044579E">
        <w:t>indeksacije</w:t>
      </w:r>
      <w:proofErr w:type="spellEnd"/>
      <w:r w:rsidRPr="0044579E">
        <w:t xml:space="preserve"> plaća;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3.</w:t>
      </w:r>
      <w:r w:rsidRPr="0044579E">
        <w:tab/>
        <w:t xml:space="preserve">podržava dogovor postignut 9. travnja 2024. u postupku mirenja između Predsjedništva i Odbora za proračune o povećanju od 4,87 % u odnosu na proračun za 2024., što odgovara ukupnoj razini procjena od 2 499 233 329 EUR za 2025., te o odgovarajućem smanjenju odobrenih sredstava predloženih u sljedećim proračunskim linijama za ukupno 11 000 000 EUR: </w:t>
      </w:r>
    </w:p>
    <w:p w:rsidR="007D7662" w:rsidRPr="0044579E" w:rsidRDefault="007D7662" w:rsidP="007D7662">
      <w:pPr>
        <w:pStyle w:val="action0"/>
        <w:spacing w:after="200"/>
        <w:ind w:left="567" w:firstLine="0"/>
      </w:pPr>
      <w:r w:rsidRPr="0044579E">
        <w:t>2 0 0 0 — Najamnine, 2 0 0 7 — Izgradnja zgrada i opremanje prostora, 2 3 9 0 — Aktivnosti EMAS-a i aktivnosti u području održivosti, uključujući promidžbu te sustav kompenzacije Europskog parlamenta za emisije ugljika, 3 2 4 2 — Objavljivanje, informiranje javnosti i sudjelovanje u javnim događajima, 3 2 4 3 — Centar za posjetitelje Europskog parlamenta, 1 0 1 — Pričuva za nepredviđene rashode;</w:t>
      </w:r>
    </w:p>
    <w:p w:rsidR="007D7662" w:rsidRPr="0044579E" w:rsidRDefault="007D7662" w:rsidP="007D7662">
      <w:pPr>
        <w:pStyle w:val="action0"/>
        <w:spacing w:after="200"/>
        <w:ind w:left="567" w:firstLine="0"/>
      </w:pPr>
      <w:r w:rsidRPr="0044579E">
        <w:t>nadalje, odlučuje povećati razinu rashoda prednacrta projekcije proračuna koji je Predsjedništvo odobrilo 11. ožujka 2024. za 3 000 000 EUR te u skladu s time povećati predložena odobrena sredstva za sljedeće proračunske linije:</w:t>
      </w:r>
    </w:p>
    <w:p w:rsidR="007D7662" w:rsidRPr="0044579E" w:rsidRDefault="007D7662" w:rsidP="007D7662">
      <w:pPr>
        <w:pStyle w:val="action0"/>
        <w:spacing w:after="200"/>
        <w:ind w:left="567" w:firstLine="0"/>
      </w:pPr>
      <w:r w:rsidRPr="0044579E">
        <w:t xml:space="preserve">3 2 4 4 — Organizacija i primanje skupina posjetitelja, program </w:t>
      </w:r>
      <w:proofErr w:type="spellStart"/>
      <w:r w:rsidRPr="0044579E">
        <w:t>Euroscola</w:t>
      </w:r>
      <w:proofErr w:type="spellEnd"/>
      <w:r w:rsidRPr="0044579E">
        <w:t xml:space="preserve"> i pozivanje osoba s utjecajem na javno mnijenje iz trećih zemalja; 4 0 3 — Financiranje europskih političkih zaklada;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4.</w:t>
      </w:r>
      <w:r w:rsidRPr="0044579E">
        <w:tab/>
      </w:r>
      <w:r w:rsidR="00B166DD" w:rsidRPr="0044579E">
        <w:t xml:space="preserve">primjećuje </w:t>
      </w:r>
      <w:r w:rsidRPr="0044579E">
        <w:t>da je od povećanja od 116 milijuna EUR u odnosu na proračun za 2024. povećanje od 98 milijuna EUR posljedica zakonskih obveza, uglavnom za ažuriranje plaća osoblja (54,7 milijuna EUR) i za troškove povezane s parlamentarnom pomoći (33,2 milijuna EUR); konstatira da povećanje troškova koji ne proizlaze iz zakonskih obveza od 2024. do 2025. ne premašuje 2 %;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 xml:space="preserve">5. </w:t>
      </w:r>
      <w:r w:rsidRPr="0044579E">
        <w:tab/>
        <w:t>primjećuje da Parlament ne traži dodatna radna mjesta za 2025.;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 xml:space="preserve">6. </w:t>
      </w:r>
      <w:r w:rsidRPr="0044579E">
        <w:tab/>
      </w:r>
      <w:r w:rsidR="00B166DD" w:rsidRPr="0044579E">
        <w:t xml:space="preserve">primjećuje </w:t>
      </w:r>
      <w:r w:rsidRPr="0044579E">
        <w:t>da je 98 stalnih radnih mjesta otvorenih u okviru proračuna za 2023. kako bi se olakšala primjena članka 29. stavka 4. Pravilnika o osoblju uklonjeno iz plana radnih mjesta za 2025.;</w:t>
      </w:r>
    </w:p>
    <w:p w:rsidR="007D7662" w:rsidRPr="0044579E" w:rsidRDefault="007D7662" w:rsidP="007D7662">
      <w:pPr>
        <w:pStyle w:val="Action"/>
        <w:spacing w:after="200"/>
        <w:outlineLvl w:val="0"/>
        <w:rPr>
          <w:b/>
          <w:i/>
          <w:szCs w:val="24"/>
        </w:rPr>
      </w:pPr>
      <w:r w:rsidRPr="0044579E">
        <w:rPr>
          <w:b/>
          <w:i/>
        </w:rPr>
        <w:t xml:space="preserve">Skupine posjetitelja i centri Europa </w:t>
      </w:r>
      <w:proofErr w:type="spellStart"/>
      <w:r w:rsidRPr="0044579E">
        <w:rPr>
          <w:b/>
          <w:i/>
        </w:rPr>
        <w:t>Experience</w:t>
      </w:r>
      <w:proofErr w:type="spellEnd"/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7.</w:t>
      </w:r>
      <w:r w:rsidRPr="0044579E">
        <w:tab/>
        <w:t>podsjeća na to da su skupine posjetitelja u svim mjestima rada Parlamenta važan alat koji zastupnicima omogućuje da se povežu s biračima i pokažu im svoj parlamentarni rad; ističe da skupine posjetitelja doprinose promicanju uloge Parlamenta među biračima diljem Unije;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8.</w:t>
      </w:r>
      <w:r w:rsidRPr="0044579E">
        <w:tab/>
      </w:r>
      <w:r w:rsidR="00B166DD" w:rsidRPr="0044579E">
        <w:t xml:space="preserve">primjećuje </w:t>
      </w:r>
      <w:r w:rsidRPr="0044579E">
        <w:t xml:space="preserve">sa zabrinutošću sve veće poteškoće u organizaciji takvih posjeta zbog financijskih ograničenja postojećeg proračuna, posebno za zastupnike iz država članica koje su geografski udaljene od Bruxellesa i </w:t>
      </w:r>
      <w:proofErr w:type="spellStart"/>
      <w:r w:rsidRPr="0044579E">
        <w:t>Strasbourga</w:t>
      </w:r>
      <w:proofErr w:type="spellEnd"/>
      <w:r w:rsidRPr="0044579E">
        <w:t xml:space="preserve">; poziva na dostatno financiranje troškova povezanih s putovanjima i smještajem, uzimajući u obzir stope inflacije i cijene, kako u zemljama podrijetla skupina posjetitelja tako i u Bruxellesu i </w:t>
      </w:r>
      <w:proofErr w:type="spellStart"/>
      <w:r w:rsidRPr="0044579E">
        <w:t>Strasbourgu</w:t>
      </w:r>
      <w:proofErr w:type="spellEnd"/>
      <w:r w:rsidRPr="0044579E">
        <w:t xml:space="preserve">; smatra da je povećanje pokrivenih troškova po osobi od 10 % nužno kako bi se u obzir uzeli aktualni uvjeti; poziva glavnog tajnika da kvestorima što prije predloži povećanje gornjih granica za pokrivene troškove kako bi se nastavila i povećala potpora zastupnicima u omogućivanju skupinama posjetitelja da posjete Parlament; 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9.</w:t>
      </w:r>
      <w:r w:rsidRPr="0044579E">
        <w:tab/>
      </w:r>
      <w:r w:rsidR="00B166DD" w:rsidRPr="0044579E">
        <w:t xml:space="preserve">primjećuje </w:t>
      </w:r>
      <w:r w:rsidRPr="0044579E">
        <w:t>sa zabrinutošću da prema internim pravilima o grupama posjetitelja zastupnika u Europskom parlamentu akreditirani parlamentarni asistenti u nekim okolnostima moraju snositi 30 % početnih troškova; naglašava nepraktičnost tih pravila i financijskog opterećenja za akreditirane parlamentarne asistente; poziva Predsjedništvo da preispita i ažurira postojeća pravila o posjetima kako bi se prevladale poteškoće u planiranju i organizaciji posjeta;</w:t>
      </w:r>
    </w:p>
    <w:p w:rsidR="007D7662" w:rsidRPr="0044579E" w:rsidRDefault="007D7662" w:rsidP="007D7662">
      <w:pPr>
        <w:pStyle w:val="NormalHanging12a"/>
        <w:spacing w:after="200"/>
        <w:rPr>
          <w:szCs w:val="24"/>
        </w:rPr>
      </w:pPr>
      <w:r w:rsidRPr="0044579E">
        <w:t>10.</w:t>
      </w:r>
      <w:r w:rsidRPr="0044579E">
        <w:tab/>
        <w:t xml:space="preserve">podsjeća na odluku Predsjedništva od 25. studenoga 2019. o osnivanju centara Europa </w:t>
      </w:r>
      <w:proofErr w:type="spellStart"/>
      <w:r w:rsidRPr="0044579E">
        <w:t>Experience</w:t>
      </w:r>
      <w:proofErr w:type="spellEnd"/>
      <w:r w:rsidRPr="0044579E">
        <w:t xml:space="preserve"> u svim državama članicama do kraja 2024.; žali zbog kašnjenja u osnivanju centara Europa </w:t>
      </w:r>
      <w:proofErr w:type="spellStart"/>
      <w:r w:rsidRPr="0044579E">
        <w:t>Experience</w:t>
      </w:r>
      <w:proofErr w:type="spellEnd"/>
      <w:r w:rsidRPr="0044579E">
        <w:t xml:space="preserve"> u svim državama članicama prije izbora za Parlament 2024. i napominje da je trenutačno u funkciji samo njih 12; uviđa da je tim kašnjenjima pridonio niz vanjskih čimbenika, uključujući </w:t>
      </w:r>
      <w:proofErr w:type="spellStart"/>
      <w:r w:rsidRPr="0044579E">
        <w:t>volatilnost</w:t>
      </w:r>
      <w:proofErr w:type="spellEnd"/>
      <w:r w:rsidRPr="0044579E">
        <w:t xml:space="preserve"> tržišta nekretnina;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11.</w:t>
      </w:r>
      <w:r w:rsidRPr="0044579E">
        <w:tab/>
        <w:t xml:space="preserve">prima na znanje da se otvaranje pet centara planira tijekom 2025. (u Ateni, Zagrebu, Haagu, Sofiji i Budimpešti); poziva na uspostavu centara Europa </w:t>
      </w:r>
      <w:proofErr w:type="spellStart"/>
      <w:r w:rsidRPr="0044579E">
        <w:t>Experience</w:t>
      </w:r>
      <w:proofErr w:type="spellEnd"/>
      <w:r w:rsidRPr="0044579E">
        <w:t xml:space="preserve"> u svim državama članicama što je prije moguće; podsjeća da bi centri Europa </w:t>
      </w:r>
      <w:proofErr w:type="spellStart"/>
      <w:r w:rsidRPr="0044579E">
        <w:t>Experience</w:t>
      </w:r>
      <w:proofErr w:type="spellEnd"/>
      <w:r w:rsidRPr="0044579E">
        <w:t xml:space="preserve"> svim građanima trebali omogućiti bolje razumijevanje funkcioniranja institucija Unije;</w:t>
      </w:r>
    </w:p>
    <w:p w:rsidR="007D7662" w:rsidRPr="0044579E" w:rsidRDefault="007D7662" w:rsidP="007D7662">
      <w:pPr>
        <w:pStyle w:val="Action"/>
        <w:keepNext/>
        <w:spacing w:after="200"/>
        <w:outlineLvl w:val="0"/>
        <w:rPr>
          <w:b/>
          <w:bCs/>
          <w:i/>
          <w:szCs w:val="24"/>
        </w:rPr>
      </w:pPr>
      <w:r w:rsidRPr="0044579E">
        <w:rPr>
          <w:b/>
          <w:i/>
        </w:rPr>
        <w:t>Infrastruktura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 xml:space="preserve">12. </w:t>
      </w:r>
      <w:r w:rsidRPr="0044579E">
        <w:tab/>
        <w:t>prima na znanje da je Odbor za proračune odobrio odluku Predsjedništva da provede temeljitu obnovu zgrade SPAAK, u skladu sa svojom Rezolucijom od 19. listopada 2022. o stajalištu Vijeća o nacrtu općeg proračuna Europske unije za financijsku godinu 2023.</w:t>
      </w:r>
      <w:r w:rsidRPr="0044579E">
        <w:rPr>
          <w:rStyle w:val="FootnoteReference"/>
        </w:rPr>
        <w:footnoteReference w:id="14"/>
      </w:r>
      <w:r w:rsidRPr="0044579E">
        <w:t>; ističe da postojeća zgrada ima vrlo nisku ocjenu energetske učinkovitosti te joj nedostaje prijeko potrebna fleksibilnost da bi odgovarala svojoj svrsi; ističe da bi Parlament trebao upravljati svojim portfeljem zgrada u području energetske učinkovitosti i održivosti kako bi se osigurala usklađenost s ciljevima zelenog plana; napominje da će obnova dovesti do znatnih godišnjih ušteda i smanjenja emisija CO</w:t>
      </w:r>
      <w:r w:rsidRPr="0044579E">
        <w:rPr>
          <w:vertAlign w:val="subscript"/>
        </w:rPr>
        <w:t>2</w:t>
      </w:r>
      <w:r w:rsidRPr="0044579E">
        <w:t xml:space="preserve"> te će pomoći da se ispune zahtjevi revidirane </w:t>
      </w:r>
      <w:r w:rsidRPr="0044579E">
        <w:rPr>
          <w14:textOutline w14:w="0" w14:cap="flat" w14:cmpd="sng" w14:algn="ctr">
            <w14:noFill/>
            <w14:prstDash w14:val="solid"/>
            <w14:bevel/>
          </w14:textOutline>
        </w:rPr>
        <w:t>Direktive o energetskoj učinkovitosti</w:t>
      </w:r>
      <w:r w:rsidRPr="0044579E">
        <w:t xml:space="preserve"> i Direktive o energetskim svojstvima </w:t>
      </w:r>
      <w:r w:rsidRPr="0044579E">
        <w:rPr>
          <w14:textOutline w14:w="0" w14:cap="flat" w14:cmpd="sng" w14:algn="ctr">
            <w14:noFill/>
            <w14:prstDash w14:val="solid"/>
            <w14:bevel/>
          </w14:textOutline>
        </w:rPr>
        <w:t>zgra</w:t>
      </w:r>
      <w:r w:rsidRPr="0044579E">
        <w:t>da; podsjeća Predsjedništvo da je prije donošenja svake velike odluke o pitanjima koja se odnose na zgrade i njihovo financiranje, zbog njihova velikog utjecaja na proračun, potrebno osigurati transparentnost te propisno obavijestiti Odbor za proračune i savjetovati se s njime;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13.</w:t>
      </w:r>
      <w:r w:rsidRPr="0044579E">
        <w:tab/>
        <w:t xml:space="preserve">prepoznaje potrebu da se 2025. započnu radovi na obnovi zgrade TREVES II kako bi se omogućio privremeni smještaj osoblja koje će biti premješteno tijekom obnove zgrade SPAAK; 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14.</w:t>
      </w:r>
      <w:r w:rsidRPr="0044579E">
        <w:tab/>
        <w:t xml:space="preserve">pozdravlja politiku Parlamenta čiji je cilj osigurati da se osobe s invaliditetom potpuno neovisno koriste zgradama Parlamenta te podržava daljnje mjere i prilagodbe koje će u tom pogledu biti potrebne; prepoznaje potrebu za poboljšanjem pristupa osoba s invaliditetom vijećnici za plenarne sjednice u </w:t>
      </w:r>
      <w:proofErr w:type="spellStart"/>
      <w:r w:rsidRPr="0044579E">
        <w:t>Strasbourgu</w:t>
      </w:r>
      <w:proofErr w:type="spellEnd"/>
      <w:r w:rsidRPr="0044579E">
        <w:t>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15.</w:t>
      </w:r>
      <w:r w:rsidRPr="0044579E">
        <w:tab/>
        <w:t xml:space="preserve">podsjeća na to da administracija Parlamenta trenutačno radi na sveobuhvatnom pristupu za definiranje dugoročne politike Parlamenta u području upravljanja zgradama, osobito uzimajući u obzir okolišne obveze, troškove i proračunska ograničenja, energetsku učinkovitost i gospodarenje otpadom u skladu s paketom „Spremni za 55 %” te očekuje da će se rezultati objaviti; poziva na razmatranje fleksibilnih načina rada koji su nastali kao posljedica </w:t>
      </w:r>
      <w:proofErr w:type="spellStart"/>
      <w:r w:rsidRPr="0044579E">
        <w:t>pandemije</w:t>
      </w:r>
      <w:proofErr w:type="spellEnd"/>
      <w:r w:rsidRPr="0044579E">
        <w:t xml:space="preserve">, uz istodobno priznavanje činjenice da je fizička prisutnost za političke pregovore, rasprave ili razmjenu gledišta i dalje učinkovitija za donošenje javnih politika; 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 xml:space="preserve">16. </w:t>
      </w:r>
      <w:r w:rsidRPr="0044579E">
        <w:tab/>
        <w:t>prima na znanje praksu da se krajem godine pribjegava preraspodjeli neiskorištenih sredstava u korist građevinskih projekata; prima na znanje da se takva preraspodjela neiskorištenih sredstava sustavno odvija u istim poglavljima i glavama te često i u istim proračunskim linijama; napominje da godišnja preraspodjela neiskorištenih sredstava može služiti i u druge svrhe, a ne za financiranje projekata povezanih sa zgradama;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17.</w:t>
      </w:r>
      <w:r w:rsidRPr="0044579E">
        <w:tab/>
        <w:t xml:space="preserve">pozdravlja stalne napore i mjere koje Parlament poduzima kako bi smanjio svoj ekološki otisak; iznova izražava punu potporu ciljevima Parlamenta u pogledu sustava upravljanja okolišem (EMAS) za 2024.; očekuje da će Parlament do kraja 2024. ostvariti sve ciljeve ključnih pokazatelja uspješnosti EMAS-a i nastaviti s donošenjem novih ambicioznih ciljeva za naredne godine; posebno primjećuje niz postignuća u tom pogledu, uključujući smanjenje emisija ugljika za 44 % od 2006., smanjenje upotrebe papira za 66 % u odnosu na 2014., visoku stopu osoblja koje hoda ili </w:t>
      </w:r>
      <w:proofErr w:type="spellStart"/>
      <w:r w:rsidRPr="0044579E">
        <w:t>biciklira</w:t>
      </w:r>
      <w:proofErr w:type="spellEnd"/>
      <w:r w:rsidRPr="0044579E">
        <w:t xml:space="preserve"> do radnog mjesta, znatno smanjenje upotrebe plastike i uspješno uvođenje infrastrukture za obnovljivu energiju, u kojoj je Parlament 2023. proizveo 458 </w:t>
      </w:r>
      <w:proofErr w:type="spellStart"/>
      <w:r w:rsidRPr="0044579E">
        <w:t>MWh</w:t>
      </w:r>
      <w:proofErr w:type="spellEnd"/>
      <w:r w:rsidRPr="0044579E">
        <w:t xml:space="preserve"> solarne energije;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18.</w:t>
      </w:r>
      <w:r w:rsidRPr="0044579E">
        <w:tab/>
        <w:t xml:space="preserve">prima na znanje povećanje cijena ugljičnih kredita; podsjeća da su ulaganja u energetsku učinkovitost dobra metoda za postizanje vrijednosti za uloženi novac; pozdravlja i potiče ulaganja u obnovljivu energiju i u postupno ukidanje fosilnih goriva, posebno s obzirom na energetsku krizu i geopolitički kontekst, te traži da se to odrazi u sljedećoj višegodišnjoj strategiji za upravljanje zgradama; napominje da je Parlament ugradio te i dalje ugrađuje </w:t>
      </w:r>
      <w:proofErr w:type="spellStart"/>
      <w:r w:rsidRPr="0044579E">
        <w:t>fotonaponske</w:t>
      </w:r>
      <w:proofErr w:type="spellEnd"/>
      <w:r w:rsidRPr="0044579E">
        <w:t xml:space="preserve"> solarne ploče kako bi dodatno povećao udio energije iz obnovljivih izvora proizvedene na svojim lokacijama i postigao cilj od 25 %; podsjeća da gotovo dvije trećine ugljičnog otiska Parlamenta potječe od putničkog prijevoza; pozdravlja napore Parlamenta da smanji emisije CO</w:t>
      </w:r>
      <w:r w:rsidRPr="0044579E">
        <w:rPr>
          <w:vertAlign w:val="subscript"/>
        </w:rPr>
        <w:t>2</w:t>
      </w:r>
      <w:r w:rsidRPr="0044579E">
        <w:t xml:space="preserve"> upotrebom unajmljenih vlakova i poziva na povećanje mogućnosti da se putovanja između triju mjesta rada odvijaju vlakom;</w:t>
      </w:r>
    </w:p>
    <w:p w:rsidR="007D7662" w:rsidRPr="0044579E" w:rsidRDefault="007D7662" w:rsidP="007D7662">
      <w:pPr>
        <w:pStyle w:val="Action"/>
        <w:keepNext/>
        <w:spacing w:after="200"/>
        <w:outlineLvl w:val="0"/>
        <w:rPr>
          <w:b/>
          <w:i/>
          <w:szCs w:val="24"/>
        </w:rPr>
      </w:pPr>
      <w:r w:rsidRPr="0044579E">
        <w:rPr>
          <w:b/>
          <w:i/>
        </w:rPr>
        <w:t>Ostala pitanja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19.</w:t>
      </w:r>
      <w:r w:rsidRPr="0044579E">
        <w:tab/>
        <w:t xml:space="preserve">podsjeća na aktualnu borbu u kojoj </w:t>
      </w:r>
      <w:r w:rsidR="00CC03DD" w:rsidRPr="0044579E">
        <w:t>U</w:t>
      </w:r>
      <w:r w:rsidRPr="0044579E">
        <w:t>nija sudjeluje radi očuvanja europskih vrijednosti i integriteta naših demokratskih procesa; pozdravlja mjere koje Parlament poduzima radi ostvarivanja tih ciljeva i borbe protiv dezinformiranja i manipulacije informacijama; poziva Glavnu upravu za komunikaciju i urede za vezu EP-a da nastave razvijati i provoditi učinkovite strategije za suzbijanje dezinformacija i manipulacije informacijama; ističe da je jedno od najmoćnijih oružja za borbu protiv dezinformiranja pozitivna komunikacija o aktivnostima Parlamenta utemeljena na činjenicama;</w:t>
      </w:r>
    </w:p>
    <w:p w:rsidR="007D7662" w:rsidRPr="0044579E" w:rsidRDefault="007D7662" w:rsidP="007D7662">
      <w:pPr>
        <w:pStyle w:val="action0"/>
        <w:spacing w:after="200"/>
        <w:ind w:left="567" w:hanging="567"/>
        <w:rPr>
          <w:rFonts w:eastAsia="Times New Roman"/>
        </w:rPr>
      </w:pPr>
      <w:r w:rsidRPr="0044579E">
        <w:t>20.</w:t>
      </w:r>
      <w:r w:rsidRPr="0044579E">
        <w:tab/>
        <w:t xml:space="preserve">podsjeća da Parlament snažno podržava višejezičnost i promiče prava nacionalnih, regionalnih i jezičnih manjina; smatra da Parlament može aktivno doprinijeti borbi protiv dezinformiranja produbljivanjem svojih komunikacija i na jezicima jezičnih manjina i zajednica, prema potrebi; traži od Predsjedništva da poveća opseg izrade i širenja komunikacijskih materijala Parlamenta </w:t>
      </w:r>
      <w:r w:rsidRPr="0044579E">
        <w:rPr>
          <w:rFonts w:ascii="TimesNewRomanPSMT" w:hAnsi="TimesNewRomanPSMT"/>
        </w:rPr>
        <w:t>koji su u skladu s potrebama nacionalnih, regionalnih i jezičnih manjina u državama članicama</w:t>
      </w:r>
      <w:r w:rsidRPr="0044579E">
        <w:t xml:space="preserve">, primjerice u uredima za vezu EP-a i centrima Europa </w:t>
      </w:r>
      <w:proofErr w:type="spellStart"/>
      <w:r w:rsidRPr="0044579E">
        <w:t>Experience</w:t>
      </w:r>
      <w:proofErr w:type="spellEnd"/>
      <w:r w:rsidRPr="0044579E">
        <w:t>, kao način borbe protiv svakog pokušaja oslanjanja na jezične razlike kako bi se spriječila kohezija; u tom smislu podsjeća na napore koje su uredi za vezu EP-a u baltičkim zemljama poduzeli kako bi pružali informacije građanima na ukrajinskom i ruskom jeziku od početka agresivnog rata Rusije protiv Ukrajine, s posebnim naglaskom na suzbijanju ruskih dezinformacija i propagande, te potiče na nastavak podupiranja i promicanja takvih aktivnosti na ukrajinskom i ruskom; naglašava važnost aktivnog sudjelovanja ureda za vezu EP-a u provedbi aktivnosti Parlamenta u vezi s građanskim odgojem putem većeg broja programa koji uključuju lokalne zajednice, škole i sveučilišta;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21.</w:t>
      </w:r>
      <w:r w:rsidRPr="0044579E">
        <w:tab/>
        <w:t xml:space="preserve">ističe potencijal umjetne inteligencije za pružanje potpore zastupnicima u izvršavanju njihova mandata i za razne aktivnosti administracije Parlamenta; pozdravlja činjenicu da su projekti u području umjetne inteligencije već u pripremi za 2025.; 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22.</w:t>
      </w:r>
      <w:r w:rsidRPr="0044579E">
        <w:tab/>
        <w:t>podržava najavu glavnog tajnika u Odboru za proračune o smanjenju administrativnog opterećenja i birokracije za zastupnike i njihove urede uz istodobno ubrzavanje digitalizacije postupaka u upravi; naglašava da ulaganja u digitalizaciju srednjoročno stvaraju povrat ulaganja i da ih ne bi trebalo odgađati zbog kratkoročnih ušteda troškova;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23.</w:t>
      </w:r>
      <w:r w:rsidRPr="0044579E">
        <w:tab/>
        <w:t xml:space="preserve">poziva Parlament da nastavi provoditi redovite procjene organizacije svojih kadrovskih potreba i da optimizira raspodjelu osoblja u Tajništvu Parlamenta, konkretno preraspodjelom </w:t>
      </w:r>
      <w:r w:rsidRPr="0044579E">
        <w:rPr>
          <w:rStyle w:val="doceo-font-family-base"/>
          <w:shd w:val="clear" w:color="auto" w:fill="FFFFFF"/>
        </w:rPr>
        <w:t>slobodnih</w:t>
      </w:r>
      <w:r w:rsidRPr="0044579E">
        <w:t xml:space="preserve"> radnih mjesta među službama kako bi se u najvećoj mogućoj mjeri održao stalni broj osoblja; poziva glavnog tajnika da procijeni rizike koji se odnose na zapošljavanje sve većeg broja ugovornih djelatnika, uključujući i opasnost od stvaranja dvije različite klase osoblja u Parlamentu; ustraje u tome da bi temeljna radna mjesta i zadaće trebalo povjeriti stalno zaposlenom osoblju;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24.</w:t>
      </w:r>
      <w:r w:rsidRPr="0044579E">
        <w:tab/>
        <w:t>ističe da je osiguravanje pravedne geografske ravnoteže važan dio stvaranja istinski europske javne službe; konstatira da je Parlament tijekom godina poduzeo niz mjera u tom pogledu; konstatira da još ima prostora za poboljšanje; primjećuje da je Predsjedništvo uspostavilo pravni okvir za organizaciju natječajâ za osobe određenog državljanstva i odlučilo organizirati prvi od takvih natječaja; ističe da bi se natječaji uvijek trebali temeljiti na zaslugama;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t>25.</w:t>
      </w:r>
      <w:r w:rsidRPr="0044579E">
        <w:tab/>
        <w:t xml:space="preserve">prima </w:t>
      </w:r>
      <w:r w:rsidRPr="0044579E">
        <w:rPr>
          <w:rStyle w:val="doceo-font-family-base"/>
          <w:shd w:val="clear" w:color="auto" w:fill="FFFFFF"/>
        </w:rPr>
        <w:t>na znanje</w:t>
      </w:r>
      <w:r w:rsidRPr="0044579E">
        <w:t xml:space="preserve"> već postojeći postupak za zahtjeve korisnika iz parlamentarnih tijela u pogledu prevođenja na međunarodni znakovni jezik tijekom sjednica; traži od glavnog tajnika da nastavi istraživati druge mogućnosti, kao što su alati za pretvaranje govora u tekst i strojno prevođenje, u skladu s načelom jednakog pristupa za sve građane;</w:t>
      </w:r>
    </w:p>
    <w:p w:rsidR="007D7662" w:rsidRPr="0044579E" w:rsidRDefault="007D7662" w:rsidP="007D7662">
      <w:pPr>
        <w:pStyle w:val="NormalHanging12a"/>
        <w:rPr>
          <w:szCs w:val="24"/>
        </w:rPr>
      </w:pPr>
      <w:r w:rsidRPr="0044579E">
        <w:t>26.</w:t>
      </w:r>
      <w:r w:rsidRPr="0044579E">
        <w:tab/>
        <w:t xml:space="preserve">ponavlja svoj zahtjev, usvojen na plenarnoj sjednici u nekoliko navrata, da Predsjedništvo započne s radom na reviziji Poslovnika kako bi se zastupnicima omogućilo da iskoriste svoje pravo na glasovanje na daljinu tijekom </w:t>
      </w:r>
      <w:proofErr w:type="spellStart"/>
      <w:r w:rsidRPr="0044579E">
        <w:t>rodiljnog</w:t>
      </w:r>
      <w:proofErr w:type="spellEnd"/>
      <w:r w:rsidRPr="0044579E">
        <w:t xml:space="preserve"> ili očinskog dopusta, dugotrajne bolesti ili u slučajevima više sile, uzimajući u obzir iskustva stečena tijekom </w:t>
      </w:r>
      <w:proofErr w:type="spellStart"/>
      <w:r w:rsidRPr="0044579E">
        <w:t>pandemije</w:t>
      </w:r>
      <w:proofErr w:type="spellEnd"/>
      <w:r w:rsidRPr="0044579E">
        <w:t xml:space="preserve"> o tehničkim aspektima tog načina glasovanja;</w:t>
      </w:r>
    </w:p>
    <w:p w:rsidR="007D7662" w:rsidRPr="0044579E" w:rsidRDefault="007D7662" w:rsidP="007D7662">
      <w:pPr>
        <w:pStyle w:val="NormalHanging12a"/>
      </w:pPr>
      <w:r w:rsidRPr="0044579E">
        <w:t>27.</w:t>
      </w:r>
      <w:r w:rsidRPr="0044579E">
        <w:tab/>
        <w:t xml:space="preserve">ponavlja svoj poziv Predsjedništvu da zajamči da svi restorani u Parlamentu poštuju svoje standarde kvalitete, učinkovitosti i cjenovne pristupačnosti te da ponovno uvede kontrolu pristupa na ulazima u </w:t>
      </w:r>
      <w:proofErr w:type="spellStart"/>
      <w:r w:rsidRPr="0044579E">
        <w:t>samoposlužni</w:t>
      </w:r>
      <w:proofErr w:type="spellEnd"/>
      <w:r w:rsidRPr="0044579E">
        <w:t xml:space="preserve"> restoran tijekom razdoblja najveće potražnje; pozdravlja provedbu kontrole pristupa na ulazu u </w:t>
      </w:r>
      <w:proofErr w:type="spellStart"/>
      <w:r w:rsidRPr="0044579E">
        <w:t>samoposlužni</w:t>
      </w:r>
      <w:proofErr w:type="spellEnd"/>
      <w:r w:rsidRPr="0044579E">
        <w:t xml:space="preserve"> restoran u zgradi WEISS u </w:t>
      </w:r>
      <w:proofErr w:type="spellStart"/>
      <w:r w:rsidRPr="0044579E">
        <w:t>Strasbourgu</w:t>
      </w:r>
      <w:proofErr w:type="spellEnd"/>
      <w:r w:rsidRPr="0044579E">
        <w:t xml:space="preserve"> tijekom sjednica;</w:t>
      </w:r>
    </w:p>
    <w:p w:rsidR="003652FE" w:rsidRPr="0044579E" w:rsidRDefault="003652FE" w:rsidP="007D7662">
      <w:pPr>
        <w:pStyle w:val="NormalHanging12a"/>
        <w:rPr>
          <w:szCs w:val="24"/>
        </w:rPr>
      </w:pPr>
      <w:r w:rsidRPr="0044579E">
        <w:rPr>
          <w:szCs w:val="24"/>
        </w:rPr>
        <w:t>28.</w:t>
      </w:r>
      <w:r w:rsidRPr="0044579E">
        <w:rPr>
          <w:szCs w:val="24"/>
        </w:rPr>
        <w:tab/>
        <w:t xml:space="preserve">poziva na istinsku predanost ostvarenju načela višejezičnosti; </w:t>
      </w:r>
    </w:p>
    <w:p w:rsidR="007D7662" w:rsidRPr="0044579E" w:rsidRDefault="007D7662" w:rsidP="007D7662">
      <w:pPr>
        <w:pStyle w:val="action0"/>
        <w:spacing w:after="200"/>
        <w:ind w:left="567" w:hanging="567"/>
      </w:pPr>
      <w:r w:rsidRPr="0044579E">
        <w:rPr>
          <w:rStyle w:val="doceo-font-family-base"/>
          <w:shd w:val="clear" w:color="auto" w:fill="FFFFFF"/>
        </w:rPr>
        <w:t>2</w:t>
      </w:r>
      <w:r w:rsidR="003652FE" w:rsidRPr="0044579E">
        <w:rPr>
          <w:rStyle w:val="doceo-font-family-base"/>
          <w:shd w:val="clear" w:color="auto" w:fill="FFFFFF"/>
        </w:rPr>
        <w:t>9</w:t>
      </w:r>
      <w:r w:rsidRPr="0044579E">
        <w:rPr>
          <w:rStyle w:val="doceo-font-family-base"/>
          <w:shd w:val="clear" w:color="auto" w:fill="FFFFFF"/>
        </w:rPr>
        <w:t>.</w:t>
      </w:r>
      <w:r w:rsidRPr="0044579E">
        <w:rPr>
          <w:rStyle w:val="doceo-font-family-base"/>
          <w:shd w:val="clear" w:color="auto" w:fill="FFFFFF"/>
        </w:rPr>
        <w:tab/>
        <w:t>ponovno poziva Konferenciju predsjednika i Predsjedništvo da preispitaju provedbene odredbe kojima se uređuje djelovanje izaslanstava i službena putovanja izvan Unije; ističe da bi u okviru te revizije trebalo razmotriti mogućnost da akreditirani parlamentarni asistenti pod određenim uvjetima prate zastupnike na službenim putovanjima izaslanstava Parlamenta i ostalim službenim putovanjima;</w:t>
      </w:r>
      <w:r w:rsidRPr="0044579E">
        <w:t xml:space="preserve"> ističe da ta promjena ne bi dovela ni do kakve izmjene iznosa omotnice i da bi bila proračunski neutralna;</w:t>
      </w:r>
    </w:p>
    <w:p w:rsidR="007D7662" w:rsidRPr="0044579E" w:rsidRDefault="003652FE" w:rsidP="007D7662">
      <w:pPr>
        <w:pStyle w:val="action0"/>
        <w:spacing w:after="200"/>
        <w:ind w:left="567" w:hanging="567"/>
        <w:rPr>
          <w:rFonts w:ascii="TimesNewRomanPSMT" w:hAnsi="TimesNewRomanPSMT" w:cs="TimesNewRomanPSMT"/>
        </w:rPr>
      </w:pPr>
      <w:r w:rsidRPr="0044579E">
        <w:rPr>
          <w:rFonts w:ascii="TimesNewRomanPSMT" w:hAnsi="TimesNewRomanPSMT"/>
        </w:rPr>
        <w:t>30</w:t>
      </w:r>
      <w:r w:rsidR="007D7662" w:rsidRPr="0044579E">
        <w:rPr>
          <w:rFonts w:ascii="TimesNewRomanPSMT" w:hAnsi="TimesNewRomanPSMT"/>
        </w:rPr>
        <w:t>.</w:t>
      </w:r>
      <w:r w:rsidR="007D7662" w:rsidRPr="0044579E">
        <w:rPr>
          <w:rFonts w:ascii="TimesNewRomanPSMT" w:hAnsi="TimesNewRomanPSMT"/>
        </w:rPr>
        <w:tab/>
      </w:r>
      <w:r w:rsidR="007D7662" w:rsidRPr="0044579E">
        <w:rPr>
          <w:rStyle w:val="doceo-font-family-base"/>
          <w:shd w:val="clear" w:color="auto" w:fill="FFFFFF"/>
        </w:rPr>
        <w:t>očekuje</w:t>
      </w:r>
      <w:r w:rsidR="007D7662" w:rsidRPr="0044579E">
        <w:rPr>
          <w:rFonts w:ascii="TimesNewRomanPSMT" w:hAnsi="TimesNewRomanPSMT"/>
        </w:rPr>
        <w:t xml:space="preserve"> da će se prijedlozi o kojima se glasuje na plenarnim sjednicama provoditi</w:t>
      </w:r>
      <w:r w:rsidR="007D7662" w:rsidRPr="0044579E">
        <w:t xml:space="preserve"> kao glavni prioriteti</w:t>
      </w:r>
      <w:r w:rsidR="007D7662" w:rsidRPr="0044579E">
        <w:rPr>
          <w:rFonts w:ascii="TimesNewRomanPSMT" w:hAnsi="TimesNewRomanPSMT"/>
        </w:rPr>
        <w:t>;</w:t>
      </w:r>
    </w:p>
    <w:p w:rsidR="007D7662" w:rsidRPr="0044579E" w:rsidRDefault="007D7662" w:rsidP="007D7662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bookmarkStart w:id="8" w:name="_GoBack"/>
      <w:bookmarkEnd w:id="8"/>
      <w:r w:rsidRPr="0044579E">
        <w:t>°</w:t>
      </w:r>
    </w:p>
    <w:p w:rsidR="007D7662" w:rsidRPr="0044579E" w:rsidRDefault="007D7662" w:rsidP="007D7662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r w:rsidRPr="0044579E">
        <w:t>°         °</w:t>
      </w:r>
    </w:p>
    <w:p w:rsidR="007D7662" w:rsidRPr="0044579E" w:rsidRDefault="007D7662" w:rsidP="007D7662">
      <w:pPr>
        <w:pStyle w:val="action0"/>
        <w:spacing w:before="200" w:after="200"/>
        <w:ind w:left="567" w:hanging="567"/>
      </w:pPr>
      <w:r w:rsidRPr="0044579E">
        <w:t>3</w:t>
      </w:r>
      <w:r w:rsidR="003652FE" w:rsidRPr="0044579E">
        <w:t>1</w:t>
      </w:r>
      <w:r w:rsidRPr="0044579E">
        <w:t>.</w:t>
      </w:r>
      <w:r w:rsidRPr="0044579E">
        <w:tab/>
        <w:t>prihvaća projekciju proračuna za financijsku godinu 2025.;</w:t>
      </w:r>
    </w:p>
    <w:p w:rsidR="007D7662" w:rsidRPr="0044579E" w:rsidRDefault="007D7662" w:rsidP="007D7662">
      <w:pPr>
        <w:pStyle w:val="Action"/>
        <w:tabs>
          <w:tab w:val="clear" w:pos="357"/>
        </w:tabs>
        <w:spacing w:after="200"/>
        <w:ind w:left="567" w:hanging="567"/>
        <w:outlineLvl w:val="0"/>
      </w:pPr>
      <w:r w:rsidRPr="0044579E">
        <w:t>3</w:t>
      </w:r>
      <w:r w:rsidR="003652FE" w:rsidRPr="0044579E">
        <w:t>2</w:t>
      </w:r>
      <w:r w:rsidRPr="0044579E">
        <w:t>.</w:t>
      </w:r>
      <w:r w:rsidRPr="0044579E">
        <w:tab/>
        <w:t>nalaže svojoj predsjednici da ovu Rezoluciju i projekciju proračuna proslijedi Vijeću i Komisiji.</w:t>
      </w:r>
    </w:p>
    <w:p w:rsidR="00E365E1" w:rsidRPr="0044579E" w:rsidRDefault="00E365E1">
      <w:bookmarkStart w:id="9" w:name="TextBodyEnd"/>
      <w:bookmarkEnd w:id="9"/>
    </w:p>
    <w:sectPr w:rsidR="00E365E1" w:rsidRPr="0044579E" w:rsidSect="00C306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99F" w:rsidRPr="00C306C7" w:rsidRDefault="009A499F">
      <w:r w:rsidRPr="00C306C7">
        <w:separator/>
      </w:r>
    </w:p>
  </w:endnote>
  <w:endnote w:type="continuationSeparator" w:id="0">
    <w:p w:rsidR="009A499F" w:rsidRPr="00C306C7" w:rsidRDefault="009A499F">
      <w:r w:rsidRPr="00C30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99F" w:rsidRPr="00C306C7" w:rsidRDefault="009A499F">
      <w:r w:rsidRPr="00C306C7">
        <w:separator/>
      </w:r>
    </w:p>
  </w:footnote>
  <w:footnote w:type="continuationSeparator" w:id="0">
    <w:p w:rsidR="009A499F" w:rsidRPr="00C306C7" w:rsidRDefault="009A499F">
      <w:r w:rsidRPr="00C306C7">
        <w:continuationSeparator/>
      </w:r>
    </w:p>
  </w:footnote>
  <w:footnote w:id="1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 L 193, 30.7.2018., str. 1.</w:t>
      </w:r>
    </w:p>
  </w:footnote>
  <w:footnote w:id="2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 L 433 I, 22.12.2020., str. 11.</w:t>
      </w:r>
    </w:p>
  </w:footnote>
  <w:footnote w:id="3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 C 444 I, 22.12.2020., str. 4.</w:t>
      </w:r>
    </w:p>
  </w:footnote>
  <w:footnote w:id="4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Usvojeni tekstovi, P9_TA(2020)0357.</w:t>
      </w:r>
    </w:p>
  </w:footnote>
  <w:footnote w:id="5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 L 433 I, 22.12.2020., str. 28.</w:t>
      </w:r>
    </w:p>
  </w:footnote>
  <w:footnote w:id="6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Usvojeni tekstovi, P9_TA(2023)0335.</w:t>
      </w:r>
    </w:p>
  </w:footnote>
  <w:footnote w:id="7">
    <w:p w:rsidR="007D7662" w:rsidRPr="00C306C7" w:rsidRDefault="007D7662" w:rsidP="00C306C7">
      <w:pPr>
        <w:pStyle w:val="Action"/>
        <w:tabs>
          <w:tab w:val="clear" w:pos="357"/>
        </w:tabs>
        <w:spacing w:after="0"/>
        <w:ind w:left="567" w:hanging="567"/>
        <w:outlineLvl w:val="0"/>
      </w:pPr>
      <w:r w:rsidRPr="00C306C7">
        <w:rPr>
          <w:rStyle w:val="FootnoteReference"/>
        </w:rPr>
        <w:footnoteRef/>
      </w:r>
      <w:r w:rsidR="00C306C7" w:rsidRPr="00C306C7">
        <w:t xml:space="preserve"> </w:t>
      </w:r>
      <w:r w:rsidR="00C306C7" w:rsidRPr="00C306C7">
        <w:tab/>
      </w:r>
      <w:r w:rsidRPr="00C306C7">
        <w:t>SL C 177, 17.5.2023., str. 115.</w:t>
      </w:r>
    </w:p>
  </w:footnote>
  <w:footnote w:id="8">
    <w:p w:rsidR="007D7662" w:rsidRPr="0044579E" w:rsidRDefault="007D7662" w:rsidP="00C306C7">
      <w:pPr>
        <w:pStyle w:val="FootnoteText"/>
        <w:ind w:left="567" w:hanging="567"/>
        <w:rPr>
          <w:i/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rStyle w:val="Emphasis"/>
          <w:color w:val="333333"/>
          <w:sz w:val="24"/>
          <w:shd w:val="clear" w:color="auto" w:fill="FFFFFF"/>
          <w:lang w:val="hr-HR"/>
        </w:rPr>
        <w:t xml:space="preserve"> </w:t>
      </w:r>
      <w:r w:rsidR="00C306C7" w:rsidRPr="00C306C7">
        <w:rPr>
          <w:rStyle w:val="Emphasis"/>
          <w:color w:val="333333"/>
          <w:sz w:val="24"/>
          <w:shd w:val="clear" w:color="auto" w:fill="FFFFFF"/>
          <w:lang w:val="hr-HR"/>
        </w:rPr>
        <w:tab/>
      </w:r>
      <w:r w:rsidRPr="0044579E">
        <w:rPr>
          <w:rStyle w:val="Emphasis"/>
          <w:i w:val="0"/>
          <w:color w:val="333333"/>
          <w:sz w:val="24"/>
          <w:shd w:val="clear" w:color="auto" w:fill="FFFFFF"/>
          <w:lang w:val="hr-HR"/>
        </w:rPr>
        <w:t xml:space="preserve">SL L, 2024/765, 29.2.2024., ELI: </w:t>
      </w:r>
      <w:hyperlink r:id="rId1" w:history="1">
        <w:r w:rsidR="0044579E" w:rsidRPr="0044579E">
          <w:rPr>
            <w:rStyle w:val="Hyperlink"/>
            <w:sz w:val="24"/>
            <w:shd w:val="clear" w:color="auto" w:fill="FFFFFF"/>
            <w:lang w:val="hr-HR"/>
          </w:rPr>
          <w:t>https://eur-lex.europa.eu/legal-content/HR/TXT/?uri=CELEX:32024</w:t>
        </w:r>
        <w:r w:rsidR="0044579E" w:rsidRPr="0044579E">
          <w:rPr>
            <w:rStyle w:val="Hyperlink"/>
            <w:sz w:val="24"/>
            <w:shd w:val="clear" w:color="auto" w:fill="FFFFFF"/>
            <w:lang w:val="hr-HR"/>
          </w:rPr>
          <w:t>R</w:t>
        </w:r>
        <w:r w:rsidR="0044579E" w:rsidRPr="0044579E">
          <w:rPr>
            <w:rStyle w:val="Hyperlink"/>
            <w:sz w:val="24"/>
            <w:shd w:val="clear" w:color="auto" w:fill="FFFFFF"/>
            <w:lang w:val="hr-HR"/>
          </w:rPr>
          <w:t>0</w:t>
        </w:r>
        <w:r w:rsidR="0044579E" w:rsidRPr="0044579E">
          <w:rPr>
            <w:rStyle w:val="Hyperlink"/>
            <w:sz w:val="24"/>
            <w:shd w:val="clear" w:color="auto" w:fill="FFFFFF"/>
            <w:lang w:val="hr-HR"/>
          </w:rPr>
          <w:t>765</w:t>
        </w:r>
      </w:hyperlink>
      <w:r w:rsidR="0044579E">
        <w:rPr>
          <w:rStyle w:val="Emphasis"/>
          <w:i w:val="0"/>
          <w:color w:val="333333"/>
          <w:sz w:val="24"/>
          <w:shd w:val="clear" w:color="auto" w:fill="FFFFFF"/>
          <w:lang w:val="hr-HR"/>
        </w:rPr>
        <w:t xml:space="preserve"> </w:t>
      </w:r>
    </w:p>
  </w:footnote>
  <w:footnote w:id="9">
    <w:p w:rsidR="007D7662" w:rsidRPr="00C306C7" w:rsidRDefault="007D7662" w:rsidP="0044579E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(COM(2022)0223).</w:t>
      </w:r>
    </w:p>
  </w:footnote>
  <w:footnote w:id="10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 L 287, 29.10.2013., str. 15.</w:t>
      </w:r>
    </w:p>
  </w:footnote>
  <w:footnote w:id="11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Usvojeni tekstovi, P9_TA(2023)0119.</w:t>
      </w:r>
    </w:p>
  </w:footnote>
  <w:footnote w:id="12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Usvojeni tekstovi, P9_TA(2023)0367.</w:t>
      </w:r>
    </w:p>
  </w:footnote>
  <w:footnote w:id="13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SL L 207, 22.2.2024.</w:t>
      </w:r>
    </w:p>
  </w:footnote>
  <w:footnote w:id="14">
    <w:p w:rsidR="007D7662" w:rsidRPr="00C306C7" w:rsidRDefault="007D7662" w:rsidP="00C306C7">
      <w:pPr>
        <w:pStyle w:val="FootnoteText"/>
        <w:ind w:left="567" w:hanging="567"/>
        <w:rPr>
          <w:sz w:val="24"/>
          <w:lang w:val="hr-HR"/>
        </w:rPr>
      </w:pPr>
      <w:r w:rsidRPr="00C306C7">
        <w:rPr>
          <w:rStyle w:val="FootnoteReference"/>
          <w:sz w:val="24"/>
          <w:lang w:val="hr-HR"/>
        </w:rPr>
        <w:footnoteRef/>
      </w:r>
      <w:r w:rsidR="00C306C7" w:rsidRPr="00C306C7">
        <w:rPr>
          <w:sz w:val="24"/>
          <w:lang w:val="hr-HR"/>
        </w:rPr>
        <w:t xml:space="preserve"> </w:t>
      </w:r>
      <w:r w:rsidR="00C306C7" w:rsidRPr="00C306C7">
        <w:rPr>
          <w:sz w:val="24"/>
          <w:lang w:val="hr-HR"/>
        </w:rPr>
        <w:tab/>
      </w:r>
      <w:r w:rsidRPr="00C306C7">
        <w:rPr>
          <w:sz w:val="24"/>
          <w:lang w:val="hr-HR"/>
        </w:rPr>
        <w:t>Usvojeni tekstovi, P9_TA(2022)0366.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06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C9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CA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CB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CC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CD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CE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00000CF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000D0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0000D1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7DA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00007DB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00007DC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000007DD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000007DE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000007DF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00007E0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000007E1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00007E2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000007E3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00007E4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00007E5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00007E6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000007E7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000007E8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000007E9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000007EA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000007EB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000007EC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000007ED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000007EE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000007EF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000007F0"/>
    <w:multiLevelType w:val="singleLevel"/>
    <w:tmpl w:val="04090001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3" w15:restartNumberingAfterBreak="0">
    <w:nsid w:val="1B59677E"/>
    <w:multiLevelType w:val="hybridMultilevel"/>
    <w:tmpl w:val="4374264C"/>
    <w:lvl w:ilvl="0" w:tplc="E7B818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35C0D9D"/>
    <w:multiLevelType w:val="hybridMultilevel"/>
    <w:tmpl w:val="DDB89A0A"/>
    <w:lvl w:ilvl="0" w:tplc="04090001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6" w15:restartNumberingAfterBreak="0">
    <w:nsid w:val="3B15534A"/>
    <w:multiLevelType w:val="hybridMultilevel"/>
    <w:tmpl w:val="680E4B70"/>
    <w:lvl w:ilvl="0" w:tplc="04090001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5B7323"/>
    <w:multiLevelType w:val="hybridMultilevel"/>
    <w:tmpl w:val="C4EC386E"/>
    <w:lvl w:ilvl="0" w:tplc="04090001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3"/>
  </w:num>
  <w:num w:numId="36">
    <w:abstractNumId w:val="34"/>
  </w:num>
  <w:num w:numId="37">
    <w:abstractNumId w:val="37"/>
  </w:num>
  <w:num w:numId="38">
    <w:abstractNumId w:val="3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4"/>
    <w:docVar w:name="dvlangue" w:val="HR"/>
    <w:docVar w:name="dvnumam" w:val="0"/>
    <w:docVar w:name="dvpe" w:val="759.633"/>
    <w:docVar w:name="dvrapporteur" w:val="Izvjestiteljica: "/>
    <w:docVar w:name="dvtitre" w:val="Rezolucija Europskog parlamenta od .... 2024. o procjeni prihoda i rashoda Europskog parlamenta za financijsku godinu 2025.(2023/2221(BUI))"/>
  </w:docVars>
  <w:rsids>
    <w:rsidRoot w:val="009A49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2FE"/>
    <w:rsid w:val="00395FA1"/>
    <w:rsid w:val="003E15D4"/>
    <w:rsid w:val="00411CCE"/>
    <w:rsid w:val="0041666E"/>
    <w:rsid w:val="00421060"/>
    <w:rsid w:val="0044579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66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99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6DD"/>
    <w:rsid w:val="00B22876"/>
    <w:rsid w:val="00B558F0"/>
    <w:rsid w:val="00BD48FE"/>
    <w:rsid w:val="00BD7BD8"/>
    <w:rsid w:val="00BE6ADC"/>
    <w:rsid w:val="00C05BFE"/>
    <w:rsid w:val="00C23CD4"/>
    <w:rsid w:val="00C306C7"/>
    <w:rsid w:val="00C61C0C"/>
    <w:rsid w:val="00C941CB"/>
    <w:rsid w:val="00CC03D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A070C"/>
  <w15:chartTrackingRefBased/>
  <w15:docId w15:val="{054271C5-8B92-40F4-BA33-B1A80E89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,BVI fnr,C26 Footnote Number,Footnote,Footnote Reference Number,Footnote Reference_LVL6,Footnote Reference_LVL61,Footnote Reference_LVL62,Footnote Reference_LVL63,Footnote Reference_LVL64,Footnote Reference_LVL65,Footnote symbol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D766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D766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D766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D766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7D766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7D7662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7D7662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7D7662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7D7662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7D766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D76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7D7662"/>
    <w:pPr>
      <w:spacing w:after="240"/>
    </w:pPr>
  </w:style>
  <w:style w:type="paragraph" w:customStyle="1" w:styleId="TOCPage">
    <w:name w:val="TOC Page"/>
    <w:basedOn w:val="Normal"/>
    <w:next w:val="TOC1"/>
    <w:rsid w:val="007D766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D76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D7662"/>
    <w:rPr>
      <w:b/>
    </w:rPr>
  </w:style>
  <w:style w:type="paragraph" w:customStyle="1" w:styleId="NormalHanging12a">
    <w:name w:val="NormalHanging12a"/>
    <w:basedOn w:val="Normal"/>
    <w:link w:val="NormalHanging12aChar"/>
    <w:rsid w:val="007D766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D7662"/>
    <w:pPr>
      <w:spacing w:after="480"/>
      <w:ind w:left="1417"/>
    </w:pPr>
  </w:style>
  <w:style w:type="paragraph" w:customStyle="1" w:styleId="CoverNormal">
    <w:name w:val="CoverNormal"/>
    <w:basedOn w:val="Normal"/>
    <w:rsid w:val="007D7662"/>
    <w:pPr>
      <w:ind w:left="1418"/>
    </w:pPr>
  </w:style>
  <w:style w:type="paragraph" w:customStyle="1" w:styleId="CoverReference">
    <w:name w:val="CoverReference"/>
    <w:basedOn w:val="Normal"/>
    <w:rsid w:val="007D766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7D76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D7662"/>
    <w:pPr>
      <w:spacing w:before="240" w:after="1200"/>
    </w:pPr>
  </w:style>
  <w:style w:type="paragraph" w:customStyle="1" w:styleId="EPBody">
    <w:name w:val="EPBody"/>
    <w:basedOn w:val="Normal"/>
    <w:rsid w:val="007D76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D76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7D76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662"/>
    <w:rPr>
      <w:sz w:val="24"/>
      <w:lang w:val="hr-HR"/>
    </w:rPr>
  </w:style>
  <w:style w:type="paragraph" w:customStyle="1" w:styleId="EPComma">
    <w:name w:val="EPComma"/>
    <w:basedOn w:val="Normal"/>
    <w:rsid w:val="007D7662"/>
    <w:pPr>
      <w:spacing w:before="480" w:after="240"/>
    </w:pPr>
  </w:style>
  <w:style w:type="paragraph" w:customStyle="1" w:styleId="FootnoteReference1">
    <w:name w:val="Footnote Reference1"/>
    <w:basedOn w:val="Normal"/>
    <w:link w:val="FootnoteReference"/>
    <w:rsid w:val="007D7662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Action">
    <w:name w:val="Action"/>
    <w:basedOn w:val="Normal"/>
    <w:rsid w:val="007D7662"/>
    <w:pPr>
      <w:tabs>
        <w:tab w:val="left" w:pos="357"/>
      </w:tabs>
      <w:spacing w:after="240"/>
      <w:ind w:left="357" w:hanging="357"/>
    </w:pPr>
  </w:style>
  <w:style w:type="paragraph" w:customStyle="1" w:styleId="action0">
    <w:name w:val="action"/>
    <w:basedOn w:val="Normal"/>
    <w:rsid w:val="007D7662"/>
    <w:pPr>
      <w:widowControl/>
      <w:spacing w:after="240"/>
      <w:ind w:left="357" w:hanging="357"/>
    </w:pPr>
    <w:rPr>
      <w:rFonts w:eastAsiaTheme="minorHAnsi"/>
      <w:szCs w:val="24"/>
    </w:rPr>
  </w:style>
  <w:style w:type="character" w:customStyle="1" w:styleId="doceo-font-family-base">
    <w:name w:val="doceo-font-family-base"/>
    <w:basedOn w:val="DefaultParagraphFont"/>
    <w:rsid w:val="007D7662"/>
  </w:style>
  <w:style w:type="paragraph" w:styleId="Footer">
    <w:name w:val="footer"/>
    <w:basedOn w:val="Normal"/>
    <w:link w:val="FooterChar"/>
    <w:uiPriority w:val="99"/>
    <w:rsid w:val="007D76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662"/>
    <w:rPr>
      <w:sz w:val="24"/>
      <w:lang w:val="hr-HR"/>
    </w:rPr>
  </w:style>
  <w:style w:type="character" w:styleId="Emphasis">
    <w:name w:val="Emphasis"/>
    <w:basedOn w:val="DefaultParagraphFont"/>
    <w:uiPriority w:val="20"/>
    <w:qFormat/>
    <w:rsid w:val="007D7662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7D7662"/>
    <w:rPr>
      <w:sz w:val="24"/>
      <w:lang w:val="hr-HR"/>
    </w:rPr>
  </w:style>
  <w:style w:type="paragraph" w:customStyle="1" w:styleId="Normal24a">
    <w:name w:val="Normal24a"/>
    <w:basedOn w:val="Normal"/>
    <w:rsid w:val="007D7662"/>
    <w:pPr>
      <w:spacing w:after="480"/>
    </w:pPr>
  </w:style>
  <w:style w:type="paragraph" w:customStyle="1" w:styleId="NormalBoldCenter">
    <w:name w:val="NormalBoldCenter"/>
    <w:basedOn w:val="Normal"/>
    <w:rsid w:val="007D7662"/>
    <w:pPr>
      <w:jc w:val="center"/>
    </w:pPr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7D766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D7662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66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D7662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7D7662"/>
    <w:rPr>
      <w:b/>
      <w:bCs/>
    </w:rPr>
  </w:style>
  <w:style w:type="paragraph" w:styleId="NoSpacing">
    <w:name w:val="No Spacing"/>
    <w:basedOn w:val="Normal"/>
    <w:uiPriority w:val="1"/>
    <w:qFormat/>
    <w:rsid w:val="007D766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D766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D766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D7662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66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662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7D766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D766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D766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D766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D766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7D7662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7D7662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7D7662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7D7662"/>
    <w:pPr>
      <w:shd w:val="clear" w:color="auto" w:fill="C0C0C0"/>
      <w:spacing w:before="60" w:after="60"/>
    </w:pPr>
    <w:rPr>
      <w:rFonts w:eastAsiaTheme="minorEastAsia"/>
      <w:lang w:val="hr-HR"/>
    </w:rPr>
  </w:style>
  <w:style w:type="paragraph" w:customStyle="1" w:styleId="Section">
    <w:name w:val="Section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7D7662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7D7662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7D7662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7D7662"/>
  </w:style>
  <w:style w:type="character" w:customStyle="1" w:styleId="tw4winInternal">
    <w:name w:val="tw4winInternal"/>
    <w:basedOn w:val="DefaultParagraphFont"/>
    <w:uiPriority w:val="99"/>
    <w:rsid w:val="007D7662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7D7662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7D7662"/>
    <w:rPr>
      <w:shd w:val="clear" w:color="auto" w:fill="FF0000"/>
    </w:rPr>
  </w:style>
  <w:style w:type="paragraph" w:styleId="BalloonText">
    <w:name w:val="Balloon Text"/>
    <w:basedOn w:val="Normal"/>
    <w:link w:val="BalloonTextChar"/>
    <w:uiPriority w:val="99"/>
    <w:unhideWhenUsed/>
    <w:rsid w:val="007D766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7662"/>
    <w:rPr>
      <w:rFonts w:ascii="Segoe UI" w:eastAsiaTheme="minorHAnsi" w:hAnsi="Segoe UI" w:cs="Segoe UI"/>
      <w:sz w:val="18"/>
      <w:szCs w:val="18"/>
      <w:lang w:val="hr-HR" w:eastAsia="en-US"/>
    </w:rPr>
  </w:style>
  <w:style w:type="character" w:styleId="CommentReference">
    <w:name w:val="annotation reference"/>
    <w:basedOn w:val="DefaultParagraphFont"/>
    <w:unhideWhenUsed/>
    <w:rsid w:val="007D7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7662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662"/>
    <w:rPr>
      <w:rFonts w:eastAsiaTheme="minorHAnsi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D7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D7662"/>
    <w:rPr>
      <w:rFonts w:eastAsiaTheme="minorHAnsi"/>
      <w:b/>
      <w:bCs/>
      <w:lang w:val="hr-HR" w:eastAsia="en-US"/>
    </w:rPr>
  </w:style>
  <w:style w:type="paragraph" w:styleId="Revision">
    <w:name w:val="Revision"/>
    <w:hidden/>
    <w:uiPriority w:val="99"/>
    <w:semiHidden/>
    <w:rsid w:val="007D7662"/>
    <w:rPr>
      <w:rFonts w:eastAsiaTheme="minorHAnsi"/>
      <w:sz w:val="24"/>
      <w:szCs w:val="24"/>
      <w:lang w:val="hr-HR" w:eastAsia="en-US"/>
    </w:rPr>
  </w:style>
  <w:style w:type="numbering" w:customStyle="1" w:styleId="NoList1">
    <w:name w:val="No List1"/>
    <w:next w:val="NoList"/>
    <w:uiPriority w:val="99"/>
    <w:semiHidden/>
    <w:unhideWhenUsed/>
    <w:rsid w:val="007D7662"/>
  </w:style>
  <w:style w:type="numbering" w:customStyle="1" w:styleId="NoList2">
    <w:name w:val="No List2"/>
    <w:next w:val="NoList"/>
    <w:uiPriority w:val="99"/>
    <w:semiHidden/>
    <w:unhideWhenUsed/>
    <w:rsid w:val="007D7662"/>
  </w:style>
  <w:style w:type="paragraph" w:customStyle="1" w:styleId="RollCallVotes">
    <w:name w:val="RollCallVotes"/>
    <w:basedOn w:val="Normal"/>
    <w:rsid w:val="007D766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D766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D766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D7662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7D7662"/>
    <w:pPr>
      <w:spacing w:before="160"/>
    </w:pPr>
    <w:rPr>
      <w:rFonts w:ascii="Helvetica Neue" w:eastAsia="Arial Unicode MS" w:hAnsi="Helvetica Neue" w:cs="Arial Unicode MS"/>
      <w:color w:val="000000"/>
      <w:sz w:val="24"/>
      <w:szCs w:val="24"/>
      <w:lang w:val="hr-HR"/>
      <w14:textOutline w14:w="0" w14:cap="flat" w14:cmpd="sng" w14:algn="ctr">
        <w14:noFill/>
        <w14:prstDash w14:val="solid"/>
        <w14:bevel/>
      </w14:textOutline>
    </w:rPr>
  </w:style>
  <w:style w:type="paragraph" w:styleId="EndnoteText">
    <w:name w:val="endnote text"/>
    <w:basedOn w:val="Normal"/>
    <w:link w:val="EndnoteTextChar"/>
    <w:rsid w:val="007D766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D7662"/>
    <w:rPr>
      <w:lang w:val="hr-HR"/>
    </w:rPr>
  </w:style>
  <w:style w:type="character" w:styleId="EndnoteReference">
    <w:name w:val="endnote reference"/>
    <w:basedOn w:val="DefaultParagraphFont"/>
    <w:rsid w:val="007D7662"/>
    <w:rPr>
      <w:vertAlign w:val="superscript"/>
    </w:rPr>
  </w:style>
  <w:style w:type="paragraph" w:customStyle="1" w:styleId="msonormal0">
    <w:name w:val="msonormal"/>
    <w:basedOn w:val="Normal"/>
    <w:rsid w:val="007D7662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44579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457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HR/TXT/?uri=CELEX:32024R0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62F29-D0F6-4C2E-A886-2E920E46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2844</Words>
  <Characters>17072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2024-04-25T12:19:00Z</dcterms:created>
  <dcterms:modified xsi:type="dcterms:W3CDTF">2024-04-25T12:19:00Z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A9-0180/2024</vt:lpwstr>
  </property>
  <property fmtid="{D5CDD505-2E9C-101B-9397-08002B2CF9AE}" pid="4" name="&lt;Type&gt;">
    <vt:lpwstr>RR</vt:lpwstr>
  </property>
</Properties>
</file>