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12023" w:rsidTr="0010095E">
        <w:trPr>
          <w:trHeight w:hRule="exact" w:val="1418"/>
        </w:trPr>
        <w:tc>
          <w:tcPr>
            <w:tcW w:w="6804" w:type="dxa"/>
            <w:shd w:val="clear" w:color="auto" w:fill="auto"/>
            <w:vAlign w:val="center"/>
          </w:tcPr>
          <w:p w:rsidR="00751A4A" w:rsidRPr="00612023" w:rsidRDefault="0064762E" w:rsidP="0010095E">
            <w:pPr>
              <w:pStyle w:val="EPName"/>
            </w:pPr>
            <w:r w:rsidRPr="00612023">
              <w:t>Europos Parlamentas</w:t>
            </w:r>
          </w:p>
          <w:p w:rsidR="00751A4A" w:rsidRPr="00612023" w:rsidRDefault="00817416" w:rsidP="00756632">
            <w:pPr>
              <w:pStyle w:val="EPTerm"/>
              <w:rPr>
                <w:rStyle w:val="HideTWBExt"/>
                <w:noProof w:val="0"/>
                <w:vanish w:val="0"/>
                <w:color w:val="auto"/>
              </w:rPr>
            </w:pPr>
            <w:r w:rsidRPr="00612023">
              <w:t>2019-2024</w:t>
            </w:r>
          </w:p>
        </w:tc>
        <w:tc>
          <w:tcPr>
            <w:tcW w:w="2268" w:type="dxa"/>
            <w:shd w:val="clear" w:color="auto" w:fill="auto"/>
          </w:tcPr>
          <w:p w:rsidR="00751A4A" w:rsidRPr="00612023" w:rsidRDefault="00187494" w:rsidP="0010095E">
            <w:pPr>
              <w:pStyle w:val="EPLogo"/>
            </w:pPr>
            <w:r w:rsidRPr="00612023">
              <w:rPr>
                <w:noProof/>
                <w:lang w:val="pl-PL"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12023" w:rsidRDefault="00D058B8" w:rsidP="004C5D52">
      <w:pPr>
        <w:pStyle w:val="LineTop"/>
      </w:pPr>
    </w:p>
    <w:p w:rsidR="00680577" w:rsidRPr="00612023" w:rsidRDefault="0064762E" w:rsidP="00680577">
      <w:pPr>
        <w:pStyle w:val="EPBodyTA1"/>
      </w:pPr>
      <w:r w:rsidRPr="00612023">
        <w:t>PRIIMTI TEKSTAI</w:t>
      </w:r>
    </w:p>
    <w:p w:rsidR="00D058B8" w:rsidRPr="00612023" w:rsidRDefault="00D058B8" w:rsidP="00D058B8">
      <w:pPr>
        <w:pStyle w:val="LineBottom"/>
      </w:pPr>
    </w:p>
    <w:p w:rsidR="0064762E" w:rsidRPr="00612023" w:rsidRDefault="0064762E" w:rsidP="0064762E">
      <w:pPr>
        <w:pStyle w:val="ATHeading1"/>
      </w:pPr>
      <w:bookmarkStart w:id="0" w:name="TANumber"/>
      <w:r w:rsidRPr="00612023">
        <w:t>P9_TA(2024)0</w:t>
      </w:r>
      <w:r w:rsidR="00681650">
        <w:t>373</w:t>
      </w:r>
      <w:bookmarkEnd w:id="0"/>
    </w:p>
    <w:p w:rsidR="0064762E" w:rsidRPr="00612023" w:rsidRDefault="0064762E" w:rsidP="0064762E">
      <w:pPr>
        <w:pStyle w:val="ATHeading2"/>
      </w:pPr>
      <w:bookmarkStart w:id="1" w:name="title"/>
      <w:r w:rsidRPr="00612023">
        <w:t>2025 finansinių metų pajamų ir išlaidų sąmata – I skirsnis – Europos Parlamentas</w:t>
      </w:r>
      <w:bookmarkEnd w:id="1"/>
    </w:p>
    <w:p w:rsidR="0064762E" w:rsidRPr="00612023" w:rsidRDefault="0064762E" w:rsidP="0064762E">
      <w:pPr>
        <w:rPr>
          <w:i/>
          <w:vanish/>
        </w:rPr>
      </w:pPr>
      <w:r w:rsidRPr="00612023">
        <w:rPr>
          <w:i/>
        </w:rPr>
        <w:fldChar w:fldCharType="begin"/>
      </w:r>
      <w:r w:rsidRPr="00612023">
        <w:rPr>
          <w:i/>
        </w:rPr>
        <w:instrText xml:space="preserve"> TC"(</w:instrText>
      </w:r>
      <w:bookmarkStart w:id="2" w:name="DocNumber"/>
      <w:r w:rsidRPr="00612023">
        <w:rPr>
          <w:i/>
        </w:rPr>
        <w:instrText>A9-0180/2024</w:instrText>
      </w:r>
      <w:bookmarkEnd w:id="2"/>
      <w:r w:rsidRPr="00612023">
        <w:rPr>
          <w:i/>
        </w:rPr>
        <w:instrText xml:space="preserve"> - Pranešėja: Anna</w:instrText>
      </w:r>
      <w:r w:rsidRPr="00612023">
        <w:rPr>
          <w:i/>
        </w:rPr>
        <w:noBreakHyphen/>
      </w:r>
      <w:proofErr w:type="spellStart"/>
      <w:r w:rsidRPr="00612023">
        <w:rPr>
          <w:i/>
        </w:rPr>
        <w:instrText>Michelle</w:instrText>
      </w:r>
      <w:proofErr w:type="spellEnd"/>
      <w:r w:rsidRPr="00612023">
        <w:rPr>
          <w:i/>
        </w:rPr>
        <w:instrText xml:space="preserve"> </w:instrText>
      </w:r>
      <w:proofErr w:type="spellStart"/>
      <w:r w:rsidRPr="00612023">
        <w:rPr>
          <w:i/>
        </w:rPr>
        <w:instrText>Asimakopoulou</w:instrText>
      </w:r>
      <w:proofErr w:type="spellEnd"/>
      <w:r w:rsidRPr="00612023">
        <w:rPr>
          <w:i/>
        </w:rPr>
        <w:instrText xml:space="preserve">)"\l3 \n&gt; \* MERGEFORMAT </w:instrText>
      </w:r>
      <w:r w:rsidRPr="00612023">
        <w:rPr>
          <w:i/>
        </w:rPr>
        <w:fldChar w:fldCharType="end"/>
      </w:r>
    </w:p>
    <w:p w:rsidR="0064762E" w:rsidRPr="00612023" w:rsidRDefault="0064762E" w:rsidP="0064762E">
      <w:pPr>
        <w:rPr>
          <w:vanish/>
        </w:rPr>
      </w:pPr>
      <w:bookmarkStart w:id="3" w:name="Commission"/>
      <w:r w:rsidRPr="00612023">
        <w:rPr>
          <w:vanish/>
        </w:rPr>
        <w:t>Biudžeto komitetas</w:t>
      </w:r>
      <w:bookmarkEnd w:id="3"/>
    </w:p>
    <w:p w:rsidR="0064762E" w:rsidRPr="00612023" w:rsidRDefault="0064762E" w:rsidP="0064762E">
      <w:pPr>
        <w:rPr>
          <w:vanish/>
        </w:rPr>
      </w:pPr>
      <w:bookmarkStart w:id="4" w:name="PE"/>
      <w:r w:rsidRPr="00612023">
        <w:rPr>
          <w:vanish/>
        </w:rPr>
        <w:t>PE759.633</w:t>
      </w:r>
      <w:bookmarkEnd w:id="4"/>
    </w:p>
    <w:p w:rsidR="0064762E" w:rsidRPr="00612023" w:rsidRDefault="00A9236C" w:rsidP="009B683F">
      <w:pPr>
        <w:pStyle w:val="ATHeading3"/>
      </w:pPr>
      <w:bookmarkStart w:id="5" w:name="Sujet"/>
      <w:r>
        <w:t xml:space="preserve">2024 m. balandžio 25 d. </w:t>
      </w:r>
      <w:r w:rsidR="0064762E" w:rsidRPr="00612023">
        <w:t>Europos Parlamento rezoliucija dėl Europos Parlamento 2025 finansinių metų pajamų ir išlaidų sąmatos</w:t>
      </w:r>
      <w:bookmarkEnd w:id="5"/>
      <w:r w:rsidR="0064762E" w:rsidRPr="00612023">
        <w:t xml:space="preserve"> </w:t>
      </w:r>
      <w:bookmarkStart w:id="6" w:name="References"/>
      <w:r w:rsidR="0064762E" w:rsidRPr="00612023">
        <w:t>(2023/2221(BUI))</w:t>
      </w:r>
      <w:bookmarkEnd w:id="6"/>
    </w:p>
    <w:p w:rsidR="00060C58" w:rsidRPr="00612023" w:rsidRDefault="00060C58" w:rsidP="00060C58">
      <w:pPr>
        <w:pStyle w:val="EPComma"/>
      </w:pPr>
      <w:bookmarkStart w:id="7" w:name="TextBodyBegin"/>
      <w:bookmarkEnd w:id="7"/>
      <w:r w:rsidRPr="00612023">
        <w:rPr>
          <w:i/>
        </w:rPr>
        <w:t>Europos Parlamentas</w:t>
      </w:r>
      <w:r w:rsidRPr="00612023">
        <w:t>,</w:t>
      </w:r>
    </w:p>
    <w:p w:rsidR="00060C58" w:rsidRPr="00612023" w:rsidRDefault="00060C58" w:rsidP="00060C58">
      <w:pPr>
        <w:pStyle w:val="NormalHanging12a"/>
        <w:rPr>
          <w:szCs w:val="24"/>
        </w:rPr>
      </w:pPr>
      <w:r w:rsidRPr="00612023">
        <w:t>–</w:t>
      </w:r>
      <w:r w:rsidRPr="00612023">
        <w:tab/>
        <w:t>atsižvelgdamas į Sutarties dėl Europos Sąjungos veikimo 314 straipsnį,</w:t>
      </w:r>
    </w:p>
    <w:p w:rsidR="00060C58" w:rsidRPr="00612023" w:rsidRDefault="00060C58" w:rsidP="00060C58">
      <w:pPr>
        <w:pStyle w:val="NormalHanging12a"/>
        <w:rPr>
          <w:szCs w:val="24"/>
        </w:rPr>
      </w:pPr>
      <w:r w:rsidRPr="00612023">
        <w:t>–</w:t>
      </w:r>
      <w:r w:rsidRPr="00612023">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Pr="00612023">
        <w:rPr>
          <w:rStyle w:val="FootnoteReference"/>
          <w:szCs w:val="24"/>
        </w:rPr>
        <w:footnoteReference w:id="1"/>
      </w:r>
      <w:r w:rsidRPr="00612023">
        <w:t>,</w:t>
      </w:r>
    </w:p>
    <w:p w:rsidR="00060C58" w:rsidRPr="00612023" w:rsidRDefault="00060C58" w:rsidP="00060C58">
      <w:pPr>
        <w:pStyle w:val="NormalHanging12a"/>
        <w:rPr>
          <w:szCs w:val="24"/>
        </w:rPr>
      </w:pPr>
      <w:r w:rsidRPr="00612023">
        <w:t>–</w:t>
      </w:r>
      <w:r w:rsidRPr="00612023">
        <w:tab/>
        <w:t>atsižvelgdamas į 2020 m. gruodžio 17 d. Tarybos reglamentą (ES, Euratomas) 2020/2093, kuriuo nustatoma 2021–2027 m. daugiametė finansinė programa</w:t>
      </w:r>
      <w:r w:rsidRPr="00612023">
        <w:rPr>
          <w:szCs w:val="24"/>
          <w:vertAlign w:val="superscript"/>
        </w:rPr>
        <w:footnoteReference w:id="2"/>
      </w:r>
      <w:r w:rsidRPr="00612023">
        <w:t>, ir bendras deklaracijas, dėl kurių šiuo klausimu susitarė Parlamentas, Taryba ir Komisija</w:t>
      </w:r>
      <w:r w:rsidRPr="00612023">
        <w:rPr>
          <w:szCs w:val="24"/>
          <w:vertAlign w:val="superscript"/>
        </w:rPr>
        <w:footnoteReference w:id="3"/>
      </w:r>
      <w:r w:rsidRPr="00612023">
        <w:t>, taip pat į susijusias vienašales deklaracijas</w:t>
      </w:r>
      <w:r w:rsidRPr="00612023">
        <w:rPr>
          <w:szCs w:val="24"/>
          <w:vertAlign w:val="superscript"/>
        </w:rPr>
        <w:footnoteReference w:id="4"/>
      </w:r>
      <w:r w:rsidRPr="00612023">
        <w:t xml:space="preserve">, </w:t>
      </w:r>
    </w:p>
    <w:p w:rsidR="00060C58" w:rsidRPr="00612023" w:rsidRDefault="00060C58" w:rsidP="00060C58">
      <w:pPr>
        <w:pStyle w:val="NormalHanging12a"/>
        <w:rPr>
          <w:szCs w:val="24"/>
        </w:rPr>
      </w:pPr>
      <w:r w:rsidRPr="00612023">
        <w:t>–</w:t>
      </w:r>
      <w:r w:rsidRPr="00612023">
        <w:tab/>
        <w:t xml:space="preserve">atsižvelgdamas į 2020 m. gruodžio 16 d. Europos Parlamento, Europos Sąjungos Tarybos ir Europos Komisijos </w:t>
      </w:r>
      <w:proofErr w:type="spellStart"/>
      <w:r w:rsidRPr="00612023">
        <w:t>tarpinstitucinį</w:t>
      </w:r>
      <w:proofErr w:type="spellEnd"/>
      <w:r w:rsidRPr="00612023">
        <w:t xml:space="preserve"> susitarimą dėl biudžetinės drausmės, bendradarbiavimo biudžeto klausimais ir patikimo finansų valdymo, taip pat dėl naujų nuosavų išteklių, įskaitant veiksmų gaires dėl naujų nuosavų išteklių nustatymo</w:t>
      </w:r>
      <w:r w:rsidRPr="00612023">
        <w:rPr>
          <w:rStyle w:val="FootnoteReference"/>
          <w:szCs w:val="24"/>
        </w:rPr>
        <w:footnoteReference w:id="5"/>
      </w:r>
      <w:r w:rsidRPr="00612023">
        <w:t>,</w:t>
      </w:r>
    </w:p>
    <w:p w:rsidR="00060C58" w:rsidRPr="00612023" w:rsidRDefault="00060C58" w:rsidP="00060C58">
      <w:pPr>
        <w:pStyle w:val="NormalHanging12a"/>
        <w:rPr>
          <w:szCs w:val="24"/>
        </w:rPr>
      </w:pPr>
      <w:r w:rsidRPr="00612023">
        <w:t>–</w:t>
      </w:r>
      <w:r w:rsidRPr="00612023">
        <w:tab/>
        <w:t xml:space="preserve">atsižvelgdamas į </w:t>
      </w:r>
      <w:r w:rsidR="00A9236C">
        <w:t xml:space="preserve">2023 m. spalio 3 d. </w:t>
      </w:r>
      <w:r w:rsidRPr="00612023">
        <w:t>preliminarų pranešimą dėl pasiūlymo dėl 2021–</w:t>
      </w:r>
      <w:r w:rsidRPr="00612023">
        <w:lastRenderedPageBreak/>
        <w:t>2027 m. daugiametės finansinės programos laikotarpio vidurio tikslinimo</w:t>
      </w:r>
      <w:r w:rsidRPr="00612023">
        <w:rPr>
          <w:szCs w:val="24"/>
          <w:vertAlign w:val="superscript"/>
        </w:rPr>
        <w:footnoteReference w:id="6"/>
      </w:r>
      <w:r w:rsidRPr="00612023">
        <w:t>,</w:t>
      </w:r>
    </w:p>
    <w:p w:rsidR="00060C58" w:rsidRPr="00612023" w:rsidRDefault="00060C58" w:rsidP="00060C58">
      <w:pPr>
        <w:pStyle w:val="NormalHanging12a"/>
        <w:rPr>
          <w:szCs w:val="24"/>
        </w:rPr>
      </w:pPr>
      <w:r w:rsidRPr="00612023">
        <w:t>–</w:t>
      </w:r>
      <w:r w:rsidRPr="00612023">
        <w:tab/>
        <w:t>atsižvelgdamas į savo 2022 m. gruodžio 15 d. rezoliuciją „2021–2027 m. daugiametės finansinės programos tobulinimas: atsparus ir naujiems iššūkiams pritaikytas ES biudžetas“</w:t>
      </w:r>
      <w:r w:rsidRPr="00612023">
        <w:rPr>
          <w:szCs w:val="24"/>
          <w:vertAlign w:val="superscript"/>
        </w:rPr>
        <w:footnoteReference w:id="7"/>
      </w:r>
      <w:r w:rsidRPr="00612023">
        <w:t xml:space="preserve">, </w:t>
      </w:r>
    </w:p>
    <w:p w:rsidR="00060C58" w:rsidRPr="00612023" w:rsidRDefault="00060C58" w:rsidP="00060C58">
      <w:pPr>
        <w:pStyle w:val="NormalHanging12a"/>
        <w:rPr>
          <w:szCs w:val="24"/>
        </w:rPr>
      </w:pPr>
      <w:r w:rsidRPr="00612023">
        <w:t>–</w:t>
      </w:r>
      <w:r w:rsidRPr="00612023">
        <w:tab/>
        <w:t xml:space="preserve">atsižvelgdamas į 2024 m. vasario 29 d. </w:t>
      </w:r>
      <w:r w:rsidRPr="00612023">
        <w:rPr>
          <w:shd w:val="clear" w:color="auto" w:fill="FFFFFF"/>
        </w:rPr>
        <w:t>Tarybos reglamentą (ES, Euratomas) 2024/765, kuriuo iš dalies keičiamas Reglamentas (ES, Euratomas) 2020/2093</w:t>
      </w:r>
      <w:r w:rsidRPr="00612023">
        <w:t>, kuriuo nustatoma 2021–2027 m. daugiametė finansinė programa</w:t>
      </w:r>
      <w:r w:rsidRPr="00612023">
        <w:rPr>
          <w:rStyle w:val="FootnoteReference"/>
          <w:szCs w:val="24"/>
        </w:rPr>
        <w:footnoteReference w:id="8"/>
      </w:r>
      <w:r w:rsidRPr="00612023">
        <w:t xml:space="preserve"> (DFP tikslinimas),</w:t>
      </w:r>
    </w:p>
    <w:p w:rsidR="00060C58" w:rsidRPr="00612023" w:rsidRDefault="00060C58" w:rsidP="00060C58">
      <w:pPr>
        <w:pStyle w:val="NormalHanging12a"/>
        <w:rPr>
          <w:szCs w:val="24"/>
        </w:rPr>
      </w:pPr>
      <w:r w:rsidRPr="00612023">
        <w:t>–</w:t>
      </w:r>
      <w:r w:rsidRPr="00612023">
        <w:tab/>
        <w:t>atsižvelgdamas į 2022 m. gegužės 16 d. Komisijos pasiūlymą dėl Europos Parlamento ir Tarybos reglamento dėl Sąjungos bendrajam biudžetui taikomų finansinių taisyklių</w:t>
      </w:r>
      <w:r w:rsidRPr="00612023">
        <w:rPr>
          <w:rStyle w:val="FootnoteReference"/>
          <w:szCs w:val="24"/>
        </w:rPr>
        <w:footnoteReference w:id="9"/>
      </w:r>
      <w:r w:rsidRPr="00612023">
        <w:t>,</w:t>
      </w:r>
    </w:p>
    <w:p w:rsidR="00060C58" w:rsidRPr="00612023" w:rsidRDefault="00060C58" w:rsidP="00060C58">
      <w:pPr>
        <w:pStyle w:val="NormalHanging12a"/>
        <w:rPr>
          <w:szCs w:val="24"/>
        </w:rPr>
      </w:pPr>
      <w:r w:rsidRPr="00612023">
        <w:t>–</w:t>
      </w:r>
      <w:r w:rsidRPr="00612023">
        <w:tab/>
        <w:t>atsižvelgdamas į 2013 m. spalio 22 d. Europos Parlamento ir Tarybos reglamentą (ES, Euratomas) Nr. 1023/2013, kuriuo iš dalies keičiami Europos Sąjungos pareigūnų tarnybos nuostatai ir kitų Europos Sąjungos tarnautojų įdarbinimo sąlygos</w:t>
      </w:r>
      <w:r w:rsidRPr="00612023">
        <w:rPr>
          <w:rStyle w:val="FootnoteReference"/>
          <w:szCs w:val="24"/>
        </w:rPr>
        <w:footnoteReference w:id="10"/>
      </w:r>
      <w:r w:rsidRPr="00612023">
        <w:t xml:space="preserve">,  </w:t>
      </w:r>
    </w:p>
    <w:p w:rsidR="00060C58" w:rsidRPr="00612023" w:rsidRDefault="00060C58" w:rsidP="00060C58">
      <w:pPr>
        <w:pStyle w:val="NormalHanging12a"/>
        <w:rPr>
          <w:szCs w:val="24"/>
        </w:rPr>
      </w:pPr>
      <w:r w:rsidRPr="00612023">
        <w:t>–</w:t>
      </w:r>
      <w:r w:rsidRPr="00612023">
        <w:tab/>
        <w:t>atsižvelgdamas į 2023 m. balandžio 20 d. rezoliuciją dėl Parlamento 2024 finansinių metų pajamų ir išlaidų sąmatos</w:t>
      </w:r>
      <w:r w:rsidRPr="00612023">
        <w:rPr>
          <w:rStyle w:val="FootnoteReference"/>
          <w:szCs w:val="24"/>
        </w:rPr>
        <w:footnoteReference w:id="11"/>
      </w:r>
      <w:r w:rsidRPr="00612023">
        <w:t xml:space="preserve">, </w:t>
      </w:r>
    </w:p>
    <w:p w:rsidR="00060C58" w:rsidRPr="00612023" w:rsidRDefault="00060C58" w:rsidP="00060C58">
      <w:pPr>
        <w:pStyle w:val="NormalHanging12a"/>
        <w:rPr>
          <w:szCs w:val="24"/>
        </w:rPr>
      </w:pPr>
      <w:r w:rsidRPr="00612023">
        <w:t>–</w:t>
      </w:r>
      <w:r w:rsidRPr="00612023">
        <w:tab/>
        <w:t>atsižvelgdamas į 2023 m. spalio 18 d. rezoliuciją dėl Tarybos pozicijos dėl 2024 finansinių metų Europos Sąjungos bendrojo biudžeto projekto</w:t>
      </w:r>
      <w:r w:rsidRPr="00612023">
        <w:rPr>
          <w:rStyle w:val="FootnoteReference"/>
          <w:szCs w:val="24"/>
        </w:rPr>
        <w:footnoteReference w:id="12"/>
      </w:r>
      <w:r w:rsidRPr="00612023">
        <w:t xml:space="preserve">, </w:t>
      </w:r>
    </w:p>
    <w:p w:rsidR="00060C58" w:rsidRPr="00612023" w:rsidRDefault="00060C58" w:rsidP="00060C58">
      <w:pPr>
        <w:pStyle w:val="NormalHanging12a"/>
        <w:rPr>
          <w:szCs w:val="24"/>
        </w:rPr>
      </w:pPr>
      <w:r w:rsidRPr="00612023">
        <w:t>–</w:t>
      </w:r>
      <w:r w:rsidRPr="00612023">
        <w:tab/>
        <w:t>atsižvelgdamas į 2024 finansinių metų Europos Sąjungos bendrąjį biudžetą</w:t>
      </w:r>
      <w:r w:rsidRPr="00612023">
        <w:rPr>
          <w:rStyle w:val="FootnoteReference"/>
          <w:szCs w:val="24"/>
        </w:rPr>
        <w:footnoteReference w:id="13"/>
      </w:r>
      <w:r w:rsidRPr="00612023">
        <w:t xml:space="preserve"> ir prie jo pridėtus bendrus pareiškimus, dėl kurių susitarė Parlamentas, Taryba ir Komisija, </w:t>
      </w:r>
    </w:p>
    <w:p w:rsidR="00060C58" w:rsidRPr="00612023" w:rsidRDefault="00060C58" w:rsidP="00060C58">
      <w:pPr>
        <w:pStyle w:val="NormalHanging12a"/>
        <w:rPr>
          <w:szCs w:val="24"/>
        </w:rPr>
      </w:pPr>
      <w:r w:rsidRPr="00612023">
        <w:t>–</w:t>
      </w:r>
      <w:r w:rsidRPr="00612023">
        <w:tab/>
        <w:t>atsižvelgdamas į generalinio sekretoriaus Biurui pateiktą pranešimą dėl Parlamento 2025 finansinių metų preliminaraus sąmatos projekto rengimo,</w:t>
      </w:r>
    </w:p>
    <w:p w:rsidR="00060C58" w:rsidRPr="00612023" w:rsidRDefault="00060C58" w:rsidP="00060C58">
      <w:pPr>
        <w:pStyle w:val="NormalHanging12a"/>
        <w:rPr>
          <w:szCs w:val="24"/>
        </w:rPr>
      </w:pPr>
      <w:r w:rsidRPr="00612023">
        <w:t>–</w:t>
      </w:r>
      <w:r w:rsidRPr="00612023">
        <w:tab/>
        <w:t>atsižvelgdamas į pagal Europos Parlamento darbo tvarkos taisyklių 25 straipsnio 7 dalį ir 102 straipsnio 1 dalį 2024 m. kovo 11 d. Biuro parengtą preliminarų biudžeto sąmatos projektą,</w:t>
      </w:r>
    </w:p>
    <w:p w:rsidR="00060C58" w:rsidRPr="00612023" w:rsidRDefault="00060C58" w:rsidP="00060C58">
      <w:pPr>
        <w:pStyle w:val="NormalHanging12a"/>
        <w:rPr>
          <w:szCs w:val="24"/>
        </w:rPr>
      </w:pPr>
      <w:r w:rsidRPr="00612023">
        <w:t>–</w:t>
      </w:r>
      <w:r w:rsidRPr="00612023">
        <w:tab/>
        <w:t>atsižvelgdamas į Biudžeto komiteto pagal Europos Parlamento darbo tvarkos taisyklių 102 straipsnio 2 dalį parengtą sąmatos projektą,</w:t>
      </w:r>
    </w:p>
    <w:p w:rsidR="00060C58" w:rsidRPr="00612023" w:rsidRDefault="00060C58" w:rsidP="00060C58">
      <w:pPr>
        <w:pStyle w:val="NormalHanging12a"/>
        <w:rPr>
          <w:szCs w:val="24"/>
        </w:rPr>
      </w:pPr>
      <w:r w:rsidRPr="00612023">
        <w:t>–</w:t>
      </w:r>
      <w:r w:rsidRPr="00612023">
        <w:tab/>
        <w:t>atsižvelgdamas į Darbo tvarkos taisyklių 102 straipsnį,</w:t>
      </w:r>
    </w:p>
    <w:p w:rsidR="00060C58" w:rsidRPr="00612023" w:rsidRDefault="00060C58" w:rsidP="00060C58">
      <w:pPr>
        <w:pStyle w:val="NormalHanging12a"/>
        <w:rPr>
          <w:szCs w:val="24"/>
        </w:rPr>
      </w:pPr>
      <w:r w:rsidRPr="00612023">
        <w:t>–</w:t>
      </w:r>
      <w:r w:rsidRPr="00612023">
        <w:tab/>
        <w:t>atsižvelgdamas į Biudžeto komiteto pranešimą (A9-0180/2024),</w:t>
      </w:r>
    </w:p>
    <w:p w:rsidR="00060C58" w:rsidRPr="00612023" w:rsidRDefault="00060C58" w:rsidP="00060C58">
      <w:pPr>
        <w:pStyle w:val="Action"/>
        <w:tabs>
          <w:tab w:val="clear" w:pos="357"/>
        </w:tabs>
        <w:spacing w:after="200"/>
        <w:ind w:left="567" w:hanging="567"/>
        <w:outlineLvl w:val="0"/>
        <w:rPr>
          <w:szCs w:val="24"/>
        </w:rPr>
      </w:pPr>
      <w:r w:rsidRPr="00612023">
        <w:t>A.</w:t>
      </w:r>
      <w:r w:rsidRPr="00612023">
        <w:tab/>
        <w:t xml:space="preserve">kadangi 2024 m. vasario 26 d. generalinio sekretoriaus pasiūlytas biudžetas, susijęs su Parlamento 2025 m. preliminariu sąmatos projektu, siekia 2 507 233 329 EUR ir yra 5,21 proc. arba 124 132 017 EUR didesnis, palyginti su 2024 m. biudžetu; </w:t>
      </w:r>
    </w:p>
    <w:p w:rsidR="00060C58" w:rsidRPr="00612023" w:rsidRDefault="00060C58" w:rsidP="00060C58">
      <w:pPr>
        <w:pStyle w:val="Action"/>
        <w:tabs>
          <w:tab w:val="clear" w:pos="357"/>
        </w:tabs>
        <w:spacing w:after="200"/>
        <w:ind w:left="567" w:hanging="567"/>
        <w:outlineLvl w:val="0"/>
        <w:rPr>
          <w:szCs w:val="24"/>
        </w:rPr>
      </w:pPr>
      <w:r w:rsidRPr="00612023">
        <w:lastRenderedPageBreak/>
        <w:t>B.</w:t>
      </w:r>
      <w:r w:rsidRPr="00612023">
        <w:tab/>
        <w:t>kadangi 2024 m. žiemos (tarpinėje) prognozėje Komisija prognozuoja, kad ES infliacijos lygis 2024 m. bus 3 proc., o 2025 m. – 2,5 proc.; kadangi 2021–2027 m. DFP 7 išlaidų kategorijos išlaidų lygis grindžiamas 2 proc. metiniu padidinimu;</w:t>
      </w:r>
    </w:p>
    <w:p w:rsidR="00060C58" w:rsidRPr="00612023" w:rsidRDefault="00060C58" w:rsidP="00060C58">
      <w:pPr>
        <w:pStyle w:val="Action"/>
        <w:tabs>
          <w:tab w:val="clear" w:pos="357"/>
        </w:tabs>
        <w:spacing w:after="200"/>
        <w:ind w:left="567" w:hanging="567"/>
        <w:outlineLvl w:val="0"/>
        <w:rPr>
          <w:szCs w:val="24"/>
        </w:rPr>
      </w:pPr>
      <w:r w:rsidRPr="00612023">
        <w:t>C.</w:t>
      </w:r>
      <w:r w:rsidRPr="00612023">
        <w:tab/>
        <w:t xml:space="preserve">kadangi Parlamento patikimumas priklauso nuo jo gebėjimo pasiekti rezultatų atliekant savo pagrindinį biudžeto srities, teisėkūros ir tikrinimo darbą laikantis aukščiausių standartų ir kartu rodyti pavyzdį kitoms Sąjungos institucijoms siekiant apdairiai ir veiksmingai planuoti bei vykdyti išlaidas ir atspindėti vyraujančias ekonomines realijas; </w:t>
      </w:r>
    </w:p>
    <w:p w:rsidR="00060C58" w:rsidRPr="00612023" w:rsidRDefault="00060C58" w:rsidP="00060C58">
      <w:pPr>
        <w:pStyle w:val="Action"/>
        <w:tabs>
          <w:tab w:val="clear" w:pos="357"/>
        </w:tabs>
        <w:spacing w:after="200"/>
        <w:ind w:left="567" w:hanging="567"/>
        <w:outlineLvl w:val="0"/>
        <w:rPr>
          <w:szCs w:val="24"/>
        </w:rPr>
      </w:pPr>
      <w:r w:rsidRPr="00612023">
        <w:t>D.</w:t>
      </w:r>
      <w:r w:rsidRPr="00612023">
        <w:tab/>
        <w:t>kadangi 2025 m. bus pirmieji ištisi metai po rinkimų, taigi bus grįžta prie įprasto pagrindinės politinės ir rėmimo veiklos tempo;</w:t>
      </w:r>
    </w:p>
    <w:p w:rsidR="00060C58" w:rsidRPr="00612023" w:rsidRDefault="00060C58" w:rsidP="00060C58">
      <w:pPr>
        <w:pStyle w:val="Action"/>
        <w:tabs>
          <w:tab w:val="clear" w:pos="357"/>
        </w:tabs>
        <w:spacing w:after="200"/>
        <w:ind w:left="567" w:hanging="567"/>
        <w:outlineLvl w:val="0"/>
        <w:rPr>
          <w:szCs w:val="24"/>
        </w:rPr>
      </w:pPr>
      <w:r w:rsidRPr="00612023">
        <w:t xml:space="preserve">E. </w:t>
      </w:r>
      <w:r w:rsidRPr="00612023">
        <w:tab/>
        <w:t>kadangi Parlamentas užbaigė savo nuodugnių reformų procesą, pradėtą praėjusiais metais, siekdamas, viena vertus, peržiūrėti savo vidaus darbo metodus, kad parlamentinis darbas būtų veiksmingesnis, ir, kita vertus, sustiprinti savo institucinį vaidmenį, kad Parlamentas geriau veiktų kaip viena iš teisėkūros institucijų, kaip viena iš biudžeto valdymo institucijų, kaip biudžeto įvykdymą tvirtinanti institucija ir kad padidintų gebėjimą vykdyti demokratinę priežiūrą;</w:t>
      </w:r>
    </w:p>
    <w:p w:rsidR="00060C58" w:rsidRPr="00612023" w:rsidRDefault="00060C58" w:rsidP="00060C58">
      <w:pPr>
        <w:tabs>
          <w:tab w:val="left" w:pos="567"/>
        </w:tabs>
        <w:spacing w:after="240"/>
        <w:ind w:left="567" w:hanging="567"/>
        <w:rPr>
          <w:b/>
          <w:bCs/>
          <w:i/>
          <w:iCs/>
          <w:szCs w:val="24"/>
        </w:rPr>
      </w:pPr>
      <w:r w:rsidRPr="00612023">
        <w:rPr>
          <w:b/>
          <w:i/>
        </w:rPr>
        <w:t>Bendrieji principai</w:t>
      </w:r>
    </w:p>
    <w:p w:rsidR="00060C58" w:rsidRPr="00612023" w:rsidRDefault="00060C58" w:rsidP="00060C58">
      <w:pPr>
        <w:pStyle w:val="action0"/>
        <w:spacing w:after="200"/>
        <w:ind w:left="567" w:hanging="567"/>
        <w:rPr>
          <w:bCs/>
          <w:iCs/>
        </w:rPr>
      </w:pPr>
      <w:r w:rsidRPr="00612023">
        <w:t>1.</w:t>
      </w:r>
      <w:r w:rsidRPr="00612023">
        <w:tab/>
        <w:t>yra susirūpinęs dėl dabartinės DFP 7 išlaidų kategorijos padėties; primena, kad suvaržymai atsirado dėl to, kad Taryba tuo metu, kai buvo tariamasi dėl dabartinės 2021–2027 m. DFP, sumažino pradiniame Komisijos pasiūlyme, kuriame numatytas finansavimo lygis jau buvo labai žemas, numatytas asignavimų sumas; apgailestauja dėl Tarybos prieštaravimo Komisijos pasiūlymui tikslinant DFP nuo 2024 m. padidinti 7 išlaidų kategorijos viršutinę ribą; atkreipia dėmesį į tai, kad tikslinant DFP nebuvo išspręstas 7 išlaidų kategorijos viršutinės ribos klausimas; pabrėžia, kad 2025 m. prognozuojama neigiama marža reiškia, kad tuo tikslu bus naudojamos 7 išlaidų kategorijos specialios priemonės;</w:t>
      </w:r>
    </w:p>
    <w:p w:rsidR="00060C58" w:rsidRPr="00612023" w:rsidRDefault="00060C58" w:rsidP="00060C58">
      <w:pPr>
        <w:pStyle w:val="action0"/>
        <w:spacing w:after="200"/>
        <w:ind w:left="567" w:hanging="567"/>
      </w:pPr>
      <w:r w:rsidRPr="00612023">
        <w:t xml:space="preserve">2. </w:t>
      </w:r>
      <w:r w:rsidRPr="00612023">
        <w:tab/>
        <w:t>primena, kad beveik du trečdaliai biudžeto yra nustatyti atsižvelgiant į teisės aktais numatytas pareigas; primena, kad, vadovaudamasi Tarnybos nuostatais ir Europos Parlamento narių statutu, šiuo metu Komisija prognozuoja darbo užmokesčio indeksavimą 2024 m. liepos mėn., 2025 m. balandžio mėn. ir 2025 m. liepos mėn. ir jis atitinkamai siekia 5,3 proc., 0,6 proc. ir 3,7 proc.; pažymi, kad 2024 m. biudžete nuo 2024 m. liepos</w:t>
      </w:r>
      <w:r w:rsidR="009C20BF">
        <w:t xml:space="preserve"> </w:t>
      </w:r>
      <w:r w:rsidRPr="00612023">
        <w:t>mėn. numatytas 3,4 proc. darbo užmokesčio indeksavimas; pažymi, kad Biudžeto komitetas stebės oficialią prognozuojamą darbo užmokesčio indeksavimo raidą;</w:t>
      </w:r>
    </w:p>
    <w:p w:rsidR="00060C58" w:rsidRPr="00612023" w:rsidRDefault="00060C58" w:rsidP="00060C58">
      <w:pPr>
        <w:pStyle w:val="action0"/>
        <w:spacing w:after="200"/>
        <w:ind w:left="567" w:hanging="567"/>
        <w:rPr>
          <w:bCs/>
          <w:iCs/>
        </w:rPr>
      </w:pPr>
      <w:r w:rsidRPr="00612023">
        <w:t>3.</w:t>
      </w:r>
      <w:r w:rsidRPr="00612023">
        <w:tab/>
        <w:t>pritaria 2024 m. balandžio 9 d. Biuro ir Biudžeto komiteto taikinimo posėdyje pasiektam susitarimui nustatyti 4,87 proc. padidinimą</w:t>
      </w:r>
      <w:r w:rsidR="00364F36">
        <w:t>,</w:t>
      </w:r>
      <w:r w:rsidRPr="00612023">
        <w:t xml:space="preserve"> lyginant su 2024 m. biudžetu, kuris atitinka bendrą 2025 m. sąmatos lygį – 2 499 233 329 EUR, ir atitinkamai sumažinti siūlomus </w:t>
      </w:r>
      <w:proofErr w:type="spellStart"/>
      <w:r w:rsidRPr="00612023">
        <w:t>asignavimus</w:t>
      </w:r>
      <w:proofErr w:type="spellEnd"/>
      <w:r w:rsidRPr="00612023">
        <w:t xml:space="preserve"> šiose biudžeto eilutėse (iš viso 11 000 000 EUR):</w:t>
      </w:r>
    </w:p>
    <w:p w:rsidR="00060C58" w:rsidRPr="00612023" w:rsidRDefault="00060C58" w:rsidP="00060C58">
      <w:pPr>
        <w:spacing w:after="200"/>
        <w:ind w:left="567"/>
      </w:pPr>
      <w:r w:rsidRPr="00612023">
        <w:t>2 0 0 0 – „Nuoma“, 2 0 0 7 – „Pastatų statyba ir patalpų įrengimas“, 2 3 9 0 – „EMAS veikla, įskaitant viešinimą, Europos Parlamento išmetamo anglies junginių kiekio kompensavimas“, 3 2 4 2 – „Leidinių, informavimo ir dalyvavimo viešuose renginiuose išlaidos“, 3 2 4 3 – „Europos Parlamento lankytojų centrai“, 10 1 – „Rezervas nenumatytoms išlaidoms“;</w:t>
      </w:r>
    </w:p>
    <w:p w:rsidR="00060C58" w:rsidRPr="00612023" w:rsidRDefault="00060C58" w:rsidP="00060C58">
      <w:pPr>
        <w:spacing w:after="200"/>
        <w:ind w:left="567"/>
      </w:pPr>
      <w:r w:rsidRPr="00612023">
        <w:t xml:space="preserve">be to, priima sprendimą 3 000 000 EUR padidinti preliminaraus sąmatos projekto, kurį Biuras patvirtino 2024 m. kovo 11 d., išlaidų lygį ir atitinkamai padidinti siūlomus </w:t>
      </w:r>
      <w:proofErr w:type="spellStart"/>
      <w:r w:rsidRPr="00612023">
        <w:lastRenderedPageBreak/>
        <w:t>asignavimus</w:t>
      </w:r>
      <w:proofErr w:type="spellEnd"/>
      <w:r w:rsidRPr="00612023">
        <w:t xml:space="preserve"> šiose biudžeto eilutėse:</w:t>
      </w:r>
    </w:p>
    <w:p w:rsidR="00060C58" w:rsidRPr="00612023" w:rsidRDefault="00060C58" w:rsidP="00060C58">
      <w:pPr>
        <w:spacing w:after="200"/>
        <w:ind w:left="567"/>
      </w:pPr>
      <w:r w:rsidRPr="00612023">
        <w:t xml:space="preserve">3 2 4 4 — „Lankytojų grupių priėmimo organizavimas, programa </w:t>
      </w:r>
      <w:proofErr w:type="spellStart"/>
      <w:r w:rsidRPr="00612023">
        <w:t>Euroscola</w:t>
      </w:r>
      <w:proofErr w:type="spellEnd"/>
      <w:r w:rsidRPr="00612023">
        <w:t xml:space="preserve"> ir nuomonės skleidėjų iš trečiųjų valstybių kvietimas“; 4 0 3 — „Europos politinių fondų finansavimas“;</w:t>
      </w:r>
    </w:p>
    <w:p w:rsidR="00060C58" w:rsidRPr="00612023" w:rsidRDefault="00060C58" w:rsidP="00060C58">
      <w:pPr>
        <w:pStyle w:val="action0"/>
        <w:spacing w:after="200"/>
        <w:ind w:left="567" w:hanging="567"/>
      </w:pPr>
      <w:r w:rsidRPr="00612023">
        <w:t>4.</w:t>
      </w:r>
      <w:r w:rsidRPr="00612023">
        <w:tab/>
        <w:t>pažymi, kad iš 116 mln. EUR padidinimo, palyginti su 2024 m. biudžetu, 98 mln. EUR padidinimą lėmė teisės aktais nustatytos pareigos, daugiausia susijusios su darbuotojų darbo užmokesčio indeksavimu (54,7 mln. EUR) ir su išlaidomis Parlamento narių padėjėjams (33,2 mln. EUR); pažymi, kad išlaidų, nenustatytų teisės aktais, padidinimas 2024–2025 m. neviršija 2 proc.;</w:t>
      </w:r>
    </w:p>
    <w:p w:rsidR="00060C58" w:rsidRPr="00612023" w:rsidRDefault="00060C58" w:rsidP="00060C58">
      <w:pPr>
        <w:pStyle w:val="action0"/>
        <w:spacing w:after="200"/>
        <w:ind w:left="567" w:hanging="567"/>
      </w:pPr>
      <w:r w:rsidRPr="00612023">
        <w:t xml:space="preserve">5. </w:t>
      </w:r>
      <w:r w:rsidRPr="00612023">
        <w:tab/>
        <w:t>pažymi, kad 2025 m. Parlamentas neprašo jokių papildomų etatų;</w:t>
      </w:r>
    </w:p>
    <w:p w:rsidR="00060C58" w:rsidRPr="00612023" w:rsidRDefault="00060C58" w:rsidP="00060C58">
      <w:pPr>
        <w:pStyle w:val="action0"/>
        <w:spacing w:after="200"/>
        <w:ind w:left="567" w:hanging="567"/>
      </w:pPr>
      <w:r w:rsidRPr="00612023">
        <w:t xml:space="preserve">6. </w:t>
      </w:r>
      <w:r w:rsidRPr="00612023">
        <w:tab/>
        <w:t>pažymi, kad iš 2025 m. etatų plano buvo išbraukti 98 nuolatiniai etatai, sukurti 2023 m. biudžete siekiant palengvinti Tarnybos nuostatų 29 straipsnio 4 dalies taikymą;</w:t>
      </w:r>
    </w:p>
    <w:p w:rsidR="00060C58" w:rsidRPr="00612023" w:rsidRDefault="00060C58" w:rsidP="00060C58">
      <w:pPr>
        <w:pStyle w:val="Action"/>
        <w:spacing w:after="200"/>
        <w:outlineLvl w:val="0"/>
        <w:rPr>
          <w:b/>
          <w:i/>
          <w:szCs w:val="24"/>
        </w:rPr>
      </w:pPr>
      <w:r w:rsidRPr="00612023">
        <w:rPr>
          <w:b/>
          <w:i/>
        </w:rPr>
        <w:t xml:space="preserve">Lankytojų grupės ir centrai „Europa </w:t>
      </w:r>
      <w:proofErr w:type="spellStart"/>
      <w:r w:rsidRPr="00612023">
        <w:rPr>
          <w:b/>
          <w:i/>
        </w:rPr>
        <w:t>Experience</w:t>
      </w:r>
      <w:proofErr w:type="spellEnd"/>
      <w:r w:rsidRPr="00612023">
        <w:rPr>
          <w:b/>
          <w:i/>
        </w:rPr>
        <w:t>“</w:t>
      </w:r>
    </w:p>
    <w:p w:rsidR="00060C58" w:rsidRPr="00612023" w:rsidRDefault="00060C58" w:rsidP="00060C58">
      <w:pPr>
        <w:pStyle w:val="action0"/>
        <w:spacing w:after="200"/>
        <w:ind w:left="567" w:hanging="567"/>
      </w:pPr>
      <w:r w:rsidRPr="00612023">
        <w:t>7.</w:t>
      </w:r>
      <w:r w:rsidRPr="00612023">
        <w:tab/>
        <w:t>primena, kad lankytojų grupės visose trijose Parlamento darbo vietose yra svarbus būdas Parlamento nariams bendrauti su rinkėjais ir jiems pristatyti parlamentinį darbą; pabrėžia, kad lankytojų grupės prisideda prie Parlamento vaidmens populiarinimo tarp rinkėjų visoje Sąjungoje;</w:t>
      </w:r>
    </w:p>
    <w:p w:rsidR="00060C58" w:rsidRPr="00612023" w:rsidRDefault="00060C58" w:rsidP="00060C58">
      <w:pPr>
        <w:pStyle w:val="action0"/>
        <w:spacing w:after="200"/>
        <w:ind w:left="567" w:hanging="567"/>
      </w:pPr>
      <w:r w:rsidRPr="00612023">
        <w:t>8.</w:t>
      </w:r>
      <w:r w:rsidRPr="00612023">
        <w:tab/>
        <w:t xml:space="preserve">susirūpinęs pažymi, kad dėl esamo biudžeto finansinių apribojimų vis sunkiau organizuoti tokius vizitus, ypač Parlamento nariams iš valstybių narių, kurios geografiškai yra toli nuo Briuselio ir Strasbūro; ragina skirti pakankamą finansavimą su kelionėmis ir apgyvendinimu susijusioms išlaidoms padengti, atsižvelgiant į infliacijos lygį ir kainas tiek lankytojų grupių kilmės </w:t>
      </w:r>
      <w:r w:rsidR="00364F36">
        <w:t>valstybėse</w:t>
      </w:r>
      <w:r w:rsidRPr="00612023">
        <w:t xml:space="preserve">, tiek Briuselyje ir Strasbūre; mano, kad, siekiant atsižvelgti į vyraujančias sąlygas, būtina 10 proc. padidinti sumą, skirtą vienam asmeniui; ragina generalinį sekretorių kuo greičiau pasiūlyti </w:t>
      </w:r>
      <w:proofErr w:type="spellStart"/>
      <w:r w:rsidRPr="00612023">
        <w:t>kvestoriams</w:t>
      </w:r>
      <w:proofErr w:type="spellEnd"/>
      <w:r w:rsidRPr="00612023">
        <w:t xml:space="preserve"> padidinti dengiamų išlaidų viršutines ribas, kad ir toliau būtų teikiama ir didinama parama Parlamento nariams, suteikianti lankytojų grupėms galimybę apsilankyti Parlamente; </w:t>
      </w:r>
    </w:p>
    <w:p w:rsidR="00060C58" w:rsidRPr="00612023" w:rsidRDefault="00060C58" w:rsidP="00060C58">
      <w:pPr>
        <w:pStyle w:val="action0"/>
        <w:spacing w:after="200"/>
        <w:ind w:left="567" w:hanging="567"/>
      </w:pPr>
      <w:r w:rsidRPr="00612023">
        <w:t>9.</w:t>
      </w:r>
      <w:r w:rsidRPr="00612023">
        <w:tab/>
        <w:t>susirūpinęs atkreipia dėmesį į EP narių lankytojų grupes reglamentuojančias vidaus taisykles, pagal kurias tam tikromis aplinkybėmis 30 proc. pradinių išlaidų turi patirti akredituoti Parlamento narių padėjėjai; pabrėžia, kad šios taisyklės yra sunkiai įgyvendinamos ir kad dėl to akredituotiems Parlamento narių padėjėjams tenka finansinė našta; ragina Biurą peržiūrėti ir atnaujinti galiojančias vizitus reglamentuojančias taisykles, kad būtų įveikti sunkumai planuojant ir organizuojant vizitus;</w:t>
      </w:r>
    </w:p>
    <w:p w:rsidR="00060C58" w:rsidRPr="00612023" w:rsidRDefault="00060C58" w:rsidP="00060C58">
      <w:pPr>
        <w:pStyle w:val="NormalHanging12a"/>
        <w:spacing w:after="200"/>
        <w:rPr>
          <w:szCs w:val="24"/>
        </w:rPr>
      </w:pPr>
      <w:r w:rsidRPr="00612023">
        <w:t>10.</w:t>
      </w:r>
      <w:r w:rsidRPr="00612023">
        <w:tab/>
        <w:t xml:space="preserve">primena 2019 m. lapkričio 25 d. Biuro sprendimą iki 2024 m. pabaigos visose valstybėse narėse įsteigti centrus „Europa </w:t>
      </w:r>
      <w:proofErr w:type="spellStart"/>
      <w:r w:rsidRPr="00612023">
        <w:t>Experience</w:t>
      </w:r>
      <w:proofErr w:type="spellEnd"/>
      <w:r w:rsidRPr="00612023">
        <w:t xml:space="preserve">“; apgailestauja dėl to, kad visose valstybėse narėse vėluojama įsteigti centrus „Europa </w:t>
      </w:r>
      <w:proofErr w:type="spellStart"/>
      <w:r w:rsidRPr="00612023">
        <w:t>Experience</w:t>
      </w:r>
      <w:proofErr w:type="spellEnd"/>
      <w:r w:rsidRPr="00612023">
        <w:t>“ iki 2024 m. Parlamento rinkimų, ir pažymi, kad šiuo metu veikia tik 12 centrų; pripažįsta, kad prie šio vėlavimo prisidėjo įvairūs išorės veiksniai, įskaitant nekilnojamojo turto rinkų nepastovumą;</w:t>
      </w:r>
    </w:p>
    <w:p w:rsidR="00060C58" w:rsidRPr="00612023" w:rsidRDefault="00060C58" w:rsidP="00060C58">
      <w:pPr>
        <w:pStyle w:val="action0"/>
        <w:spacing w:after="200"/>
        <w:ind w:left="567" w:hanging="567"/>
      </w:pPr>
      <w:r w:rsidRPr="00612023">
        <w:t>11.</w:t>
      </w:r>
      <w:r w:rsidRPr="00612023">
        <w:tab/>
        <w:t xml:space="preserve">atkreipia dėmesį į tai, kad 2025 m. planuojama atidaryti penkis centrus (Atėnuose, Zagrebe, Hagoje, Sofijoje ir Budapešte); ragina visose valstybėse narėse kuo greičiau įsteigti centrus „Europa </w:t>
      </w:r>
      <w:proofErr w:type="spellStart"/>
      <w:r w:rsidRPr="00612023">
        <w:t>Experience</w:t>
      </w:r>
      <w:proofErr w:type="spellEnd"/>
      <w:r w:rsidRPr="00612023">
        <w:t xml:space="preserve">“; primena, kad centruose „Europa </w:t>
      </w:r>
      <w:proofErr w:type="spellStart"/>
      <w:r w:rsidRPr="00612023">
        <w:t>Experience</w:t>
      </w:r>
      <w:proofErr w:type="spellEnd"/>
      <w:r w:rsidRPr="00612023">
        <w:t xml:space="preserve">“ </w:t>
      </w:r>
      <w:r w:rsidRPr="00612023">
        <w:lastRenderedPageBreak/>
        <w:t>turėtų būti sudarytos galimybės visiems piliečiams įgyti geresnį supratimą apie Sąjungos institucijų veikimą;</w:t>
      </w:r>
    </w:p>
    <w:p w:rsidR="00060C58" w:rsidRPr="00612023" w:rsidRDefault="00060C58" w:rsidP="00060C58">
      <w:pPr>
        <w:pStyle w:val="Action"/>
        <w:keepNext/>
        <w:spacing w:after="200"/>
        <w:outlineLvl w:val="0"/>
        <w:rPr>
          <w:b/>
          <w:bCs/>
          <w:i/>
          <w:szCs w:val="24"/>
        </w:rPr>
      </w:pPr>
      <w:r w:rsidRPr="00612023">
        <w:rPr>
          <w:b/>
          <w:i/>
        </w:rPr>
        <w:t>Infrastruktūra</w:t>
      </w:r>
    </w:p>
    <w:p w:rsidR="00060C58" w:rsidRPr="00612023" w:rsidRDefault="00060C58" w:rsidP="00060C58">
      <w:pPr>
        <w:pStyle w:val="action0"/>
        <w:spacing w:after="200"/>
        <w:ind w:left="567" w:hanging="567"/>
      </w:pPr>
      <w:r w:rsidRPr="00612023">
        <w:t xml:space="preserve">12. </w:t>
      </w:r>
      <w:r w:rsidRPr="00612023">
        <w:tab/>
        <w:t>atkreipia dėmesį į tai, kad Biudžeto komitetas patvirtino Biuro sprendimą atlikti esminę pastato SPAAK renovaciją, pagal 2022 m. spalio 19 d. rezoliuciją dėl Tarybos pozicijos dėl 2023 finansinių metų Europos Sąjungos bendrojo biudžeto projekto</w:t>
      </w:r>
      <w:r w:rsidRPr="009B683F">
        <w:rPr>
          <w:vertAlign w:val="superscript"/>
        </w:rPr>
        <w:footnoteReference w:id="14"/>
      </w:r>
      <w:r w:rsidRPr="00612023">
        <w:t>; pabrėžia, kad dabartinio pastato energijos vartojimo efektyvumo reitingas yra labai žemas ir jam trūksta lankstumo, kuris labai reikalingas, kad jis atitiktų savo paskirtį; pabrėžia, kad Parlamentas turėtų valdyti savo pastatų portfelį atsižvelgdamas į energijos vartojimo efektyvumą ir tvarumą ir suderinti jį su žaliojo kurso tikslais; pažymi, kad atlikus renovaciją kasmet bus sutaupyta daug lėšų ir sumažintas išmetamas CO</w:t>
      </w:r>
      <w:r w:rsidRPr="00612023">
        <w:rPr>
          <w:vertAlign w:val="subscript"/>
        </w:rPr>
        <w:t>2</w:t>
      </w:r>
      <w:r w:rsidRPr="00612023">
        <w:t xml:space="preserve"> kiekis, taip pat bus sudarytos palankesnės sąlygos laikytis persvarstytos Energijos vartojimo efektyvumo direktyvos ir Pastatų energinio naudingumo direktyvos reikalavimų; primena Biurui, kad reikia užtikrinti skaidrumą Biudžeto komiteto atžvilgiu, tinkamai jį informuoti ir su juo konsultuotis, be kita ko, leisti susipažinti su išsamia informacija, prieš priimant bet kokį svarbų sprendimą dėl su pastatais susijusių klausimų ir jų finansavimo, nes jų poveikis biudžetui yra didelis;</w:t>
      </w:r>
    </w:p>
    <w:p w:rsidR="00060C58" w:rsidRPr="00612023" w:rsidRDefault="00060C58" w:rsidP="00060C58">
      <w:pPr>
        <w:pStyle w:val="action0"/>
        <w:spacing w:after="200"/>
        <w:ind w:left="567" w:hanging="567"/>
      </w:pPr>
      <w:r w:rsidRPr="00612023">
        <w:t>13.</w:t>
      </w:r>
      <w:r w:rsidRPr="00612023">
        <w:tab/>
        <w:t xml:space="preserve">pripažįsta, kad 2025 m. reikia pradėti pastato TREVES II renovacijos darbus, kad būtų sudarytos palankesnės sąlygos laikinai perkelti darbuotojus, kol vyks pastato SPAAK renovacija; </w:t>
      </w:r>
    </w:p>
    <w:p w:rsidR="00060C58" w:rsidRPr="00612023" w:rsidRDefault="00060C58" w:rsidP="00060C58">
      <w:pPr>
        <w:pStyle w:val="NormalHanging12a"/>
        <w:rPr>
          <w:szCs w:val="24"/>
        </w:rPr>
      </w:pPr>
      <w:r w:rsidRPr="00612023">
        <w:t>14.</w:t>
      </w:r>
      <w:r w:rsidRPr="00612023">
        <w:tab/>
        <w:t xml:space="preserve">palankiai vertina Parlamento politiką, kuria siekiama užtikrinti, kad asmenys su negalia visiškai nepriklausomai naudotųsi Parlamento pastatais, ir pritaria tolesnėms priemonėms bei </w:t>
      </w:r>
      <w:proofErr w:type="spellStart"/>
      <w:r w:rsidRPr="00612023">
        <w:t>pritaikymams</w:t>
      </w:r>
      <w:proofErr w:type="spellEnd"/>
      <w:r w:rsidRPr="00612023">
        <w:t>, kurie bus reikalingi šioje srityje; pripažįsta, kad reikia gerinti asmenų su negalia galimybes patekti į plenarinių posėdžių salę Strasbūre;</w:t>
      </w:r>
    </w:p>
    <w:p w:rsidR="00060C58" w:rsidRPr="00612023" w:rsidRDefault="00060C58" w:rsidP="00060C58">
      <w:pPr>
        <w:pStyle w:val="action0"/>
        <w:spacing w:after="200"/>
        <w:ind w:left="567" w:hanging="567"/>
      </w:pPr>
      <w:r w:rsidRPr="00612023">
        <w:t>15.</w:t>
      </w:r>
      <w:r w:rsidRPr="00612023">
        <w:tab/>
        <w:t xml:space="preserve">primena, kad Parlamento administracija šiuo metu rengia visapusišką požiūrį, kuriuo siekiama apibrėžti ilgalaikę Parlamento pastatų politiką, visų pirma atsižvelgiant į aplinkosaugos pareigas, išlaidas, biudžeto apribojimus, energijos vartojimo efektyvumą ir atliekų tvarkymą pagal Pasirengimo įgyvendinti 55 % tikslą priemonių rinkinį, ir tikisi, kad rezultatai bus paskelbti viešai; ragina įvertinti lanksčius darbo metodus, kurie susiformavo dėl pandemijos, kartu atsižvelgiant į tai, kad, formuojant viešąją politiką, fizinis dalyvavimas politinėse derybose, diskusijose ar keičiantis nuomonėmis išlieka veiksmingesnis metodas; </w:t>
      </w:r>
    </w:p>
    <w:p w:rsidR="00060C58" w:rsidRPr="00612023" w:rsidRDefault="00060C58" w:rsidP="00060C58">
      <w:pPr>
        <w:pStyle w:val="action0"/>
        <w:spacing w:after="200"/>
        <w:ind w:left="567" w:hanging="567"/>
      </w:pPr>
      <w:r w:rsidRPr="00612023">
        <w:t xml:space="preserve">16. </w:t>
      </w:r>
      <w:r w:rsidRPr="00612023">
        <w:tab/>
        <w:t xml:space="preserve">atkreipia dėmesį į taikomą praktiką – naudotis kaupiamaisiais </w:t>
      </w:r>
      <w:proofErr w:type="spellStart"/>
      <w:r w:rsidRPr="00612023">
        <w:t>perkėlimais</w:t>
      </w:r>
      <w:proofErr w:type="spellEnd"/>
      <w:r w:rsidRPr="00612023">
        <w:t xml:space="preserve"> metų pabaigoje siekiant skirti lėšų pastatų projektams; atkreipia dėmesį į tai, kad šis kaupiamasis perkėlimas sistemingai vykdomas pagal tuos pačius skyrius, antraštines dalis ir dažnai pagal tas pačias biudžeto eilutes; mano, kad kasmetinis kaupiamasis perkėlimas taip pat gali būti naudojamas kitais tikslais nei siekiant finansuoti su pastatais susijusius projektus;</w:t>
      </w:r>
    </w:p>
    <w:p w:rsidR="00060C58" w:rsidRPr="00612023" w:rsidRDefault="00060C58" w:rsidP="00060C58">
      <w:pPr>
        <w:pStyle w:val="action0"/>
        <w:spacing w:after="200"/>
        <w:ind w:left="567" w:hanging="567"/>
      </w:pPr>
      <w:r w:rsidRPr="00612023">
        <w:t>17.</w:t>
      </w:r>
      <w:r w:rsidRPr="00612023">
        <w:tab/>
        <w:t xml:space="preserve">palankiai vertina nuolatines Parlamento pastangas ir taikomas priemones, kuriomis siekiama sumažinti aplinkosauginį pėdsaką; pakartoja, kad visapusiškai remia Parlamento aplinkosaugos vadybos ir audito sistemos (EMAS) 2024 m. tikslus; tikisi, kad Parlamentas iki 2024 m. pabaigos pasieks visus EMAS pagrindinių veiklos rezultatų rodiklių tikslus ir imsis veiksmų naujiems plataus užmojo tikslams </w:t>
      </w:r>
      <w:r w:rsidRPr="00612023">
        <w:lastRenderedPageBreak/>
        <w:t>ateinantiems metams priimti; ypač atkreipia dėmesį į keletą pasiekimų šioje srityje, įskaitant tai, kad nuo 2006 m. išmetama 44 proc. mažiau anglies dioksido, sunaudojama 66 proc. mažiau popieriaus, palyginti su 2014 m., daug darbuotojų į darbą eina pėsčiomis arba važiuoja dviračiais, naudojama daug mažiau plastiko ir sėkmingai diegiama atsinaujinančiųjų išteklių energijos infrastruktūra, dėl kurios 2023 m. Parlamentas pagamino 458 </w:t>
      </w:r>
      <w:proofErr w:type="spellStart"/>
      <w:r w:rsidRPr="00612023">
        <w:t>MWh</w:t>
      </w:r>
      <w:proofErr w:type="spellEnd"/>
      <w:r w:rsidRPr="00612023">
        <w:t xml:space="preserve"> saulės energijos;</w:t>
      </w:r>
    </w:p>
    <w:p w:rsidR="00060C58" w:rsidRPr="00612023" w:rsidRDefault="00060C58" w:rsidP="00060C58">
      <w:pPr>
        <w:pStyle w:val="action0"/>
        <w:spacing w:after="200"/>
        <w:ind w:left="567" w:hanging="567"/>
      </w:pPr>
      <w:r w:rsidRPr="00612023">
        <w:t>18.</w:t>
      </w:r>
      <w:r w:rsidRPr="00612023">
        <w:tab/>
        <w:t>atkreipia dėmesį į padidėjusias anglies dioksido kreditų kainas; primena, kad investicijos į energijos vartojimo efektyvumą – tai geras ekonominio naudingumo užtikrinimo metodas; palankiai vertina ir skatina investicijas į atsinaujinančiųjų išteklių energiją bei siekiant laipsniškai atsisakyti iškastinio kuro, ypač šiomis energetikos krizės ir geopolitinėmis aplinkybėmis, ir tai, kad į tai būtų atsižvelgta kitoje daugiametėje pastatų strategijoje; pažymi, kad Parlamentas įrengė ir toliau įrenginėja fotovoltines saulės baterijų plokštes, kad dar labiau padidintų vietoje pagaminamos atsinaujinančiųjų išteklių energijos dalį ir pasiektų 25 proc. tikslą; primena, kad beveik du trečdalius Parlamento anglies dioksido išmetimo rodiklio lemia žmonių transportavimas; palankiai vertina Parlamento pastangas sumažinti išmetamą CO</w:t>
      </w:r>
      <w:r w:rsidRPr="00612023">
        <w:rPr>
          <w:vertAlign w:val="subscript"/>
        </w:rPr>
        <w:t>2</w:t>
      </w:r>
      <w:r w:rsidRPr="00612023">
        <w:t xml:space="preserve"> kiekį užsakomaisiais traukiniais ir ragina didinti galimybes tarp trijų darbo vietų keliauti traukiniu;</w:t>
      </w:r>
    </w:p>
    <w:p w:rsidR="00060C58" w:rsidRPr="00612023" w:rsidRDefault="00060C58" w:rsidP="00060C58">
      <w:pPr>
        <w:pStyle w:val="Action"/>
        <w:keepNext/>
        <w:spacing w:after="200"/>
        <w:outlineLvl w:val="0"/>
        <w:rPr>
          <w:b/>
          <w:i/>
          <w:szCs w:val="24"/>
        </w:rPr>
      </w:pPr>
      <w:r w:rsidRPr="00612023">
        <w:rPr>
          <w:b/>
          <w:i/>
        </w:rPr>
        <w:t>Kiti klausimai</w:t>
      </w:r>
    </w:p>
    <w:p w:rsidR="00060C58" w:rsidRPr="00612023" w:rsidRDefault="00060C58" w:rsidP="00060C58">
      <w:pPr>
        <w:pStyle w:val="action0"/>
        <w:spacing w:after="200"/>
        <w:ind w:left="567" w:hanging="567"/>
      </w:pPr>
      <w:r w:rsidRPr="00612023">
        <w:t>19.</w:t>
      </w:r>
      <w:r w:rsidRPr="00612023">
        <w:tab/>
        <w:t>primena, kad Sąjunga nuolat kovoja siekdama apsaugoti Europos vertybes ir išlaikyti mūsų demokratinių procesų vientisumą; palankiai vertina veiksmus, kurių, siekdamas šių tikslų, kovodamas su dezinformacija ir manipuliavimu informacija, ėmėsi Parlamentas; ragina Komunikacijos GD ir E</w:t>
      </w:r>
      <w:r w:rsidR="00A9236C">
        <w:t xml:space="preserve">uropos </w:t>
      </w:r>
      <w:r w:rsidRPr="00612023">
        <w:t>P</w:t>
      </w:r>
      <w:r w:rsidR="00A9236C">
        <w:t>arlamento</w:t>
      </w:r>
      <w:r w:rsidRPr="00612023">
        <w:t xml:space="preserve"> ryšių biurus toliau rengti ir įgyvendinti veiksmingas kovos su dezinformacija ir manipuliavimu informacija strategijas; pabrėžia, kad viena iš veiksmingiausių kovos su dezinformacija priemonių yra pozityvi faktais pagrįsta komunikacija apie Parlamento veiklą;</w:t>
      </w:r>
    </w:p>
    <w:p w:rsidR="00060C58" w:rsidRPr="00612023" w:rsidRDefault="00060C58" w:rsidP="00060C58">
      <w:pPr>
        <w:pStyle w:val="action0"/>
        <w:spacing w:after="200"/>
        <w:ind w:left="567" w:hanging="567"/>
        <w:rPr>
          <w:rFonts w:eastAsia="Times New Roman"/>
        </w:rPr>
      </w:pPr>
      <w:r w:rsidRPr="00612023">
        <w:t>20.</w:t>
      </w:r>
      <w:r w:rsidRPr="00612023">
        <w:tab/>
        <w:t xml:space="preserve">primena, kad Parlamentas tvirtai remia daugiakalbystę ir propaguoja nacionalinių, regioninių ir kalbinių mažumų teises; mano, kad Parlamentas gali aktyviai prisidėti prie kovos su dezinformacija, kai tinkama, išsamiau komunikuodamas ir kalbinių mažumų bei bendruomenių kalbomis; reikalauja, kad Biuras išplėstų Parlamento komunikacinės medžiagos, kuri atitiktų nacionalinių, regioninių ir kalbinių mažumų valstybėse narėse poreikius, rengimo ir platinimo mastą, pavyzdžiui, EP ryšių biuruose ir centruose „Europa </w:t>
      </w:r>
      <w:proofErr w:type="spellStart"/>
      <w:r w:rsidRPr="00612023">
        <w:t>Experience</w:t>
      </w:r>
      <w:proofErr w:type="spellEnd"/>
      <w:r w:rsidRPr="00612023">
        <w:t>“, ir taip atremtų visus bandymus remtis kalbiniais skirtumais siekiant sutrukdyti sanglaudai; šiuo požiūriu primena EP ryšių biurų Baltijos šalyse pastangas nuo Rusijos agresijos karo Ukrainoje pradžios teikti informaciją piliečiams ukrainiečių ir rusų kalbomis, ypač daug dėmesio skiriant kovai su Rusijos dezinformacija ir propaganda, ir ragina toliau remti bei skatinti tokią veiklą ukrainiečių ir rusų kalbomis; pabrėžia aktyvaus EP ryšių biurų dalyvavimo įgyvendinant Parlamento darbą pilietiškumo ugdymo srityje svarbą vykdant įvairias programas, į kurias įtraukiamos vietos bendruomenės, mokyklos ir universitetai;</w:t>
      </w:r>
    </w:p>
    <w:p w:rsidR="00060C58" w:rsidRPr="00612023" w:rsidRDefault="00060C58" w:rsidP="00060C58">
      <w:pPr>
        <w:pStyle w:val="action0"/>
        <w:spacing w:after="200"/>
        <w:ind w:left="567" w:hanging="567"/>
      </w:pPr>
      <w:r w:rsidRPr="00612023">
        <w:t>21.</w:t>
      </w:r>
      <w:r w:rsidRPr="00612023">
        <w:tab/>
        <w:t xml:space="preserve">pabrėžia dirbtinio intelekto potencialą padedant Parlamento nariams vykdyti savo įgaliojimus ir vykdant įvairią Parlamento administracijos veiklą; palankiai vertina tai, kad jau rengiami dirbtinio intelekto projektai, kurie bus įgyvendinami 2025 m.; </w:t>
      </w:r>
    </w:p>
    <w:p w:rsidR="00060C58" w:rsidRPr="00612023" w:rsidRDefault="00060C58" w:rsidP="00060C58">
      <w:pPr>
        <w:pStyle w:val="action0"/>
        <w:spacing w:after="200"/>
        <w:ind w:left="567" w:hanging="567"/>
      </w:pPr>
      <w:r w:rsidRPr="00612023">
        <w:t>22.</w:t>
      </w:r>
      <w:r w:rsidRPr="00612023">
        <w:tab/>
        <w:t xml:space="preserve">pritaria generalinio sekretoriaus pareiškimui Biudžeto komitete, kad bus mažinama administracinė našta ir biurokratija Parlamento nariams ir jų biurams, kartu spartinant administracijos procesų skaitmeninimą; pabrėžia, kad investicijos į skaitmeninimą </w:t>
      </w:r>
      <w:r w:rsidRPr="00612023">
        <w:lastRenderedPageBreak/>
        <w:t>užtikrina investicijų grąžą vidutinės trukmės laikotarpiu ir neturėtų būti atidedamos siekiant sutaupyti trumpuoju laikotarpiu;</w:t>
      </w:r>
    </w:p>
    <w:p w:rsidR="00060C58" w:rsidRPr="00612023" w:rsidRDefault="00060C58" w:rsidP="00060C58">
      <w:pPr>
        <w:pStyle w:val="action0"/>
        <w:spacing w:after="200"/>
        <w:ind w:left="567" w:hanging="567"/>
      </w:pPr>
      <w:r w:rsidRPr="00612023">
        <w:t>23.</w:t>
      </w:r>
      <w:r w:rsidRPr="00612023">
        <w:tab/>
        <w:t>ragina Parlamentą ir toliau reguliariai vertinti savo personalo poreikių organizavimą, optimizuoti Parlamento sekretoriato darbuotojų paskirstymą, visų pirma perkeliant laisvas darbo vietas iš vienos tarnybos į kitą, kad būtų išlaikytas kuo pastovesnis darbuotojų skaičius; ragina generalinį sekretorių įvertinti riziką, susijusią su tuo, kad įdarbinama vis daugiau sutartininkų, įskaitant pavojų, kad Parlamente bus sukurta dviejų pakopų darbuotojų struktūra; primygtinai tvirtina, kad pagrindines nuolatines pareigas ir užduotis turėtų atlikti nuolatiniai darbuotojai;</w:t>
      </w:r>
    </w:p>
    <w:p w:rsidR="00060C58" w:rsidRPr="00612023" w:rsidRDefault="00060C58" w:rsidP="00060C58">
      <w:pPr>
        <w:pStyle w:val="action0"/>
        <w:spacing w:after="200"/>
        <w:ind w:left="567" w:hanging="567"/>
      </w:pPr>
      <w:r w:rsidRPr="00612023">
        <w:t>24.</w:t>
      </w:r>
      <w:r w:rsidRPr="00612023">
        <w:tab/>
        <w:t>pabrėžia, kad teisingos geografinės pusiausvyros užtikrinimas yra svarbi tikros Europos viešosios tarnybos kūrimo dalis; pažymi, kad per daugelį metų Parlamentas šiuo tikslu ėmėsi įvairių priemonių; pažymi, kad padėtį būtų galima dar labiau pagerinti; pažymi, kad Biuras sukūrė su konkrečia pilietybe susijusių konkursų organizavimo teisinę sistemą ir nusprendė surengti pirmąjį iš tokių konkursų; pabrėžia, kad konkursai visada turėtų būti pagrįsti nuopelnais;</w:t>
      </w:r>
    </w:p>
    <w:p w:rsidR="00060C58" w:rsidRPr="00612023" w:rsidRDefault="00060C58" w:rsidP="00060C58">
      <w:pPr>
        <w:pStyle w:val="action0"/>
        <w:spacing w:after="200"/>
        <w:ind w:left="567" w:hanging="567"/>
      </w:pPr>
      <w:r w:rsidRPr="00612023">
        <w:t>25.</w:t>
      </w:r>
      <w:r w:rsidRPr="00612023">
        <w:tab/>
        <w:t>atkreipia dėmesį į procedūrą, kuri jau taikoma Parlamento organo naudotojo prašymams per posėdį teikti tarptautinės gestų kalbos vertimo žodžiu paslaugas; prašo generalinio sekretoriaus toliau nagrinėti kitas galimybes, p</w:t>
      </w:r>
      <w:r w:rsidR="00F31F2C">
        <w:t>a</w:t>
      </w:r>
      <w:r w:rsidRPr="00612023">
        <w:t>v</w:t>
      </w:r>
      <w:r w:rsidR="00F31F2C">
        <w:t>y</w:t>
      </w:r>
      <w:r w:rsidRPr="00612023">
        <w:t>z</w:t>
      </w:r>
      <w:r w:rsidR="00F31F2C">
        <w:t>džiui</w:t>
      </w:r>
      <w:r w:rsidRPr="00612023">
        <w:t>, sakytinės kalbos pavertimo rašytine ir mašininio vertimo priemones, vadovaujantis vienodos visų piliečių prieigos principu;</w:t>
      </w:r>
    </w:p>
    <w:p w:rsidR="00060C58" w:rsidRPr="00612023" w:rsidRDefault="00060C58" w:rsidP="00060C58">
      <w:pPr>
        <w:pStyle w:val="NormalHanging12a"/>
        <w:rPr>
          <w:szCs w:val="24"/>
        </w:rPr>
      </w:pPr>
      <w:r w:rsidRPr="00612023">
        <w:t>26.</w:t>
      </w:r>
      <w:r w:rsidRPr="00612023">
        <w:tab/>
        <w:t xml:space="preserve">pakartoja savo ne kartą plenariniame posėdyje priimtą prašymą Biurui pradėti darbą, susijusį su Darbo tvarkos taisyklių peržiūra, kad Parlamento nariai galėtų naudotis savo teise balsuoti nuotoliniu būdu motinystės ar tėvystės atostogų metu, ilgalaikės ligos metu arba </w:t>
      </w:r>
      <w:r w:rsidRPr="00612023">
        <w:rPr>
          <w:i/>
          <w:iCs/>
        </w:rPr>
        <w:t>force majeure</w:t>
      </w:r>
      <w:r w:rsidRPr="00612023">
        <w:t xml:space="preserve"> atvejais, pasinaudojant pandemijos metu įgyta patirtimi, susijusia su techniniais tokio balsavimo metodo aspektais;</w:t>
      </w:r>
    </w:p>
    <w:p w:rsidR="00060C58" w:rsidRDefault="00060C58" w:rsidP="00060C58">
      <w:pPr>
        <w:pStyle w:val="NormalHanging12a"/>
      </w:pPr>
      <w:r w:rsidRPr="00612023">
        <w:t>27.</w:t>
      </w:r>
      <w:r w:rsidRPr="00612023">
        <w:tab/>
        <w:t xml:space="preserve">dar kartą ragina Biurą užtikrinti, kad visi Parlamento restoranai laikytųsi kokybės, efektyvumo ir </w:t>
      </w:r>
      <w:proofErr w:type="spellStart"/>
      <w:r w:rsidRPr="00612023">
        <w:t>įperkamumo</w:t>
      </w:r>
      <w:proofErr w:type="spellEnd"/>
      <w:r w:rsidRPr="00612023">
        <w:t xml:space="preserve"> standartų, ir vėl pradėti taikyti patekimo į savitarnos restoraną kontrolę piko metu; palankiai vertina tai, kad per mėnesines sesijas Strasbūre kontroliuojamas patekimas į savitarnos restoraną pastate WEISS;</w:t>
      </w:r>
    </w:p>
    <w:p w:rsidR="00681650" w:rsidRPr="00681650" w:rsidRDefault="00681650" w:rsidP="00060C58">
      <w:pPr>
        <w:pStyle w:val="NormalHanging12a"/>
        <w:rPr>
          <w:szCs w:val="24"/>
        </w:rPr>
      </w:pPr>
      <w:r w:rsidRPr="00853BEE">
        <w:t xml:space="preserve">28. </w:t>
      </w:r>
      <w:r w:rsidRPr="00853BEE">
        <w:tab/>
        <w:t xml:space="preserve">ragina iš tikrųjų įsipareigoti įgyvendinti daugiakalbystės principą; </w:t>
      </w:r>
    </w:p>
    <w:p w:rsidR="00060C58" w:rsidRPr="00612023" w:rsidRDefault="00060C58" w:rsidP="00060C58">
      <w:pPr>
        <w:pStyle w:val="action0"/>
        <w:spacing w:after="200"/>
        <w:ind w:left="567" w:hanging="567"/>
      </w:pPr>
      <w:r w:rsidRPr="00612023">
        <w:rPr>
          <w:rStyle w:val="doceo-font-family-base"/>
          <w:shd w:val="clear" w:color="auto" w:fill="FFFFFF"/>
        </w:rPr>
        <w:t>2</w:t>
      </w:r>
      <w:r w:rsidR="00681650">
        <w:rPr>
          <w:rStyle w:val="doceo-font-family-base"/>
          <w:shd w:val="clear" w:color="auto" w:fill="FFFFFF"/>
        </w:rPr>
        <w:t>9</w:t>
      </w:r>
      <w:r w:rsidRPr="00612023">
        <w:rPr>
          <w:rStyle w:val="doceo-font-family-base"/>
          <w:shd w:val="clear" w:color="auto" w:fill="FFFFFF"/>
        </w:rPr>
        <w:t>.</w:t>
      </w:r>
      <w:r w:rsidRPr="00612023">
        <w:rPr>
          <w:rStyle w:val="doceo-font-family-base"/>
          <w:shd w:val="clear" w:color="auto" w:fill="FFFFFF"/>
        </w:rPr>
        <w:tab/>
        <w:t>pakartoja savo raginimą Pirmininkų sueigai ir Biurui persvarstyti Delegacijų darbą ir misijas už Sąjungos ribų reglamentuojančias įgyvendinimo nuostatas; pabrėžia, kad atliekant tokį persvarstymą turėtų būti apsvarstyta galimybė akredituotiems Parlamento narių padėjėjams, laikantis tam tikrų sąlygų, lydėti Parlamento narius, vykstančius į oficialias Parlamento delegacijų keliones ir misijas;</w:t>
      </w:r>
      <w:r w:rsidRPr="00612023">
        <w:t xml:space="preserve"> pabrėžia, kad dėl šio pakeitimo finansinis paketas nebūtų keičiamas ir jis neturėtų poveikio biudžetui;</w:t>
      </w:r>
    </w:p>
    <w:p w:rsidR="00060C58" w:rsidRPr="00612023" w:rsidRDefault="00681650" w:rsidP="00060C58">
      <w:pPr>
        <w:pStyle w:val="action0"/>
        <w:spacing w:after="200"/>
        <w:ind w:left="567" w:hanging="567"/>
        <w:rPr>
          <w:rFonts w:ascii="TimesNewRomanPSMT" w:hAnsi="TimesNewRomanPSMT" w:cs="TimesNewRomanPSMT"/>
        </w:rPr>
      </w:pPr>
      <w:r>
        <w:rPr>
          <w:rFonts w:ascii="TimesNewRomanPSMT" w:hAnsi="TimesNewRomanPSMT"/>
        </w:rPr>
        <w:t>30</w:t>
      </w:r>
      <w:r w:rsidR="00060C58" w:rsidRPr="00612023">
        <w:rPr>
          <w:rFonts w:ascii="TimesNewRomanPSMT" w:hAnsi="TimesNewRomanPSMT"/>
        </w:rPr>
        <w:t>.</w:t>
      </w:r>
      <w:r w:rsidR="00060C58" w:rsidRPr="00612023">
        <w:rPr>
          <w:rFonts w:ascii="TimesNewRomanPSMT" w:hAnsi="TimesNewRomanPSMT"/>
        </w:rPr>
        <w:tab/>
      </w:r>
      <w:r w:rsidR="00060C58" w:rsidRPr="00612023">
        <w:rPr>
          <w:rStyle w:val="doceo-font-family-base"/>
          <w:shd w:val="clear" w:color="auto" w:fill="FFFFFF"/>
        </w:rPr>
        <w:t>tikisi,</w:t>
      </w:r>
      <w:r w:rsidR="00060C58" w:rsidRPr="00612023">
        <w:t xml:space="preserve"> kad prašymai, dėl kurių balsuojama plenariniame posėdyje, bus įgyvendinami teikiant jiems svarbų prioritetą;</w:t>
      </w:r>
    </w:p>
    <w:p w:rsidR="00060C58" w:rsidRPr="00612023" w:rsidRDefault="00060C58" w:rsidP="00060C58">
      <w:pPr>
        <w:widowControl/>
        <w:tabs>
          <w:tab w:val="left" w:pos="567"/>
        </w:tabs>
        <w:spacing w:after="240"/>
        <w:ind w:left="567" w:hanging="567"/>
        <w:jc w:val="center"/>
        <w:rPr>
          <w:szCs w:val="24"/>
        </w:rPr>
      </w:pPr>
      <w:r w:rsidRPr="00612023">
        <w:t>°</w:t>
      </w:r>
    </w:p>
    <w:p w:rsidR="00060C58" w:rsidRPr="00612023" w:rsidRDefault="00060C58" w:rsidP="00060C58">
      <w:pPr>
        <w:widowControl/>
        <w:tabs>
          <w:tab w:val="left" w:pos="567"/>
        </w:tabs>
        <w:spacing w:after="240"/>
        <w:ind w:left="567" w:hanging="567"/>
        <w:jc w:val="center"/>
        <w:rPr>
          <w:szCs w:val="24"/>
        </w:rPr>
      </w:pPr>
      <w:r w:rsidRPr="00612023">
        <w:t>°         °</w:t>
      </w:r>
    </w:p>
    <w:p w:rsidR="00060C58" w:rsidRPr="00612023" w:rsidRDefault="00060C58" w:rsidP="00060C58">
      <w:pPr>
        <w:pStyle w:val="action0"/>
        <w:spacing w:before="200" w:after="200"/>
        <w:ind w:left="567" w:hanging="567"/>
      </w:pPr>
      <w:r w:rsidRPr="00612023">
        <w:t>3</w:t>
      </w:r>
      <w:r w:rsidR="00681650">
        <w:t>1</w:t>
      </w:r>
      <w:r w:rsidRPr="00612023">
        <w:t>.</w:t>
      </w:r>
      <w:r w:rsidRPr="00612023">
        <w:tab/>
        <w:t>patvirtina 2025 finansinių metų sąmatą;</w:t>
      </w:r>
    </w:p>
    <w:p w:rsidR="00E365E1" w:rsidRPr="00612023" w:rsidRDefault="00060C58" w:rsidP="009B683F">
      <w:pPr>
        <w:ind w:left="567" w:hanging="567"/>
      </w:pPr>
      <w:r w:rsidRPr="00612023">
        <w:lastRenderedPageBreak/>
        <w:t>3</w:t>
      </w:r>
      <w:r w:rsidR="00681650">
        <w:t>2</w:t>
      </w:r>
      <w:r w:rsidRPr="00612023">
        <w:t>.</w:t>
      </w:r>
      <w:r w:rsidRPr="00612023">
        <w:tab/>
        <w:t xml:space="preserve">paveda Pirmininkei perduoti šią rezoliuciją ir sąmatą </w:t>
      </w:r>
      <w:r w:rsidR="00612023" w:rsidRPr="00612023">
        <w:t>Tarybai ir Komisijai.</w:t>
      </w:r>
      <w:bookmarkStart w:id="9" w:name="TextBodyEnd"/>
      <w:bookmarkEnd w:id="9"/>
    </w:p>
    <w:sectPr w:rsidR="00E365E1" w:rsidRPr="00612023" w:rsidSect="0061202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4762E" w:rsidRPr="00612023" w:rsidRDefault="0064762E">
      <w:r w:rsidRPr="00612023">
        <w:separator/>
      </w:r>
    </w:p>
  </w:endnote>
  <w:endnote w:type="continuationSeparator" w:id="0">
    <w:p w:rsidR="0064762E" w:rsidRPr="00612023" w:rsidRDefault="0064762E">
      <w:r w:rsidRPr="0061202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NewRomanPSMT">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12023"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12023"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1202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4762E" w:rsidRPr="00612023" w:rsidRDefault="0064762E">
      <w:r w:rsidRPr="00612023">
        <w:separator/>
      </w:r>
    </w:p>
  </w:footnote>
  <w:footnote w:type="continuationSeparator" w:id="0">
    <w:p w:rsidR="0064762E" w:rsidRPr="00612023" w:rsidRDefault="0064762E">
      <w:r w:rsidRPr="00612023">
        <w:continuationSeparator/>
      </w:r>
    </w:p>
  </w:footnote>
  <w:footnote w:id="1">
    <w:p w:rsidR="00060C58" w:rsidRPr="00612023" w:rsidRDefault="00060C58" w:rsidP="00612023">
      <w:pPr>
        <w:pStyle w:val="FootnoteText"/>
        <w:ind w:left="567" w:hanging="567"/>
        <w:rPr>
          <w:sz w:val="24"/>
          <w:lang w:val="lt-LT"/>
        </w:rPr>
      </w:pPr>
      <w:r w:rsidRPr="00612023">
        <w:rPr>
          <w:rStyle w:val="FootnoteReference"/>
          <w:sz w:val="24"/>
          <w:lang w:val="lt-LT"/>
        </w:rPr>
        <w:footnoteRef/>
      </w:r>
      <w:r w:rsidR="00612023" w:rsidRPr="00612023">
        <w:rPr>
          <w:sz w:val="24"/>
          <w:lang w:val="lt-LT"/>
        </w:rPr>
        <w:t xml:space="preserve"> </w:t>
      </w:r>
      <w:r w:rsidR="00612023" w:rsidRPr="00612023">
        <w:rPr>
          <w:sz w:val="24"/>
          <w:lang w:val="lt-LT"/>
        </w:rPr>
        <w:tab/>
      </w:r>
      <w:r w:rsidRPr="00612023">
        <w:rPr>
          <w:sz w:val="24"/>
          <w:lang w:val="lt-LT"/>
        </w:rPr>
        <w:t>OL L 193, 2018 7 30, p. 1.</w:t>
      </w:r>
    </w:p>
  </w:footnote>
  <w:footnote w:id="2">
    <w:p w:rsidR="00060C58" w:rsidRPr="00612023" w:rsidRDefault="00060C58" w:rsidP="00612023">
      <w:pPr>
        <w:pStyle w:val="FootnoteText"/>
        <w:ind w:left="567" w:hanging="567"/>
        <w:rPr>
          <w:sz w:val="24"/>
          <w:lang w:val="lt-LT"/>
        </w:rPr>
      </w:pPr>
      <w:r w:rsidRPr="00612023">
        <w:rPr>
          <w:rStyle w:val="FootnoteReference"/>
          <w:sz w:val="24"/>
          <w:lang w:val="lt-LT"/>
        </w:rPr>
        <w:footnoteRef/>
      </w:r>
      <w:r w:rsidR="00612023" w:rsidRPr="00612023">
        <w:rPr>
          <w:sz w:val="24"/>
          <w:lang w:val="lt-LT"/>
        </w:rPr>
        <w:t xml:space="preserve"> </w:t>
      </w:r>
      <w:r w:rsidR="00612023" w:rsidRPr="00612023">
        <w:rPr>
          <w:sz w:val="24"/>
          <w:lang w:val="lt-LT"/>
        </w:rPr>
        <w:tab/>
      </w:r>
      <w:r w:rsidRPr="00612023">
        <w:rPr>
          <w:sz w:val="24"/>
          <w:lang w:val="lt-LT"/>
        </w:rPr>
        <w:t>OL L 433 I, 2020 12 22, p. 11.</w:t>
      </w:r>
    </w:p>
  </w:footnote>
  <w:footnote w:id="3">
    <w:p w:rsidR="00060C58" w:rsidRPr="00612023" w:rsidRDefault="00060C58" w:rsidP="00612023">
      <w:pPr>
        <w:pStyle w:val="FootnoteText"/>
        <w:ind w:left="567" w:hanging="567"/>
        <w:rPr>
          <w:sz w:val="24"/>
          <w:lang w:val="lt-LT"/>
        </w:rPr>
      </w:pPr>
      <w:r w:rsidRPr="00612023">
        <w:rPr>
          <w:rStyle w:val="FootnoteReference"/>
          <w:sz w:val="24"/>
          <w:lang w:val="lt-LT"/>
        </w:rPr>
        <w:footnoteRef/>
      </w:r>
      <w:r w:rsidR="00612023" w:rsidRPr="00612023">
        <w:rPr>
          <w:sz w:val="24"/>
          <w:lang w:val="lt-LT"/>
        </w:rPr>
        <w:t xml:space="preserve"> </w:t>
      </w:r>
      <w:r w:rsidR="00612023" w:rsidRPr="00612023">
        <w:rPr>
          <w:sz w:val="24"/>
          <w:lang w:val="lt-LT"/>
        </w:rPr>
        <w:tab/>
      </w:r>
      <w:r w:rsidRPr="00612023">
        <w:rPr>
          <w:sz w:val="24"/>
          <w:lang w:val="lt-LT"/>
        </w:rPr>
        <w:t>OL C 444 I, 2020 12 22, p. 4.</w:t>
      </w:r>
    </w:p>
  </w:footnote>
  <w:footnote w:id="4">
    <w:p w:rsidR="00060C58" w:rsidRPr="00612023" w:rsidRDefault="00060C58" w:rsidP="00612023">
      <w:pPr>
        <w:pStyle w:val="FootnoteText"/>
        <w:ind w:left="567" w:hanging="567"/>
        <w:rPr>
          <w:sz w:val="24"/>
          <w:lang w:val="lt-LT"/>
        </w:rPr>
      </w:pPr>
      <w:r w:rsidRPr="00612023">
        <w:rPr>
          <w:rStyle w:val="FootnoteReference"/>
          <w:sz w:val="24"/>
          <w:lang w:val="lt-LT"/>
        </w:rPr>
        <w:footnoteRef/>
      </w:r>
      <w:r w:rsidR="00612023" w:rsidRPr="00612023">
        <w:rPr>
          <w:sz w:val="24"/>
          <w:lang w:val="lt-LT"/>
        </w:rPr>
        <w:t xml:space="preserve"> </w:t>
      </w:r>
      <w:r w:rsidR="00612023" w:rsidRPr="00612023">
        <w:rPr>
          <w:sz w:val="24"/>
          <w:lang w:val="lt-LT"/>
        </w:rPr>
        <w:tab/>
      </w:r>
      <w:r w:rsidRPr="00612023">
        <w:rPr>
          <w:sz w:val="24"/>
          <w:lang w:val="lt-LT"/>
        </w:rPr>
        <w:t>Priimti tekstai, P9_TA(2020)0357.</w:t>
      </w:r>
    </w:p>
  </w:footnote>
  <w:footnote w:id="5">
    <w:p w:rsidR="00060C58" w:rsidRPr="00612023" w:rsidRDefault="00060C58" w:rsidP="00612023">
      <w:pPr>
        <w:pStyle w:val="FootnoteText"/>
        <w:ind w:left="567" w:hanging="567"/>
        <w:rPr>
          <w:sz w:val="24"/>
          <w:lang w:val="lt-LT"/>
        </w:rPr>
      </w:pPr>
      <w:r w:rsidRPr="00612023">
        <w:rPr>
          <w:rStyle w:val="FootnoteReference"/>
          <w:sz w:val="24"/>
          <w:lang w:val="lt-LT"/>
        </w:rPr>
        <w:footnoteRef/>
      </w:r>
      <w:r w:rsidR="00612023" w:rsidRPr="00612023">
        <w:rPr>
          <w:sz w:val="24"/>
          <w:lang w:val="lt-LT"/>
        </w:rPr>
        <w:t xml:space="preserve"> </w:t>
      </w:r>
      <w:r w:rsidR="00612023" w:rsidRPr="00612023">
        <w:rPr>
          <w:sz w:val="24"/>
          <w:lang w:val="lt-LT"/>
        </w:rPr>
        <w:tab/>
      </w:r>
      <w:r w:rsidRPr="00612023">
        <w:rPr>
          <w:sz w:val="24"/>
          <w:lang w:val="lt-LT"/>
        </w:rPr>
        <w:t>OL L 433 I, 2020 12 22, p. 28.</w:t>
      </w:r>
    </w:p>
  </w:footnote>
  <w:footnote w:id="6">
    <w:p w:rsidR="00060C58" w:rsidRPr="00612023" w:rsidRDefault="00060C58" w:rsidP="00612023">
      <w:pPr>
        <w:pStyle w:val="FootnoteText"/>
        <w:ind w:left="567" w:hanging="567"/>
        <w:rPr>
          <w:sz w:val="24"/>
          <w:lang w:val="lt-LT"/>
        </w:rPr>
      </w:pPr>
      <w:r w:rsidRPr="00612023">
        <w:rPr>
          <w:rStyle w:val="FootnoteReference"/>
          <w:sz w:val="24"/>
          <w:lang w:val="lt-LT"/>
        </w:rPr>
        <w:footnoteRef/>
      </w:r>
      <w:r w:rsidR="00612023" w:rsidRPr="00612023">
        <w:rPr>
          <w:sz w:val="24"/>
          <w:lang w:val="lt-LT"/>
        </w:rPr>
        <w:t xml:space="preserve"> </w:t>
      </w:r>
      <w:r w:rsidR="00612023" w:rsidRPr="00612023">
        <w:rPr>
          <w:sz w:val="24"/>
          <w:lang w:val="lt-LT"/>
        </w:rPr>
        <w:tab/>
      </w:r>
      <w:r w:rsidRPr="00612023">
        <w:rPr>
          <w:sz w:val="24"/>
          <w:lang w:val="lt-LT"/>
        </w:rPr>
        <w:t>Priimti tekstai, P9</w:t>
      </w:r>
      <w:r w:rsidR="00D34696" w:rsidRPr="00612023">
        <w:rPr>
          <w:sz w:val="24"/>
          <w:lang w:val="lt-LT"/>
        </w:rPr>
        <w:t>_</w:t>
      </w:r>
      <w:r w:rsidRPr="00612023">
        <w:rPr>
          <w:sz w:val="24"/>
          <w:lang w:val="lt-LT"/>
        </w:rPr>
        <w:t>TA(2023)0335.</w:t>
      </w:r>
    </w:p>
  </w:footnote>
  <w:footnote w:id="7">
    <w:p w:rsidR="00060C58" w:rsidRPr="00612023" w:rsidRDefault="00060C58" w:rsidP="00612023">
      <w:pPr>
        <w:pStyle w:val="Action"/>
        <w:tabs>
          <w:tab w:val="clear" w:pos="357"/>
        </w:tabs>
        <w:spacing w:after="0"/>
        <w:ind w:left="567" w:hanging="567"/>
        <w:outlineLvl w:val="0"/>
      </w:pPr>
      <w:r w:rsidRPr="00612023">
        <w:rPr>
          <w:rStyle w:val="FootnoteReference"/>
        </w:rPr>
        <w:footnoteRef/>
      </w:r>
      <w:r w:rsidR="00612023" w:rsidRPr="00612023">
        <w:t xml:space="preserve"> </w:t>
      </w:r>
      <w:r w:rsidR="00612023" w:rsidRPr="00612023">
        <w:tab/>
      </w:r>
      <w:r w:rsidRPr="00612023">
        <w:t>OL C 177, 2023 5 17, p. 115.</w:t>
      </w:r>
    </w:p>
  </w:footnote>
  <w:footnote w:id="8">
    <w:p w:rsidR="00060C58" w:rsidRPr="009B683F" w:rsidRDefault="00060C58" w:rsidP="00612023">
      <w:pPr>
        <w:pStyle w:val="FootnoteText"/>
        <w:ind w:left="567" w:hanging="567"/>
        <w:rPr>
          <w:i/>
          <w:sz w:val="24"/>
          <w:lang w:val="lt-LT"/>
        </w:rPr>
      </w:pPr>
      <w:r w:rsidRPr="00612023">
        <w:rPr>
          <w:rStyle w:val="FootnoteReference"/>
          <w:sz w:val="24"/>
          <w:lang w:val="lt-LT"/>
        </w:rPr>
        <w:footnoteRef/>
      </w:r>
      <w:r w:rsidR="00612023" w:rsidRPr="00612023">
        <w:rPr>
          <w:rStyle w:val="Emphasis"/>
          <w:color w:val="333333"/>
          <w:sz w:val="24"/>
          <w:shd w:val="clear" w:color="auto" w:fill="FFFFFF"/>
          <w:lang w:val="lt-LT"/>
        </w:rPr>
        <w:t xml:space="preserve"> </w:t>
      </w:r>
      <w:r w:rsidR="00612023" w:rsidRPr="00612023">
        <w:rPr>
          <w:rStyle w:val="Emphasis"/>
          <w:color w:val="333333"/>
          <w:sz w:val="24"/>
          <w:shd w:val="clear" w:color="auto" w:fill="FFFFFF"/>
          <w:lang w:val="lt-LT"/>
        </w:rPr>
        <w:tab/>
      </w:r>
      <w:r w:rsidRPr="009B683F">
        <w:rPr>
          <w:rStyle w:val="Emphasis"/>
          <w:i w:val="0"/>
          <w:color w:val="333333"/>
          <w:sz w:val="24"/>
          <w:shd w:val="clear" w:color="auto" w:fill="FFFFFF"/>
          <w:lang w:val="lt-LT"/>
        </w:rPr>
        <w:t xml:space="preserve">OL L, 2024/765, 2024 2 29, ELI: </w:t>
      </w:r>
      <w:hyperlink r:id="rId1" w:history="1">
        <w:r w:rsidRPr="009B683F">
          <w:rPr>
            <w:rStyle w:val="Hyperlink"/>
            <w:lang w:val="fi-FI"/>
          </w:rPr>
          <w:t>http://data.europa.eu/eli/reg/2024/765/oj</w:t>
        </w:r>
      </w:hyperlink>
      <w:r w:rsidRPr="009B683F">
        <w:rPr>
          <w:rStyle w:val="Emphasis"/>
          <w:i w:val="0"/>
          <w:color w:val="333333"/>
          <w:sz w:val="24"/>
          <w:shd w:val="clear" w:color="auto" w:fill="FFFFFF"/>
          <w:lang w:val="lt-LT"/>
        </w:rPr>
        <w:t>.</w:t>
      </w:r>
    </w:p>
  </w:footnote>
  <w:footnote w:id="9">
    <w:p w:rsidR="00060C58" w:rsidRPr="00612023" w:rsidRDefault="00060C58" w:rsidP="00612023">
      <w:pPr>
        <w:pStyle w:val="FootnoteText"/>
        <w:ind w:left="567" w:hanging="567"/>
        <w:rPr>
          <w:sz w:val="24"/>
          <w:lang w:val="lt-LT"/>
        </w:rPr>
      </w:pPr>
      <w:r w:rsidRPr="00612023">
        <w:rPr>
          <w:rStyle w:val="FootnoteReference"/>
          <w:sz w:val="24"/>
          <w:lang w:val="lt-LT"/>
        </w:rPr>
        <w:footnoteRef/>
      </w:r>
      <w:r w:rsidR="00612023" w:rsidRPr="00612023">
        <w:rPr>
          <w:sz w:val="24"/>
          <w:lang w:val="lt-LT"/>
        </w:rPr>
        <w:t xml:space="preserve"> </w:t>
      </w:r>
      <w:r w:rsidR="00612023" w:rsidRPr="00612023">
        <w:rPr>
          <w:sz w:val="24"/>
          <w:lang w:val="lt-LT"/>
        </w:rPr>
        <w:tab/>
      </w:r>
      <w:r w:rsidRPr="00612023">
        <w:rPr>
          <w:sz w:val="24"/>
          <w:lang w:val="lt-LT"/>
        </w:rPr>
        <w:t>COM(2022)0223.</w:t>
      </w:r>
    </w:p>
  </w:footnote>
  <w:footnote w:id="10">
    <w:p w:rsidR="00060C58" w:rsidRPr="00612023" w:rsidRDefault="00060C58" w:rsidP="00612023">
      <w:pPr>
        <w:pStyle w:val="FootnoteText"/>
        <w:ind w:left="567" w:hanging="567"/>
        <w:rPr>
          <w:sz w:val="24"/>
          <w:lang w:val="lt-LT"/>
        </w:rPr>
      </w:pPr>
      <w:r w:rsidRPr="00612023">
        <w:rPr>
          <w:rStyle w:val="FootnoteReference"/>
          <w:sz w:val="24"/>
          <w:lang w:val="lt-LT"/>
        </w:rPr>
        <w:footnoteRef/>
      </w:r>
      <w:r w:rsidR="00612023" w:rsidRPr="00612023">
        <w:rPr>
          <w:sz w:val="24"/>
          <w:lang w:val="lt-LT"/>
        </w:rPr>
        <w:t xml:space="preserve"> </w:t>
      </w:r>
      <w:r w:rsidR="00612023" w:rsidRPr="00612023">
        <w:rPr>
          <w:sz w:val="24"/>
          <w:lang w:val="lt-LT"/>
        </w:rPr>
        <w:tab/>
      </w:r>
      <w:r w:rsidRPr="00612023">
        <w:rPr>
          <w:sz w:val="24"/>
          <w:lang w:val="lt-LT"/>
        </w:rPr>
        <w:t>OL L 287, 2013 10 29, p. 15.</w:t>
      </w:r>
    </w:p>
  </w:footnote>
  <w:footnote w:id="11">
    <w:p w:rsidR="00060C58" w:rsidRPr="00612023" w:rsidRDefault="00060C58" w:rsidP="00612023">
      <w:pPr>
        <w:pStyle w:val="FootnoteText"/>
        <w:ind w:left="567" w:hanging="567"/>
        <w:rPr>
          <w:sz w:val="24"/>
          <w:lang w:val="lt-LT"/>
        </w:rPr>
      </w:pPr>
      <w:r w:rsidRPr="00612023">
        <w:rPr>
          <w:rStyle w:val="FootnoteReference"/>
          <w:sz w:val="24"/>
          <w:lang w:val="lt-LT"/>
        </w:rPr>
        <w:footnoteRef/>
      </w:r>
      <w:r w:rsidR="00612023" w:rsidRPr="00612023">
        <w:rPr>
          <w:sz w:val="24"/>
          <w:lang w:val="lt-LT"/>
        </w:rPr>
        <w:t xml:space="preserve"> </w:t>
      </w:r>
      <w:r w:rsidR="00612023" w:rsidRPr="00612023">
        <w:rPr>
          <w:sz w:val="24"/>
          <w:lang w:val="lt-LT"/>
        </w:rPr>
        <w:tab/>
      </w:r>
      <w:r w:rsidRPr="00612023">
        <w:rPr>
          <w:sz w:val="24"/>
          <w:lang w:val="lt-LT"/>
        </w:rPr>
        <w:t>Priimti tekstai, P9_TA(2023)0119.</w:t>
      </w:r>
    </w:p>
  </w:footnote>
  <w:footnote w:id="12">
    <w:p w:rsidR="00060C58" w:rsidRPr="00612023" w:rsidRDefault="00060C58" w:rsidP="00612023">
      <w:pPr>
        <w:pStyle w:val="FootnoteText"/>
        <w:ind w:left="567" w:hanging="567"/>
        <w:rPr>
          <w:sz w:val="24"/>
          <w:lang w:val="lt-LT"/>
        </w:rPr>
      </w:pPr>
      <w:r w:rsidRPr="00612023">
        <w:rPr>
          <w:rStyle w:val="FootnoteReference"/>
          <w:sz w:val="24"/>
          <w:lang w:val="lt-LT"/>
        </w:rPr>
        <w:footnoteRef/>
      </w:r>
      <w:r w:rsidR="00612023" w:rsidRPr="00612023">
        <w:rPr>
          <w:sz w:val="24"/>
          <w:lang w:val="lt-LT"/>
        </w:rPr>
        <w:t xml:space="preserve"> </w:t>
      </w:r>
      <w:r w:rsidR="00612023" w:rsidRPr="00612023">
        <w:rPr>
          <w:sz w:val="24"/>
          <w:lang w:val="lt-LT"/>
        </w:rPr>
        <w:tab/>
      </w:r>
      <w:r w:rsidRPr="00612023">
        <w:rPr>
          <w:sz w:val="24"/>
          <w:lang w:val="lt-LT"/>
        </w:rPr>
        <w:t>Priimti tekstai, P9_TA(2023)0367.</w:t>
      </w:r>
    </w:p>
  </w:footnote>
  <w:footnote w:id="13">
    <w:p w:rsidR="00060C58" w:rsidRPr="00612023" w:rsidRDefault="00060C58" w:rsidP="00612023">
      <w:pPr>
        <w:pStyle w:val="FootnoteText"/>
        <w:ind w:left="567" w:hanging="567"/>
        <w:rPr>
          <w:sz w:val="24"/>
          <w:lang w:val="lt-LT"/>
        </w:rPr>
      </w:pPr>
      <w:r w:rsidRPr="00612023">
        <w:rPr>
          <w:rStyle w:val="FootnoteReference"/>
          <w:sz w:val="24"/>
          <w:lang w:val="lt-LT"/>
        </w:rPr>
        <w:footnoteRef/>
      </w:r>
      <w:r w:rsidR="00612023" w:rsidRPr="00612023">
        <w:rPr>
          <w:sz w:val="24"/>
          <w:lang w:val="lt-LT"/>
        </w:rPr>
        <w:t xml:space="preserve"> </w:t>
      </w:r>
      <w:r w:rsidR="00612023" w:rsidRPr="00612023">
        <w:rPr>
          <w:sz w:val="24"/>
          <w:lang w:val="lt-LT"/>
        </w:rPr>
        <w:tab/>
      </w:r>
      <w:r w:rsidRPr="00612023">
        <w:rPr>
          <w:sz w:val="24"/>
          <w:lang w:val="lt-LT"/>
        </w:rPr>
        <w:t xml:space="preserve">OL L 207, 2024 2 </w:t>
      </w:r>
      <w:r w:rsidRPr="00612023">
        <w:rPr>
          <w:sz w:val="24"/>
          <w:lang w:val="lt-LT"/>
        </w:rPr>
        <w:t>22</w:t>
      </w:r>
      <w:bookmarkStart w:id="8" w:name="_GoBack"/>
      <w:bookmarkEnd w:id="8"/>
      <w:r w:rsidRPr="00612023">
        <w:rPr>
          <w:sz w:val="24"/>
          <w:lang w:val="lt-LT"/>
        </w:rPr>
        <w:t>.</w:t>
      </w:r>
    </w:p>
  </w:footnote>
  <w:footnote w:id="14">
    <w:p w:rsidR="00060C58" w:rsidRPr="00612023" w:rsidRDefault="00060C58" w:rsidP="00612023">
      <w:pPr>
        <w:pStyle w:val="FootnoteText"/>
        <w:ind w:left="567" w:hanging="567"/>
        <w:rPr>
          <w:sz w:val="24"/>
          <w:lang w:val="lt-LT"/>
        </w:rPr>
      </w:pPr>
      <w:r w:rsidRPr="00612023">
        <w:rPr>
          <w:rStyle w:val="FootnoteReference"/>
          <w:sz w:val="24"/>
          <w:lang w:val="lt-LT"/>
        </w:rPr>
        <w:footnoteRef/>
      </w:r>
      <w:r w:rsidR="00612023" w:rsidRPr="00612023">
        <w:rPr>
          <w:sz w:val="24"/>
          <w:lang w:val="lt-LT"/>
        </w:rPr>
        <w:t xml:space="preserve"> </w:t>
      </w:r>
      <w:r w:rsidR="00612023" w:rsidRPr="00612023">
        <w:rPr>
          <w:sz w:val="24"/>
          <w:lang w:val="lt-LT"/>
        </w:rPr>
        <w:tab/>
      </w:r>
      <w:r w:rsidRPr="00612023">
        <w:rPr>
          <w:sz w:val="24"/>
          <w:lang w:val="lt-LT"/>
        </w:rPr>
        <w:t>Priimti tekstai, P9_TA(2022)0366.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12023"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12023"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1202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80/2024"/>
    <w:docVar w:name="dvlangue" w:val="LT"/>
    <w:docVar w:name="dvnumam" w:val="0"/>
    <w:docVar w:name="dvpe" w:val="759.633"/>
    <w:docVar w:name="dvrapporteur" w:val="Pranešėjas: "/>
    <w:docVar w:name="dvtitre" w:val="Europos Parlamento rezoliucija dėl Europos Parlamento 2025 finansinių metų pajamų ir išlaidų sąmatos(2023/2221(BUI))"/>
  </w:docVars>
  <w:rsids>
    <w:rsidRoot w:val="0064762E"/>
    <w:rsid w:val="00002272"/>
    <w:rsid w:val="00060C58"/>
    <w:rsid w:val="00064002"/>
    <w:rsid w:val="000677B9"/>
    <w:rsid w:val="000831BA"/>
    <w:rsid w:val="000A42CC"/>
    <w:rsid w:val="000D5059"/>
    <w:rsid w:val="000E7DD9"/>
    <w:rsid w:val="0010095E"/>
    <w:rsid w:val="00125B37"/>
    <w:rsid w:val="00187494"/>
    <w:rsid w:val="001F32AE"/>
    <w:rsid w:val="002767FF"/>
    <w:rsid w:val="002B18FE"/>
    <w:rsid w:val="002B5493"/>
    <w:rsid w:val="00343214"/>
    <w:rsid w:val="00361C00"/>
    <w:rsid w:val="00364F36"/>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12023"/>
    <w:rsid w:val="0064762E"/>
    <w:rsid w:val="006631B6"/>
    <w:rsid w:val="00680577"/>
    <w:rsid w:val="00681650"/>
    <w:rsid w:val="006F74FA"/>
    <w:rsid w:val="00731ADD"/>
    <w:rsid w:val="00734777"/>
    <w:rsid w:val="00747932"/>
    <w:rsid w:val="00751A4A"/>
    <w:rsid w:val="00756632"/>
    <w:rsid w:val="00762C74"/>
    <w:rsid w:val="00786EC0"/>
    <w:rsid w:val="007D1690"/>
    <w:rsid w:val="007E22AD"/>
    <w:rsid w:val="00817416"/>
    <w:rsid w:val="00842779"/>
    <w:rsid w:val="00853BEE"/>
    <w:rsid w:val="00865F67"/>
    <w:rsid w:val="00881A7B"/>
    <w:rsid w:val="008840E5"/>
    <w:rsid w:val="00887B3E"/>
    <w:rsid w:val="008C2AC6"/>
    <w:rsid w:val="00930C23"/>
    <w:rsid w:val="0093193B"/>
    <w:rsid w:val="009509D8"/>
    <w:rsid w:val="00950B64"/>
    <w:rsid w:val="00981893"/>
    <w:rsid w:val="009B683F"/>
    <w:rsid w:val="009C20BF"/>
    <w:rsid w:val="00A1687D"/>
    <w:rsid w:val="00A230D9"/>
    <w:rsid w:val="00A43E52"/>
    <w:rsid w:val="00A4678D"/>
    <w:rsid w:val="00A778C7"/>
    <w:rsid w:val="00A9236C"/>
    <w:rsid w:val="00AB441E"/>
    <w:rsid w:val="00AB6293"/>
    <w:rsid w:val="00AE0928"/>
    <w:rsid w:val="00AF3B82"/>
    <w:rsid w:val="00B12E95"/>
    <w:rsid w:val="00B22876"/>
    <w:rsid w:val="00B558F0"/>
    <w:rsid w:val="00BD48FE"/>
    <w:rsid w:val="00BD7BD8"/>
    <w:rsid w:val="00BE6ADC"/>
    <w:rsid w:val="00C05BFE"/>
    <w:rsid w:val="00C079AD"/>
    <w:rsid w:val="00C07BA5"/>
    <w:rsid w:val="00C23CD4"/>
    <w:rsid w:val="00C61C0C"/>
    <w:rsid w:val="00C941CB"/>
    <w:rsid w:val="00CC2357"/>
    <w:rsid w:val="00CF071A"/>
    <w:rsid w:val="00D058B8"/>
    <w:rsid w:val="00D34696"/>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31F2C"/>
    <w:rsid w:val="00F5134D"/>
    <w:rsid w:val="00F74202"/>
    <w:rsid w:val="00F87713"/>
    <w:rsid w:val="00FB4360"/>
    <w:rsid w:val="00FD0C70"/>
    <w:rsid w:val="00FE39A6"/>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2EDB6D42-203B-438E-9917-A2CA8DF813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BVI fnr,C26 Footnote Number,Footnote,Footnote Reference Number,Footnote Reference_LVL6,Footnote Reference_LVL61,Footnote Reference_LVL62,Footnote Reference_LVL63,Footnote Reference_LVL64,Footnote Reference_LVL65,Footnote symbol"/>
    <w:link w:val="FootnoteReference1"/>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060C58"/>
    <w:pPr>
      <w:spacing w:after="240"/>
      <w:ind w:left="567" w:hanging="567"/>
    </w:pPr>
  </w:style>
  <w:style w:type="paragraph" w:customStyle="1" w:styleId="EPComma">
    <w:name w:val="EPComma"/>
    <w:basedOn w:val="Normal"/>
    <w:rsid w:val="00060C58"/>
    <w:pPr>
      <w:spacing w:before="480" w:after="240"/>
    </w:pPr>
  </w:style>
  <w:style w:type="paragraph" w:customStyle="1" w:styleId="Action">
    <w:name w:val="Action"/>
    <w:basedOn w:val="Normal"/>
    <w:rsid w:val="00060C58"/>
    <w:pPr>
      <w:tabs>
        <w:tab w:val="left" w:pos="357"/>
      </w:tabs>
      <w:spacing w:after="240"/>
      <w:ind w:left="357" w:hanging="357"/>
    </w:pPr>
  </w:style>
  <w:style w:type="paragraph" w:customStyle="1" w:styleId="FootnoteReference1">
    <w:name w:val="Footnote Reference1"/>
    <w:basedOn w:val="Normal"/>
    <w:link w:val="FootnoteReference"/>
    <w:rsid w:val="00060C58"/>
    <w:pPr>
      <w:widowControl/>
      <w:spacing w:after="160" w:line="240" w:lineRule="exact"/>
    </w:pPr>
    <w:rPr>
      <w:sz w:val="20"/>
      <w:vertAlign w:val="superscript"/>
      <w:lang w:val="en-GB"/>
    </w:rPr>
  </w:style>
  <w:style w:type="paragraph" w:customStyle="1" w:styleId="action0">
    <w:name w:val="action"/>
    <w:basedOn w:val="Normal"/>
    <w:rsid w:val="00060C58"/>
    <w:pPr>
      <w:widowControl/>
      <w:spacing w:after="240"/>
      <w:ind w:left="357" w:hanging="357"/>
    </w:pPr>
    <w:rPr>
      <w:rFonts w:eastAsiaTheme="minorHAnsi"/>
      <w:szCs w:val="24"/>
    </w:rPr>
  </w:style>
  <w:style w:type="character" w:customStyle="1" w:styleId="doceo-font-family-base">
    <w:name w:val="doceo-font-family-base"/>
    <w:basedOn w:val="DefaultParagraphFont"/>
    <w:rsid w:val="00060C58"/>
  </w:style>
  <w:style w:type="character" w:customStyle="1" w:styleId="NormalHanging12aChar">
    <w:name w:val="NormalHanging12a Char"/>
    <w:basedOn w:val="DefaultParagraphFont"/>
    <w:link w:val="NormalHanging12a"/>
    <w:locked/>
    <w:rsid w:val="00060C58"/>
    <w:rPr>
      <w:sz w:val="24"/>
      <w:lang w:val="lt-LT"/>
    </w:rPr>
  </w:style>
  <w:style w:type="character" w:styleId="Emphasis">
    <w:name w:val="Emphasis"/>
    <w:basedOn w:val="DefaultParagraphFont"/>
    <w:uiPriority w:val="20"/>
    <w:qFormat/>
    <w:rsid w:val="00060C58"/>
    <w:rPr>
      <w:i/>
      <w:iCs/>
    </w:rPr>
  </w:style>
  <w:style w:type="paragraph" w:styleId="BalloonText">
    <w:name w:val="Balloon Text"/>
    <w:basedOn w:val="Normal"/>
    <w:link w:val="BalloonTextChar"/>
    <w:rsid w:val="00A9236C"/>
    <w:rPr>
      <w:rFonts w:ascii="Segoe UI" w:hAnsi="Segoe UI" w:cs="Segoe UI"/>
      <w:sz w:val="18"/>
      <w:szCs w:val="18"/>
    </w:rPr>
  </w:style>
  <w:style w:type="character" w:customStyle="1" w:styleId="BalloonTextChar">
    <w:name w:val="Balloon Text Char"/>
    <w:basedOn w:val="DefaultParagraphFont"/>
    <w:link w:val="BalloonText"/>
    <w:rsid w:val="00A9236C"/>
    <w:rPr>
      <w:rFonts w:ascii="Segoe UI" w:hAnsi="Segoe UI" w:cs="Segoe UI"/>
      <w:sz w:val="18"/>
      <w:szCs w:val="18"/>
      <w:lang w:val="lt-LT"/>
    </w:rPr>
  </w:style>
  <w:style w:type="character" w:styleId="Hyperlink">
    <w:name w:val="Hyperlink"/>
    <w:basedOn w:val="DefaultParagraphFont"/>
    <w:rsid w:val="00A9236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24/76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12E59B-C3CA-4C0E-BB55-FAE8D2A1CF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2634</Words>
  <Characters>17696</Characters>
  <Application>Microsoft Office Word</Application>
  <DocSecurity>0</DocSecurity>
  <Lines>147</Lines>
  <Paragraphs>40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BINKEVICIUTE Aurelija</cp:lastModifiedBy>
  <cp:revision>2</cp:revision>
  <cp:lastPrinted>2004-11-19T15:42:00Z</cp:lastPrinted>
  <dcterms:created xsi:type="dcterms:W3CDTF">2024-09-03T12:24:00Z</dcterms:created>
  <dcterms:modified xsi:type="dcterms:W3CDTF">2024-09-03T12:24:00Z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P9_TA(2024)0373_</vt:lpwstr>
  </property>
  <property fmtid="{D5CDD505-2E9C-101B-9397-08002B2CF9AE}" pid="4" name="&lt;Type&gt;">
    <vt:lpwstr>RR</vt:lpwstr>
  </property>
</Properties>
</file>