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C2EB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C2EB4" w:rsidRDefault="00B67D2E" w:rsidP="0010095E">
            <w:pPr>
              <w:pStyle w:val="EPName"/>
            </w:pPr>
            <w:r w:rsidRPr="009C2EB4">
              <w:t>Parlament Europejski</w:t>
            </w:r>
          </w:p>
          <w:p w:rsidR="00751A4A" w:rsidRPr="009C2EB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C2EB4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9C2EB4" w:rsidRDefault="00187494" w:rsidP="0010095E">
            <w:pPr>
              <w:pStyle w:val="EPLogo"/>
            </w:pPr>
            <w:r w:rsidRPr="009C2EB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C2EB4" w:rsidRDefault="00D058B8" w:rsidP="004C5D52">
      <w:pPr>
        <w:pStyle w:val="LineTop"/>
      </w:pPr>
    </w:p>
    <w:p w:rsidR="00680577" w:rsidRPr="009C2EB4" w:rsidRDefault="00B67D2E" w:rsidP="00680577">
      <w:pPr>
        <w:pStyle w:val="EPBodyTA1"/>
      </w:pPr>
      <w:r w:rsidRPr="009C2EB4">
        <w:t>TEKSTY PRZYJĘTE</w:t>
      </w:r>
    </w:p>
    <w:p w:rsidR="00D058B8" w:rsidRPr="009C2EB4" w:rsidRDefault="00D058B8" w:rsidP="00D058B8">
      <w:pPr>
        <w:pStyle w:val="LineBottom"/>
      </w:pPr>
    </w:p>
    <w:p w:rsidR="00B67D2E" w:rsidRPr="009C2EB4" w:rsidRDefault="00B67D2E" w:rsidP="00B67D2E">
      <w:pPr>
        <w:pStyle w:val="ATHeading1"/>
      </w:pPr>
      <w:bookmarkStart w:id="0" w:name="TANumber"/>
      <w:r w:rsidRPr="009C2EB4">
        <w:t>P9_TA(2024)0</w:t>
      </w:r>
      <w:bookmarkEnd w:id="0"/>
      <w:r w:rsidR="00E770AC">
        <w:t>373</w:t>
      </w:r>
    </w:p>
    <w:p w:rsidR="00B67D2E" w:rsidRPr="009C2EB4" w:rsidRDefault="00B67D2E" w:rsidP="00B67D2E">
      <w:pPr>
        <w:pStyle w:val="ATHeading2"/>
      </w:pPr>
      <w:bookmarkStart w:id="1" w:name="title"/>
      <w:r w:rsidRPr="009C2EB4">
        <w:t>Preliminarz dochodów i wydatków na rok budżetowy 2025 - Sekcja I - Parlament Europejski</w:t>
      </w:r>
      <w:bookmarkEnd w:id="1"/>
    </w:p>
    <w:p w:rsidR="00B67D2E" w:rsidRPr="009C2EB4" w:rsidRDefault="00B67D2E" w:rsidP="00B67D2E">
      <w:pPr>
        <w:rPr>
          <w:i/>
          <w:vanish/>
        </w:rPr>
      </w:pPr>
      <w:r w:rsidRPr="009C2EB4">
        <w:rPr>
          <w:i/>
        </w:rPr>
        <w:fldChar w:fldCharType="begin"/>
      </w:r>
      <w:r w:rsidRPr="009C2EB4">
        <w:rPr>
          <w:i/>
        </w:rPr>
        <w:instrText xml:space="preserve"> TC"(</w:instrText>
      </w:r>
      <w:bookmarkStart w:id="2" w:name="DocNumber"/>
      <w:r w:rsidRPr="009C2EB4">
        <w:rPr>
          <w:i/>
        </w:rPr>
        <w:instrText>A9-0180/2024</w:instrText>
      </w:r>
      <w:bookmarkEnd w:id="2"/>
      <w:r w:rsidRPr="009C2EB4">
        <w:rPr>
          <w:i/>
        </w:rPr>
        <w:instrText xml:space="preserve"> - Sprawozdawca: Anna</w:instrText>
      </w:r>
      <w:r w:rsidRPr="009C2EB4">
        <w:rPr>
          <w:i/>
        </w:rPr>
        <w:noBreakHyphen/>
        <w:instrText xml:space="preserve">Michelle Asimakopoulou)"\l3 \n&gt; \* MERGEFORMAT </w:instrText>
      </w:r>
      <w:r w:rsidRPr="009C2EB4">
        <w:rPr>
          <w:i/>
        </w:rPr>
        <w:fldChar w:fldCharType="end"/>
      </w:r>
    </w:p>
    <w:p w:rsidR="00B67D2E" w:rsidRPr="009C2EB4" w:rsidRDefault="00B67D2E" w:rsidP="00B67D2E">
      <w:pPr>
        <w:rPr>
          <w:vanish/>
        </w:rPr>
      </w:pPr>
      <w:bookmarkStart w:id="3" w:name="Commission"/>
      <w:r w:rsidRPr="009C2EB4">
        <w:rPr>
          <w:vanish/>
        </w:rPr>
        <w:t>Komisja Budżetowa</w:t>
      </w:r>
      <w:bookmarkEnd w:id="3"/>
    </w:p>
    <w:p w:rsidR="00B67D2E" w:rsidRPr="009C2EB4" w:rsidRDefault="00B67D2E" w:rsidP="00B67D2E">
      <w:pPr>
        <w:rPr>
          <w:vanish/>
        </w:rPr>
      </w:pPr>
      <w:bookmarkStart w:id="4" w:name="PE"/>
      <w:r w:rsidRPr="009C2EB4">
        <w:rPr>
          <w:vanish/>
        </w:rPr>
        <w:t>PE759.633</w:t>
      </w:r>
      <w:bookmarkEnd w:id="4"/>
    </w:p>
    <w:p w:rsidR="00B67D2E" w:rsidRPr="009C2EB4" w:rsidRDefault="00B67D2E" w:rsidP="00B67D2E">
      <w:pPr>
        <w:pStyle w:val="ATHeading3"/>
      </w:pPr>
      <w:bookmarkStart w:id="5" w:name="Sujet"/>
      <w:r w:rsidRPr="009C2EB4">
        <w:t xml:space="preserve">Rezolucja Parlamentu Europejskiego z dnia </w:t>
      </w:r>
      <w:r w:rsidR="00FF0687">
        <w:t>25 kwietnia</w:t>
      </w:r>
      <w:r w:rsidRPr="009C2EB4">
        <w:t xml:space="preserve"> 2024 r. w sprawie preliminarza dochodów i wydatków Parlamentu Europejskiego na rok budżetowy 2025</w:t>
      </w:r>
      <w:bookmarkEnd w:id="5"/>
      <w:r w:rsidRPr="009C2EB4">
        <w:t xml:space="preserve"> </w:t>
      </w:r>
      <w:bookmarkStart w:id="6" w:name="References"/>
      <w:r w:rsidRPr="009C2EB4">
        <w:t>(2023/2221(BUI))</w:t>
      </w:r>
      <w:bookmarkEnd w:id="6"/>
    </w:p>
    <w:p w:rsidR="00B81BF1" w:rsidRPr="009C2EB4" w:rsidRDefault="00B81BF1" w:rsidP="00B81BF1">
      <w:pPr>
        <w:pStyle w:val="EPComma"/>
        <w:rPr>
          <w:szCs w:val="24"/>
        </w:rPr>
      </w:pPr>
      <w:bookmarkStart w:id="7" w:name="TextBodyBegin"/>
      <w:bookmarkEnd w:id="7"/>
      <w:r w:rsidRPr="009C2EB4">
        <w:rPr>
          <w:i/>
        </w:rPr>
        <w:t>Parlament Europejski</w:t>
      </w:r>
      <w:r w:rsidRPr="009C2EB4">
        <w:t>,</w:t>
      </w:r>
    </w:p>
    <w:p w:rsidR="00B81BF1" w:rsidRPr="009C2EB4" w:rsidRDefault="00B81BF1" w:rsidP="00B81BF1">
      <w:pPr>
        <w:pStyle w:val="NormalHanging12a"/>
        <w:rPr>
          <w:szCs w:val="24"/>
        </w:rPr>
      </w:pPr>
      <w:r w:rsidRPr="009C2EB4">
        <w:t>–</w:t>
      </w:r>
      <w:r w:rsidRPr="009C2EB4">
        <w:tab/>
        <w:t>uwzględniając art. 314 Traktatu o funkcjonowaniu Unii Europejskiej,</w:t>
      </w:r>
    </w:p>
    <w:p w:rsidR="00B81BF1" w:rsidRPr="009C2EB4" w:rsidRDefault="00B81BF1" w:rsidP="00B81BF1">
      <w:pPr>
        <w:pStyle w:val="NormalHanging12a"/>
        <w:rPr>
          <w:szCs w:val="24"/>
        </w:rPr>
      </w:pPr>
      <w:r w:rsidRPr="009C2EB4">
        <w:t>–</w:t>
      </w:r>
      <w:r w:rsidRPr="009C2EB4">
        <w:tab/>
        <w:t xml:space="preserve">uwzględniając rozporządzenie Parlamentu Europejskiego i Rady (UE, </w:t>
      </w:r>
      <w:proofErr w:type="spellStart"/>
      <w:r w:rsidRPr="009C2EB4">
        <w:t>Euratom</w:t>
      </w:r>
      <w:proofErr w:type="spellEnd"/>
      <w:r w:rsidRPr="009C2EB4">
        <w:t xml:space="preserve">) 2018/1046 z dnia 18 lipca 2018 r. w sprawie zasad finansowych mających zastosowanie do budżetu ogólnego Unii, zmieniające rozporządzenia (UE) nr 1296/2013, (UE) nr 1301/2013, (UE) nr 1303/2013, (UE) nr 1304/2013, (UE) nr 1309/2013, (UE) nr 1316/2013, (UE) nr 223/2014 i (UE) nr 283/2014 oraz decyzję nr 541/2014/UE, a także uchylające rozporządzenie (UE, </w:t>
      </w:r>
      <w:proofErr w:type="spellStart"/>
      <w:r w:rsidRPr="009C2EB4">
        <w:t>Euratom</w:t>
      </w:r>
      <w:proofErr w:type="spellEnd"/>
      <w:r w:rsidRPr="009C2EB4">
        <w:t>) nr 966/2012</w:t>
      </w:r>
      <w:r w:rsidRPr="009C2EB4">
        <w:rPr>
          <w:rStyle w:val="FootnoteReference"/>
          <w:szCs w:val="24"/>
        </w:rPr>
        <w:footnoteReference w:id="1"/>
      </w:r>
      <w:r w:rsidRPr="009C2EB4">
        <w:t>,</w:t>
      </w:r>
    </w:p>
    <w:p w:rsidR="00B81BF1" w:rsidRPr="009C2EB4" w:rsidRDefault="00B81BF1" w:rsidP="00B81BF1">
      <w:pPr>
        <w:pStyle w:val="NormalHanging12a"/>
        <w:rPr>
          <w:szCs w:val="24"/>
        </w:rPr>
      </w:pPr>
      <w:r w:rsidRPr="009C2EB4">
        <w:t>–</w:t>
      </w:r>
      <w:r w:rsidRPr="009C2EB4">
        <w:tab/>
        <w:t xml:space="preserve">uwzględniając rozporządzenie Rady (UE, </w:t>
      </w:r>
      <w:proofErr w:type="spellStart"/>
      <w:r w:rsidRPr="009C2EB4">
        <w:t>Euratom</w:t>
      </w:r>
      <w:proofErr w:type="spellEnd"/>
      <w:r w:rsidRPr="009C2EB4">
        <w:t>) 2020/2093 z dnia 17 grudnia 2020 r. określające wieloletnie ramy finansowe na lata 2021–2027</w:t>
      </w:r>
      <w:r w:rsidRPr="009C2EB4">
        <w:rPr>
          <w:szCs w:val="24"/>
          <w:vertAlign w:val="superscript"/>
        </w:rPr>
        <w:footnoteReference w:id="2"/>
      </w:r>
      <w:r w:rsidRPr="009C2EB4">
        <w:t>, wspólne oświadczenia uzgodnione między Parlamentem, Radą i Komisją w tym kontekście</w:t>
      </w:r>
      <w:r w:rsidRPr="009C2EB4">
        <w:rPr>
          <w:szCs w:val="24"/>
          <w:vertAlign w:val="superscript"/>
        </w:rPr>
        <w:footnoteReference w:id="3"/>
      </w:r>
      <w:r w:rsidRPr="009C2EB4">
        <w:t>, a także powiązane oświadczenia jednostronne</w:t>
      </w:r>
      <w:r w:rsidRPr="009C2EB4">
        <w:rPr>
          <w:szCs w:val="24"/>
          <w:vertAlign w:val="superscript"/>
        </w:rPr>
        <w:footnoteReference w:id="4"/>
      </w:r>
      <w:r w:rsidRPr="009C2EB4">
        <w:t xml:space="preserve">, </w:t>
      </w:r>
    </w:p>
    <w:p w:rsidR="00B81BF1" w:rsidRPr="009C2EB4" w:rsidRDefault="00B81BF1" w:rsidP="00B81BF1">
      <w:pPr>
        <w:pStyle w:val="NormalHanging12a"/>
        <w:rPr>
          <w:szCs w:val="24"/>
        </w:rPr>
      </w:pPr>
      <w:r w:rsidRPr="009C2EB4">
        <w:t>–</w:t>
      </w:r>
      <w:r w:rsidRPr="009C2EB4">
        <w:tab/>
        <w:t>uwzględniając Porozumienie międzyinstytucjonalne z dnia 16 grudnia 2020 r. między Parlamentem Europejskim, Radą Unii Europejskiej i Komisją Europejską w sprawie dyscypliny budżetowej, współpracy w kwestiach budżetowych i należytego zarządzania finansami oraz w sprawie nowych zasobów własnych, w tym również harmonogramu wprowadzania nowych zasobów własnych</w:t>
      </w:r>
      <w:r w:rsidRPr="009C2EB4">
        <w:rPr>
          <w:rStyle w:val="FootnoteReference"/>
          <w:szCs w:val="24"/>
        </w:rPr>
        <w:footnoteReference w:id="5"/>
      </w:r>
      <w:r w:rsidRPr="009C2EB4">
        <w:t>,</w:t>
      </w:r>
    </w:p>
    <w:p w:rsidR="00B81BF1" w:rsidRPr="009C2EB4" w:rsidRDefault="00B81BF1" w:rsidP="00B81BF1">
      <w:pPr>
        <w:pStyle w:val="NormalHanging12a"/>
        <w:rPr>
          <w:szCs w:val="24"/>
        </w:rPr>
      </w:pPr>
      <w:r w:rsidRPr="009C2EB4">
        <w:lastRenderedPageBreak/>
        <w:t>–</w:t>
      </w:r>
      <w:r w:rsidRPr="009C2EB4">
        <w:tab/>
        <w:t>uwzględniając swoje wstępne sprawozdanie</w:t>
      </w:r>
      <w:r w:rsidR="00FF0687">
        <w:t xml:space="preserve"> z dnia 3 października 2023 r.</w:t>
      </w:r>
      <w:r w:rsidRPr="009C2EB4">
        <w:t xml:space="preserve"> w sprawie wniosku dotyczącego śródokresowej rewizji wieloletnich ram finansowych na lata 2021–2027</w:t>
      </w:r>
      <w:r w:rsidRPr="009C2EB4">
        <w:rPr>
          <w:szCs w:val="24"/>
          <w:vertAlign w:val="superscript"/>
        </w:rPr>
        <w:footnoteReference w:id="6"/>
      </w:r>
      <w:r w:rsidRPr="009C2EB4">
        <w:t>,</w:t>
      </w:r>
    </w:p>
    <w:p w:rsidR="00B81BF1" w:rsidRPr="009C2EB4" w:rsidRDefault="00B81BF1" w:rsidP="00B81BF1">
      <w:pPr>
        <w:pStyle w:val="NormalHanging12a"/>
        <w:rPr>
          <w:szCs w:val="24"/>
        </w:rPr>
      </w:pPr>
      <w:r w:rsidRPr="009C2EB4">
        <w:t>–</w:t>
      </w:r>
      <w:r w:rsidRPr="009C2EB4">
        <w:tab/>
        <w:t>uwzględniając swoją rezolucję z dnia 15 grudnia 2022 r. w sprawie ulepszenia wieloletnich ram finansowych na lata 2021–2027: gotowy na nowe wyzwania, odporny budżet UE</w:t>
      </w:r>
      <w:r w:rsidRPr="009C2EB4">
        <w:rPr>
          <w:szCs w:val="24"/>
          <w:vertAlign w:val="superscript"/>
        </w:rPr>
        <w:footnoteReference w:id="7"/>
      </w:r>
      <w:r w:rsidRPr="009C2EB4">
        <w:t xml:space="preserve">, </w:t>
      </w:r>
    </w:p>
    <w:p w:rsidR="00B81BF1" w:rsidRPr="009C2EB4" w:rsidRDefault="00B81BF1" w:rsidP="00B81BF1">
      <w:pPr>
        <w:pStyle w:val="NormalHanging12a"/>
        <w:rPr>
          <w:szCs w:val="24"/>
        </w:rPr>
      </w:pPr>
      <w:r w:rsidRPr="009C2EB4">
        <w:t>–</w:t>
      </w:r>
      <w:r w:rsidRPr="009C2EB4">
        <w:tab/>
        <w:t xml:space="preserve">uwzględniając rozporządzenie Rady (UE, </w:t>
      </w:r>
      <w:proofErr w:type="spellStart"/>
      <w:r w:rsidRPr="009C2EB4">
        <w:t>Euratom</w:t>
      </w:r>
      <w:proofErr w:type="spellEnd"/>
      <w:r w:rsidRPr="009C2EB4">
        <w:t xml:space="preserve">) 2024/765 </w:t>
      </w:r>
      <w:r w:rsidRPr="009C2EB4">
        <w:rPr>
          <w:shd w:val="clear" w:color="auto" w:fill="FFFFFF"/>
        </w:rPr>
        <w:t xml:space="preserve">z dnia 29 lutego 2024 r. w sprawie zmiany rozporządzenia (UE, </w:t>
      </w:r>
      <w:proofErr w:type="spellStart"/>
      <w:r w:rsidRPr="009C2EB4">
        <w:rPr>
          <w:shd w:val="clear" w:color="auto" w:fill="FFFFFF"/>
        </w:rPr>
        <w:t>Euratom</w:t>
      </w:r>
      <w:proofErr w:type="spellEnd"/>
      <w:r w:rsidRPr="009C2EB4">
        <w:rPr>
          <w:shd w:val="clear" w:color="auto" w:fill="FFFFFF"/>
        </w:rPr>
        <w:t>) 2020/2093</w:t>
      </w:r>
      <w:r w:rsidRPr="009C2EB4">
        <w:t xml:space="preserve"> określającego wieloletnie ramy finansowe na lata 2021–2027</w:t>
      </w:r>
      <w:r w:rsidRPr="009C2EB4">
        <w:rPr>
          <w:rStyle w:val="FootnoteReference"/>
          <w:szCs w:val="24"/>
        </w:rPr>
        <w:footnoteReference w:id="8"/>
      </w:r>
      <w:r w:rsidRPr="009C2EB4">
        <w:t xml:space="preserve"> (rewizja WRF),</w:t>
      </w:r>
    </w:p>
    <w:p w:rsidR="00B81BF1" w:rsidRPr="009C2EB4" w:rsidRDefault="00B81BF1" w:rsidP="00B81BF1">
      <w:pPr>
        <w:pStyle w:val="NormalHanging12a"/>
        <w:rPr>
          <w:szCs w:val="24"/>
        </w:rPr>
      </w:pPr>
      <w:r w:rsidRPr="009C2EB4">
        <w:t>–</w:t>
      </w:r>
      <w:r w:rsidRPr="009C2EB4">
        <w:tab/>
        <w:t>uwzględniając wniosek Komisji z dnia 16 maja 2022 r. dotyczący rozporządzenia Parlamentu Europejskiego i Rady w sprawie zasad finansowych mających zastosowanie do budżetu ogólnego Unii</w:t>
      </w:r>
      <w:r w:rsidRPr="009C2EB4">
        <w:rPr>
          <w:rStyle w:val="FootnoteReference"/>
          <w:szCs w:val="24"/>
        </w:rPr>
        <w:footnoteReference w:id="9"/>
      </w:r>
      <w:r w:rsidRPr="009C2EB4">
        <w:t>,</w:t>
      </w:r>
    </w:p>
    <w:p w:rsidR="00B81BF1" w:rsidRPr="009C2EB4" w:rsidRDefault="00B81BF1" w:rsidP="00B81BF1">
      <w:pPr>
        <w:pStyle w:val="NormalHanging12a"/>
        <w:rPr>
          <w:szCs w:val="24"/>
        </w:rPr>
      </w:pPr>
      <w:r w:rsidRPr="009C2EB4">
        <w:t>–</w:t>
      </w:r>
      <w:r w:rsidRPr="009C2EB4">
        <w:tab/>
        <w:t xml:space="preserve">uwzględniając rozporządzenie Parlamentu Europejskiego i Rady (UE, </w:t>
      </w:r>
      <w:proofErr w:type="spellStart"/>
      <w:r w:rsidRPr="009C2EB4">
        <w:t>Euratom</w:t>
      </w:r>
      <w:proofErr w:type="spellEnd"/>
      <w:r w:rsidRPr="009C2EB4">
        <w:t>) nr 1023/2013 z dnia 22 października 2013 r. zmieniające regulamin pracowniczy urzędników Unii Europejskiej i warunki zatrudnienia innych pracowników Unii Europejskiej</w:t>
      </w:r>
      <w:r w:rsidRPr="009C2EB4">
        <w:rPr>
          <w:rStyle w:val="FootnoteReference"/>
          <w:szCs w:val="24"/>
        </w:rPr>
        <w:footnoteReference w:id="10"/>
      </w:r>
      <w:r w:rsidRPr="009C2EB4">
        <w:t xml:space="preserve">,  </w:t>
      </w:r>
    </w:p>
    <w:p w:rsidR="00B81BF1" w:rsidRPr="009C2EB4" w:rsidRDefault="00B81BF1" w:rsidP="00B81BF1">
      <w:pPr>
        <w:pStyle w:val="NormalHanging12a"/>
        <w:rPr>
          <w:szCs w:val="24"/>
        </w:rPr>
      </w:pPr>
      <w:r w:rsidRPr="009C2EB4">
        <w:t>–</w:t>
      </w:r>
      <w:r w:rsidRPr="009C2EB4">
        <w:tab/>
        <w:t>uwzględniając swoją rezolucję z dnia 20 kwietnia 2023 r. w sprawie preliminarza dochodów i wydatków Parlamentu Europejskiego na rok budżetowy 2024</w:t>
      </w:r>
      <w:r w:rsidRPr="009C2EB4">
        <w:rPr>
          <w:rStyle w:val="FootnoteReference"/>
          <w:szCs w:val="24"/>
        </w:rPr>
        <w:footnoteReference w:id="11"/>
      </w:r>
      <w:r w:rsidRPr="009C2EB4">
        <w:t xml:space="preserve">, </w:t>
      </w:r>
    </w:p>
    <w:p w:rsidR="00B81BF1" w:rsidRPr="009C2EB4" w:rsidRDefault="00B81BF1" w:rsidP="00B81BF1">
      <w:pPr>
        <w:pStyle w:val="NormalHanging12a"/>
        <w:rPr>
          <w:szCs w:val="24"/>
        </w:rPr>
      </w:pPr>
      <w:r w:rsidRPr="009C2EB4">
        <w:t>–</w:t>
      </w:r>
      <w:r w:rsidRPr="009C2EB4">
        <w:tab/>
        <w:t>uwzględniając swoją rezolucję z dnia 18 października 2023 r. w sprawie stanowiska Rady dotyczącego projektu budżetu ogólnego Unii Europejskiej na rok budżetowy 2024</w:t>
      </w:r>
      <w:r w:rsidRPr="009C2EB4">
        <w:rPr>
          <w:rStyle w:val="FootnoteReference"/>
          <w:szCs w:val="24"/>
        </w:rPr>
        <w:footnoteReference w:id="12"/>
      </w:r>
      <w:r w:rsidRPr="009C2EB4">
        <w:t xml:space="preserve">, </w:t>
      </w:r>
    </w:p>
    <w:p w:rsidR="00B81BF1" w:rsidRPr="009C2EB4" w:rsidRDefault="00B81BF1" w:rsidP="00B81BF1">
      <w:pPr>
        <w:pStyle w:val="NormalHanging12a"/>
        <w:rPr>
          <w:szCs w:val="24"/>
        </w:rPr>
      </w:pPr>
      <w:r w:rsidRPr="009C2EB4">
        <w:t>–</w:t>
      </w:r>
      <w:r w:rsidRPr="009C2EB4">
        <w:tab/>
        <w:t>uwzględniając budżet ogólny Unii Europejskiej na rok budżetowy 2024</w:t>
      </w:r>
      <w:r w:rsidRPr="009C2EB4">
        <w:rPr>
          <w:rStyle w:val="FootnoteReference"/>
          <w:szCs w:val="24"/>
        </w:rPr>
        <w:footnoteReference w:id="13"/>
      </w:r>
      <w:r w:rsidRPr="009C2EB4">
        <w:t xml:space="preserve"> i wspólne oświadczenia uzgodnione między Parlamentem, Radą i Komisją, które zostały do niego załączone, </w:t>
      </w:r>
    </w:p>
    <w:p w:rsidR="00B81BF1" w:rsidRPr="009C2EB4" w:rsidRDefault="00B81BF1" w:rsidP="00B81BF1">
      <w:pPr>
        <w:pStyle w:val="NormalHanging12a"/>
        <w:rPr>
          <w:szCs w:val="24"/>
        </w:rPr>
      </w:pPr>
      <w:r w:rsidRPr="009C2EB4">
        <w:t>–</w:t>
      </w:r>
      <w:r w:rsidRPr="009C2EB4">
        <w:tab/>
        <w:t>uwzględniając sprawozdanie sekretarza generalnego dla Prezydium dotyczące sporządzenia wstępnego projektu preliminarza budżetowego Parlamentu na rok budżetowy 2025,</w:t>
      </w:r>
    </w:p>
    <w:p w:rsidR="00B81BF1" w:rsidRPr="009C2EB4" w:rsidRDefault="00B81BF1" w:rsidP="00B81BF1">
      <w:pPr>
        <w:pStyle w:val="NormalHanging12a"/>
        <w:rPr>
          <w:szCs w:val="24"/>
        </w:rPr>
      </w:pPr>
      <w:r w:rsidRPr="009C2EB4">
        <w:t>–</w:t>
      </w:r>
      <w:r w:rsidRPr="009C2EB4">
        <w:tab/>
        <w:t>uwzględniając wstępny projekt preliminarza budżetowego sporządzony przez Prezydium w dniu 11 marca 2024 r. zgodnie z art. 25 ust. 7 oraz art. 102 ust. 1 Regulaminu,</w:t>
      </w:r>
    </w:p>
    <w:p w:rsidR="00B81BF1" w:rsidRPr="009C2EB4" w:rsidRDefault="00B81BF1" w:rsidP="00B81BF1">
      <w:pPr>
        <w:pStyle w:val="NormalHanging12a"/>
        <w:rPr>
          <w:szCs w:val="24"/>
        </w:rPr>
      </w:pPr>
      <w:r w:rsidRPr="009C2EB4">
        <w:t>–</w:t>
      </w:r>
      <w:r w:rsidRPr="009C2EB4">
        <w:tab/>
        <w:t>uwzględniając projekt preliminarza budżetowego sporządzony przez Komisję Budżetową zgodnie z art. 102 ust. 2 Regulaminu,</w:t>
      </w:r>
    </w:p>
    <w:p w:rsidR="00B81BF1" w:rsidRPr="009C2EB4" w:rsidRDefault="00B81BF1" w:rsidP="00B81BF1">
      <w:pPr>
        <w:pStyle w:val="NormalHanging12a"/>
        <w:rPr>
          <w:szCs w:val="24"/>
        </w:rPr>
      </w:pPr>
      <w:r w:rsidRPr="009C2EB4">
        <w:lastRenderedPageBreak/>
        <w:t>–</w:t>
      </w:r>
      <w:r w:rsidRPr="009C2EB4">
        <w:tab/>
        <w:t>uwzględniając art. 102 Regulaminu,</w:t>
      </w:r>
    </w:p>
    <w:p w:rsidR="00B81BF1" w:rsidRPr="009C2EB4" w:rsidRDefault="00B81BF1" w:rsidP="00B81BF1">
      <w:pPr>
        <w:pStyle w:val="NormalHanging12a"/>
        <w:rPr>
          <w:szCs w:val="24"/>
        </w:rPr>
      </w:pPr>
      <w:r w:rsidRPr="009C2EB4">
        <w:t>–</w:t>
      </w:r>
      <w:r w:rsidRPr="009C2EB4">
        <w:tab/>
        <w:t>uwzględniając sprawozdanie Komisji Budżetowej (A9-0180/2024),</w:t>
      </w:r>
    </w:p>
    <w:p w:rsidR="00B81BF1" w:rsidRPr="009C2EB4" w:rsidRDefault="00B81BF1" w:rsidP="00B81BF1">
      <w:pPr>
        <w:pStyle w:val="Action"/>
        <w:tabs>
          <w:tab w:val="clear" w:pos="357"/>
        </w:tabs>
        <w:spacing w:after="200"/>
        <w:ind w:left="567" w:hanging="567"/>
        <w:outlineLvl w:val="0"/>
        <w:rPr>
          <w:szCs w:val="24"/>
        </w:rPr>
      </w:pPr>
      <w:r w:rsidRPr="009C2EB4">
        <w:t>A.</w:t>
      </w:r>
      <w:r w:rsidRPr="009C2EB4">
        <w:tab/>
      </w:r>
      <w:proofErr w:type="gramStart"/>
      <w:r w:rsidRPr="009C2EB4">
        <w:t>mając</w:t>
      </w:r>
      <w:proofErr w:type="gramEnd"/>
      <w:r w:rsidRPr="009C2EB4">
        <w:t xml:space="preserve"> na uwadze, że budżet zaproponowany 26 lutego 2024 r. przez sekretarza generalnego we wstępnym projekcie preliminarza budżetowego Parlamentu na 2025 r. wynosi 2 507 233 329 EUR, co oznacza wzrost o 5,21 % lub 124 132 017 EUR w porównaniu z budżetem na 2024 r.; </w:t>
      </w:r>
    </w:p>
    <w:p w:rsidR="00B81BF1" w:rsidRPr="009C2EB4" w:rsidRDefault="00B81BF1" w:rsidP="00B81BF1">
      <w:pPr>
        <w:pStyle w:val="Action"/>
        <w:tabs>
          <w:tab w:val="clear" w:pos="357"/>
        </w:tabs>
        <w:spacing w:after="200"/>
        <w:ind w:left="567" w:hanging="567"/>
        <w:outlineLvl w:val="0"/>
        <w:rPr>
          <w:szCs w:val="24"/>
        </w:rPr>
      </w:pPr>
      <w:r w:rsidRPr="009C2EB4">
        <w:t>B.</w:t>
      </w:r>
      <w:r w:rsidRPr="009C2EB4">
        <w:tab/>
        <w:t>mając na uwadze, że w swojej (śródokresowej) prognozie z zimy 2024 r. Komisja przewiduje, że stopa inflacji w UE wyniesie 3 % w 2024 r. i 2,5 % w 2025 r.; mając na uwadze, że poziom wydatków w dziale 7 WRF na lata 2021–2027 opiera się na rocznym wzroście o 2 %;</w:t>
      </w:r>
    </w:p>
    <w:p w:rsidR="00B81BF1" w:rsidRPr="009C2EB4" w:rsidRDefault="00B81BF1" w:rsidP="00B81BF1">
      <w:pPr>
        <w:pStyle w:val="Action"/>
        <w:tabs>
          <w:tab w:val="clear" w:pos="357"/>
        </w:tabs>
        <w:spacing w:after="200"/>
        <w:ind w:left="567" w:hanging="567"/>
        <w:outlineLvl w:val="0"/>
        <w:rPr>
          <w:szCs w:val="24"/>
        </w:rPr>
      </w:pPr>
      <w:r w:rsidRPr="009C2EB4">
        <w:t>C.</w:t>
      </w:r>
      <w:r w:rsidRPr="009C2EB4">
        <w:tab/>
      </w:r>
      <w:proofErr w:type="gramStart"/>
      <w:r w:rsidRPr="009C2EB4">
        <w:t>mając</w:t>
      </w:r>
      <w:proofErr w:type="gramEnd"/>
      <w:r w:rsidRPr="009C2EB4">
        <w:t xml:space="preserve"> na uwadze, że wiarygodność Parlamentu zależy od jego zdolności do realizacji podstawowych zadań budżetowych, ustawodawczych i kontrolnych na najwyższym poziomie, przy jednoczesnym dawaniu przykładu innym instytucjom Unii poprzez ostrożne i skuteczne planowanie i realizowanie wydatków oraz odzwierciedlanie panujących realiów gospodarczych; </w:t>
      </w:r>
    </w:p>
    <w:p w:rsidR="00B81BF1" w:rsidRPr="009C2EB4" w:rsidRDefault="00B81BF1" w:rsidP="00B81BF1">
      <w:pPr>
        <w:pStyle w:val="Action"/>
        <w:tabs>
          <w:tab w:val="clear" w:pos="357"/>
        </w:tabs>
        <w:spacing w:after="200"/>
        <w:ind w:left="567" w:hanging="567"/>
        <w:outlineLvl w:val="0"/>
        <w:rPr>
          <w:szCs w:val="24"/>
        </w:rPr>
      </w:pPr>
      <w:r w:rsidRPr="009C2EB4">
        <w:t>D.</w:t>
      </w:r>
      <w:r w:rsidRPr="009C2EB4">
        <w:tab/>
      </w:r>
      <w:proofErr w:type="gramStart"/>
      <w:r w:rsidRPr="009C2EB4">
        <w:t>mając</w:t>
      </w:r>
      <w:proofErr w:type="gramEnd"/>
      <w:r w:rsidRPr="009C2EB4">
        <w:t xml:space="preserve"> na uwadze, że rok 2025 będzie pierwszym pełnym rokiem po wyborach i tym samym będzie oznaczał powrót do normalnego tempa podstawowej działalności politycznej i działalności w zakresie wsparcia;</w:t>
      </w:r>
    </w:p>
    <w:p w:rsidR="00B81BF1" w:rsidRPr="009C2EB4" w:rsidRDefault="00B81BF1" w:rsidP="00B81BF1">
      <w:pPr>
        <w:pStyle w:val="Action"/>
        <w:tabs>
          <w:tab w:val="clear" w:pos="357"/>
        </w:tabs>
        <w:spacing w:after="200"/>
        <w:ind w:left="567" w:hanging="567"/>
        <w:outlineLvl w:val="0"/>
        <w:rPr>
          <w:szCs w:val="24"/>
        </w:rPr>
      </w:pPr>
      <w:r w:rsidRPr="009C2EB4">
        <w:t xml:space="preserve">E. </w:t>
      </w:r>
      <w:r w:rsidRPr="009C2EB4">
        <w:tab/>
      </w:r>
      <w:proofErr w:type="gramStart"/>
      <w:r w:rsidRPr="009C2EB4">
        <w:t>mając</w:t>
      </w:r>
      <w:proofErr w:type="gramEnd"/>
      <w:r w:rsidRPr="009C2EB4">
        <w:t xml:space="preserve"> na uwadze, że Parlament zakończył proces głębokich reform rozpoczęty w zeszłym roku, aby z jednej strony dokonać przeglądu swoich wewnętrznych metod pracy z myślą o zwiększeniu skuteczności prac parlamentarnych, a z drugiej strony aby wzmocnić swoją rolę instytucjonalną i umożliwić lepsze funkcjonowanie Parlamentu jako </w:t>
      </w:r>
      <w:proofErr w:type="spellStart"/>
      <w:r w:rsidRPr="009C2EB4">
        <w:t>współprawodawcy</w:t>
      </w:r>
      <w:proofErr w:type="spellEnd"/>
      <w:r w:rsidRPr="009C2EB4">
        <w:t>, organu władzy budżetowej i organu udzielającego absolutorium, a także aby zwiększyć swoją zdolność do sprawowania demokratycznego nadzoru;</w:t>
      </w:r>
    </w:p>
    <w:p w:rsidR="00B81BF1" w:rsidRPr="009C2EB4" w:rsidRDefault="00B81BF1" w:rsidP="00B81BF1">
      <w:pPr>
        <w:tabs>
          <w:tab w:val="left" w:pos="567"/>
        </w:tabs>
        <w:spacing w:after="240"/>
        <w:ind w:left="567" w:hanging="567"/>
        <w:rPr>
          <w:b/>
          <w:bCs/>
          <w:i/>
          <w:iCs/>
          <w:szCs w:val="24"/>
        </w:rPr>
      </w:pPr>
      <w:r w:rsidRPr="009C2EB4">
        <w:rPr>
          <w:b/>
          <w:i/>
        </w:rPr>
        <w:t>Ramy ogólne</w:t>
      </w:r>
    </w:p>
    <w:p w:rsidR="00B81BF1" w:rsidRPr="009C2EB4" w:rsidRDefault="00B81BF1" w:rsidP="00B81BF1">
      <w:pPr>
        <w:pStyle w:val="action0"/>
        <w:spacing w:after="200"/>
        <w:ind w:left="567" w:hanging="567"/>
        <w:rPr>
          <w:bCs/>
          <w:iCs/>
        </w:rPr>
      </w:pPr>
      <w:r w:rsidRPr="009C2EB4">
        <w:t>1.</w:t>
      </w:r>
      <w:r w:rsidRPr="009C2EB4">
        <w:tab/>
      </w:r>
      <w:proofErr w:type="gramStart"/>
      <w:r w:rsidRPr="009C2EB4">
        <w:t>jest</w:t>
      </w:r>
      <w:proofErr w:type="gramEnd"/>
      <w:r w:rsidRPr="009C2EB4">
        <w:t xml:space="preserve"> zaniepokojony sytuacją działu 7 w obecnych WRF; przypomina, że ograniczenia są wynikiem cięć dokonanych przez Radę w stosunku do już bardzo niskiego poziomu środków w pierwotnym wniosku Komisji przy uzgadnianiu obecnych WRF na lata 2021–2027; wyraża ubolewanie z powodu sprzeciwu Rady wobec propozycji Komisji dotyczącej podwyższenia od 2024 r. pułapu działu 7 w ramach rewizji WRF; zwraca uwagę, że podczas rewizji WRF nie rozwiązano kwestii pułapu działu 7; podkreśla, że przewidywany ujemny margines na 2025 r. zakłada wykorzystanie w tym celu instrumentów szczególnych w dziale 7;</w:t>
      </w:r>
    </w:p>
    <w:p w:rsidR="00B81BF1" w:rsidRPr="009C2EB4" w:rsidRDefault="00B81BF1" w:rsidP="00B81BF1">
      <w:pPr>
        <w:pStyle w:val="action0"/>
        <w:spacing w:after="200"/>
        <w:ind w:left="567" w:hanging="567"/>
        <w:rPr>
          <w:bCs/>
          <w:iCs/>
        </w:rPr>
      </w:pPr>
      <w:r w:rsidRPr="009C2EB4">
        <w:t>2.</w:t>
      </w:r>
      <w:r w:rsidRPr="009C2EB4">
        <w:tab/>
      </w:r>
      <w:proofErr w:type="gramStart"/>
      <w:r w:rsidRPr="009C2EB4">
        <w:t>przypomina</w:t>
      </w:r>
      <w:proofErr w:type="gramEnd"/>
      <w:r w:rsidRPr="009C2EB4">
        <w:t>, że prawie dwie trzecie budżetu jest ustalane przez zobowiązania statutowe; przypomina, że według obecnych prognoz Komisji indeksacja wynagrodzeń, zgodnie z regulaminem pracowniczym i Statutem posła do Parlamentu Europejskiego, wyniesie odpowiednio 5,3 % na lipiec 2024 r., 0,6 % na kwiecień 2025 r. i 3,7 % na lipiec 2025 r.; zauważa, że budżet na 2024 r. przewiduje indeksację wynagrodzeń w wysokości 3,4 % od lipca 2024 r.; zauważa, że Komisja Budżetowa będzie monitorować oficjalną prognozowaną ewolucję indeksacji wynagrodzeń;</w:t>
      </w:r>
    </w:p>
    <w:p w:rsidR="00B81BF1" w:rsidRPr="009C2EB4" w:rsidRDefault="00B81BF1" w:rsidP="00B81BF1">
      <w:pPr>
        <w:pStyle w:val="action0"/>
        <w:spacing w:after="200"/>
        <w:ind w:left="567" w:hanging="567"/>
        <w:rPr>
          <w:bCs/>
          <w:iCs/>
        </w:rPr>
      </w:pPr>
      <w:r w:rsidRPr="009C2EB4">
        <w:t>3.</w:t>
      </w:r>
      <w:r w:rsidRPr="009C2EB4">
        <w:tab/>
      </w:r>
      <w:proofErr w:type="gramStart"/>
      <w:r w:rsidRPr="009C2EB4">
        <w:t>zatwierdza</w:t>
      </w:r>
      <w:proofErr w:type="gramEnd"/>
      <w:r w:rsidRPr="009C2EB4">
        <w:t xml:space="preserve"> porozumienie osiągnięte 9 kwietnia 2024 r. w ramach procedury pojednawczej między Prezydium a Komisją Budżetową, zakładające zwiększenie </w:t>
      </w:r>
      <w:r w:rsidRPr="009C2EB4">
        <w:lastRenderedPageBreak/>
        <w:t>budżetu o 4,87 % w stosunku do 2024 r., co odpowiada ogólnemu poziomowi środków w preliminarzu w wysokości 2 499 233 329 EUR na 2025 r., oraz odpowiednie zmniejszenie środków zaproponowanych w następujących liniach budżetowych o łączną kwotę 11 000 000 EUR:</w:t>
      </w:r>
    </w:p>
    <w:p w:rsidR="00B81BF1" w:rsidRPr="009C2EB4" w:rsidRDefault="00B81BF1" w:rsidP="00B81BF1">
      <w:pPr>
        <w:pStyle w:val="action0"/>
        <w:spacing w:after="200"/>
        <w:ind w:left="567" w:firstLine="0"/>
      </w:pPr>
      <w:r w:rsidRPr="009C2EB4">
        <w:t xml:space="preserve">2 0 0 0 — Czynsze, 2 0 0 7 — Budowa budynków i zagospodarowanie pomieszczeń służbowych, 2 3 9 0 — Działalność EMAS i działania na rzecz </w:t>
      </w:r>
      <w:proofErr w:type="spellStart"/>
      <w:r w:rsidRPr="009C2EB4">
        <w:t>zrównoważoności</w:t>
      </w:r>
      <w:proofErr w:type="spellEnd"/>
      <w:r w:rsidRPr="009C2EB4">
        <w:t>, w tym ich propagowanie, oraz program kompensacji emisji CO</w:t>
      </w:r>
      <w:r w:rsidRPr="009C2EB4">
        <w:rPr>
          <w:vertAlign w:val="subscript"/>
        </w:rPr>
        <w:t>2</w:t>
      </w:r>
      <w:r w:rsidRPr="009C2EB4">
        <w:t xml:space="preserve"> Parlamentu Europejskiego, 3 2 4 2 — Wydatki na informację publiczną oraz udział w imprezach i akcjach o charakterze publicznym, 3 2 4 3 — Centra dla zwiedzających Parlamentu Europejskiego, 1 0 1 — Rezerwa na nieprzewidziane wydatki;</w:t>
      </w:r>
    </w:p>
    <w:p w:rsidR="00B81BF1" w:rsidRPr="009C2EB4" w:rsidRDefault="00B81BF1" w:rsidP="00B81BF1">
      <w:pPr>
        <w:pStyle w:val="action0"/>
        <w:spacing w:after="200"/>
        <w:ind w:left="567" w:firstLine="0"/>
      </w:pPr>
      <w:proofErr w:type="gramStart"/>
      <w:r w:rsidRPr="009C2EB4">
        <w:t>ponadto</w:t>
      </w:r>
      <w:proofErr w:type="gramEnd"/>
      <w:r w:rsidRPr="009C2EB4">
        <w:t xml:space="preserve"> postanawia zwiększyć poziom wydatków we wstępnym projekcie preliminarza budżetowego zatwierdzonym przez Prezydium 11 marca 2024 r. o 3 000 000 EUR oraz odpowiednio zwiększyć środki zaproponowane w następujących liniach budżetowych:</w:t>
      </w:r>
    </w:p>
    <w:p w:rsidR="00B81BF1" w:rsidRPr="009C2EB4" w:rsidRDefault="00B81BF1" w:rsidP="00B81BF1">
      <w:pPr>
        <w:pStyle w:val="action0"/>
        <w:spacing w:after="200"/>
        <w:ind w:left="567" w:firstLine="0"/>
      </w:pPr>
      <w:r w:rsidRPr="009C2EB4">
        <w:t xml:space="preserve">3 2 4 4 — Organizacja pobytu i przyjmowanie grup odwiedzających, program </w:t>
      </w:r>
      <w:proofErr w:type="spellStart"/>
      <w:r w:rsidRPr="009C2EB4">
        <w:t>Euroscola</w:t>
      </w:r>
      <w:proofErr w:type="spellEnd"/>
      <w:r w:rsidRPr="009C2EB4">
        <w:t xml:space="preserve"> i zapraszanie przedstawicieli środowisk opiniotwórczych z państw trzecich; 4 0 3 — Finansowanie europejskich fundacji politycznych;</w:t>
      </w:r>
    </w:p>
    <w:p w:rsidR="00B81BF1" w:rsidRPr="009C2EB4" w:rsidRDefault="00B81BF1" w:rsidP="00B81BF1">
      <w:pPr>
        <w:pStyle w:val="action0"/>
        <w:spacing w:after="200"/>
        <w:ind w:left="567" w:hanging="567"/>
      </w:pPr>
      <w:r w:rsidRPr="009C2EB4">
        <w:t>4.</w:t>
      </w:r>
      <w:r w:rsidRPr="009C2EB4">
        <w:tab/>
      </w:r>
      <w:proofErr w:type="gramStart"/>
      <w:r w:rsidRPr="009C2EB4">
        <w:t>zauważa</w:t>
      </w:r>
      <w:proofErr w:type="gramEnd"/>
      <w:r w:rsidRPr="009C2EB4">
        <w:t xml:space="preserve">, że w ramach wzrostu o 116 mln EUR w porównaniu z budżetem na 2024 r. wzrost o 98 mln EUR jest związany z zobowiązaniami statutowymi, głównie z aktualizacją wynagrodzeń pracowników (54,7 mln EUR) i z wydatkami na pomoc parlamentarną (33,2 mln EUR); zauważa, że wzrost wydatków </w:t>
      </w:r>
      <w:proofErr w:type="spellStart"/>
      <w:r w:rsidRPr="009C2EB4">
        <w:t>niestatutowych</w:t>
      </w:r>
      <w:proofErr w:type="spellEnd"/>
      <w:r w:rsidRPr="009C2EB4">
        <w:t xml:space="preserve"> w latach 2024–2025 nie przekracza 2 %;</w:t>
      </w:r>
    </w:p>
    <w:p w:rsidR="00B81BF1" w:rsidRPr="009C2EB4" w:rsidRDefault="00B81BF1" w:rsidP="00B81BF1">
      <w:pPr>
        <w:pStyle w:val="action0"/>
        <w:spacing w:after="200"/>
        <w:ind w:left="567" w:hanging="567"/>
      </w:pPr>
      <w:r w:rsidRPr="009C2EB4">
        <w:t xml:space="preserve">5. </w:t>
      </w:r>
      <w:r w:rsidRPr="009C2EB4">
        <w:tab/>
      </w:r>
      <w:proofErr w:type="gramStart"/>
      <w:r w:rsidRPr="009C2EB4">
        <w:t>zauważa</w:t>
      </w:r>
      <w:proofErr w:type="gramEnd"/>
      <w:r w:rsidRPr="009C2EB4">
        <w:t>, że Parlament nie wnioskuje o dodatkowe stanowiska na 2025 r.;</w:t>
      </w:r>
    </w:p>
    <w:p w:rsidR="00B81BF1" w:rsidRPr="009C2EB4" w:rsidRDefault="00B81BF1" w:rsidP="00B81BF1">
      <w:pPr>
        <w:pStyle w:val="action0"/>
        <w:spacing w:after="200"/>
        <w:ind w:left="567" w:hanging="567"/>
      </w:pPr>
      <w:r w:rsidRPr="009C2EB4">
        <w:t xml:space="preserve">6. </w:t>
      </w:r>
      <w:r w:rsidRPr="009C2EB4">
        <w:tab/>
      </w:r>
      <w:proofErr w:type="gramStart"/>
      <w:r w:rsidRPr="009C2EB4">
        <w:t>zauważa</w:t>
      </w:r>
      <w:proofErr w:type="gramEnd"/>
      <w:r w:rsidRPr="009C2EB4">
        <w:t>, że 98 stałych stanowisk utworzonych w budżecie na 2023 r. w celu ułatwienia stosowania art. 29 ust. 4 regulaminu pracowniczego usunięto z planu zatrudnienia na 2025 r.;</w:t>
      </w:r>
    </w:p>
    <w:p w:rsidR="00B81BF1" w:rsidRPr="009C2EB4" w:rsidRDefault="00B81BF1" w:rsidP="00B81BF1">
      <w:pPr>
        <w:pStyle w:val="Action"/>
        <w:spacing w:after="200"/>
        <w:outlineLvl w:val="0"/>
        <w:rPr>
          <w:b/>
          <w:i/>
          <w:szCs w:val="24"/>
        </w:rPr>
      </w:pPr>
      <w:r w:rsidRPr="009C2EB4">
        <w:rPr>
          <w:b/>
          <w:i/>
        </w:rPr>
        <w:t xml:space="preserve">Grupy odwiedzających i Europa </w:t>
      </w:r>
      <w:proofErr w:type="spellStart"/>
      <w:r w:rsidRPr="009C2EB4">
        <w:rPr>
          <w:b/>
          <w:i/>
        </w:rPr>
        <w:t>Experience</w:t>
      </w:r>
      <w:proofErr w:type="spellEnd"/>
    </w:p>
    <w:p w:rsidR="00B81BF1" w:rsidRPr="009C2EB4" w:rsidRDefault="00B81BF1" w:rsidP="00B81BF1">
      <w:pPr>
        <w:pStyle w:val="action0"/>
        <w:spacing w:after="200"/>
        <w:ind w:left="567" w:hanging="567"/>
      </w:pPr>
      <w:r w:rsidRPr="009C2EB4">
        <w:t>7.</w:t>
      </w:r>
      <w:r w:rsidRPr="009C2EB4">
        <w:tab/>
      </w:r>
      <w:proofErr w:type="gramStart"/>
      <w:r w:rsidRPr="009C2EB4">
        <w:t>przypomina</w:t>
      </w:r>
      <w:proofErr w:type="gramEnd"/>
      <w:r w:rsidRPr="009C2EB4">
        <w:t>, że grupy odwiedzających we wszystkich miejscach pracy Parlamentu stanowią ważne narzędzie umożliwiające posłom nawiązywanie kontaktów z wyborcami i przedstawianie wyborcom ich pracy parlamentarnej; podkreśla, że grupy odwiedzających przyczyniają się do promowania roli Parlamentu wśród wyborców w całej Unii;</w:t>
      </w:r>
    </w:p>
    <w:p w:rsidR="00B81BF1" w:rsidRPr="009C2EB4" w:rsidRDefault="00B81BF1" w:rsidP="00B81BF1">
      <w:pPr>
        <w:pStyle w:val="action0"/>
        <w:spacing w:after="200"/>
        <w:ind w:left="567" w:hanging="567"/>
      </w:pPr>
      <w:r w:rsidRPr="009C2EB4">
        <w:t>8.</w:t>
      </w:r>
      <w:r w:rsidRPr="009C2EB4">
        <w:tab/>
      </w:r>
      <w:proofErr w:type="gramStart"/>
      <w:r w:rsidRPr="009C2EB4">
        <w:t>z</w:t>
      </w:r>
      <w:proofErr w:type="gramEnd"/>
      <w:r w:rsidRPr="009C2EB4">
        <w:t xml:space="preserve"> zaniepokojeniem odnotowuje rosnące trudności związane z organizacją takich wizyt ze względu na ograniczenia finansowe istniejącego budżetu, zwłaszcza dla posłów z państw członkowskich oddalonych geograficznie od Brukseli i Strasburga; apeluje o zapewnienie wystarczających środków finansowych na pokrycie wydatków związanych z podróżami i zakwaterowaniem, z uwzględnieniem stóp inflacji i cen, zarówno w krajach pochodzenia grup odwiedzających, jak i w Brukseli i Strasburgu; uważa, że aby uwzględnić obecne warunki, konieczne jest zwiększenie przydziału środków na osobę o 10 %; wzywa sekretarza generalnego do jak najszybszego zaproponowania kwestorom podwyższenia pułapów pokrywanych kosztów, aby dalej i lepiej umożliwiać posłom przyjmowanie grup odwiedzających w Parlamencie; </w:t>
      </w:r>
    </w:p>
    <w:p w:rsidR="00B81BF1" w:rsidRPr="009C2EB4" w:rsidRDefault="00B81BF1" w:rsidP="00B81BF1">
      <w:pPr>
        <w:pStyle w:val="action0"/>
        <w:spacing w:after="200"/>
        <w:ind w:left="567" w:hanging="567"/>
      </w:pPr>
      <w:r w:rsidRPr="009C2EB4">
        <w:t>9.</w:t>
      </w:r>
      <w:r w:rsidRPr="009C2EB4">
        <w:tab/>
      </w:r>
      <w:proofErr w:type="gramStart"/>
      <w:r w:rsidRPr="009C2EB4">
        <w:t>z</w:t>
      </w:r>
      <w:proofErr w:type="gramEnd"/>
      <w:r w:rsidRPr="009C2EB4">
        <w:t xml:space="preserve"> zaniepokojeniem odnotowuje przepisy wewnętrzne dotyczące grup odwiedzających posłów do PE, ponieważ zgodnie z tymi przepisami w pewnych okolicznościach 30 % </w:t>
      </w:r>
      <w:r w:rsidRPr="009C2EB4">
        <w:lastRenderedPageBreak/>
        <w:t>kosztów początkowych muszą ponosić akredytowani asystenci parlamentarni; zwraca uwagę na niewykonalność tych przepisów w praktyce i na obciążenie finansowe, jakie stanowią one dla akredytowanych asystentów parlamentarnych; wzywa Prezydium do przeglądu i aktualizacji obowiązujących przepisów dotyczących wizyt, aby przezwyciężyć trudności w ich planowaniu i organizacji;</w:t>
      </w:r>
    </w:p>
    <w:p w:rsidR="00B81BF1" w:rsidRPr="009C2EB4" w:rsidRDefault="00B81BF1" w:rsidP="00B81BF1">
      <w:pPr>
        <w:pStyle w:val="NormalHanging12a"/>
        <w:spacing w:after="200"/>
        <w:rPr>
          <w:szCs w:val="24"/>
        </w:rPr>
      </w:pPr>
      <w:r w:rsidRPr="009C2EB4">
        <w:t>10.</w:t>
      </w:r>
      <w:r w:rsidRPr="009C2EB4">
        <w:tab/>
      </w:r>
      <w:proofErr w:type="gramStart"/>
      <w:r w:rsidRPr="009C2EB4">
        <w:t>przypomina</w:t>
      </w:r>
      <w:proofErr w:type="gramEnd"/>
      <w:r w:rsidRPr="009C2EB4">
        <w:t xml:space="preserve"> decyzję Prezydium z 25 listopada 2019 r. o utworzeniu centrów Europa </w:t>
      </w:r>
      <w:proofErr w:type="spellStart"/>
      <w:r w:rsidRPr="009C2EB4">
        <w:t>Experience</w:t>
      </w:r>
      <w:proofErr w:type="spellEnd"/>
      <w:r w:rsidRPr="009C2EB4">
        <w:t xml:space="preserve"> we wszystkich państwach członkowskich do końca 2024 r.; ubolewa nad opóźnieniami odnotowywanymi w tworzeniu centrów Europa </w:t>
      </w:r>
      <w:proofErr w:type="spellStart"/>
      <w:r w:rsidRPr="009C2EB4">
        <w:t>Experience</w:t>
      </w:r>
      <w:proofErr w:type="spellEnd"/>
      <w:r w:rsidRPr="009C2EB4">
        <w:t xml:space="preserve"> we wszystkich państwach członkowskich przed wyborami do Parlamentu w 2024 r. i zauważa, że obecnie działa ich tylko 12; uznaje, że do tych opóźnień przyczyniło się wiele czynników zewnętrznych, w tym niestabilność rynków nieruchomości;</w:t>
      </w:r>
    </w:p>
    <w:p w:rsidR="00B81BF1" w:rsidRPr="009C2EB4" w:rsidRDefault="00B81BF1" w:rsidP="00B81BF1">
      <w:pPr>
        <w:pStyle w:val="action0"/>
        <w:spacing w:after="200"/>
        <w:ind w:left="567" w:hanging="567"/>
      </w:pPr>
      <w:r w:rsidRPr="009C2EB4">
        <w:t>11.</w:t>
      </w:r>
      <w:r w:rsidRPr="009C2EB4">
        <w:tab/>
      </w:r>
      <w:proofErr w:type="gramStart"/>
      <w:r w:rsidRPr="009C2EB4">
        <w:t>zauważa</w:t>
      </w:r>
      <w:proofErr w:type="gramEnd"/>
      <w:r w:rsidRPr="009C2EB4">
        <w:t xml:space="preserve">, że w 2025 r. planuje się otwarcie pięciu centrów (w Atenach, Zagrzebiu, Hadze, Sofii i Budapeszcie); wzywa do jak najszybszego utworzenia centrów Europa </w:t>
      </w:r>
      <w:proofErr w:type="spellStart"/>
      <w:r w:rsidRPr="009C2EB4">
        <w:t>Experience</w:t>
      </w:r>
      <w:proofErr w:type="spellEnd"/>
      <w:r w:rsidRPr="009C2EB4">
        <w:t xml:space="preserve"> we wszystkich państwach członkowskich; przypomina, że centra Europa </w:t>
      </w:r>
      <w:proofErr w:type="spellStart"/>
      <w:r w:rsidRPr="009C2EB4">
        <w:t>Experience</w:t>
      </w:r>
      <w:proofErr w:type="spellEnd"/>
      <w:r w:rsidRPr="009C2EB4">
        <w:t xml:space="preserve"> powinny umożliwić wszystkim obywatelom lepsze zrozumienie funkcjonowania instytucji unijnych;</w:t>
      </w:r>
    </w:p>
    <w:p w:rsidR="00B81BF1" w:rsidRPr="009C2EB4" w:rsidRDefault="00B81BF1" w:rsidP="00B81BF1">
      <w:pPr>
        <w:pStyle w:val="Action"/>
        <w:keepNext/>
        <w:spacing w:after="200"/>
        <w:outlineLvl w:val="0"/>
        <w:rPr>
          <w:b/>
          <w:i/>
          <w:szCs w:val="24"/>
        </w:rPr>
      </w:pPr>
      <w:r w:rsidRPr="009C2EB4">
        <w:rPr>
          <w:b/>
          <w:i/>
        </w:rPr>
        <w:t>Infrastruktura</w:t>
      </w:r>
    </w:p>
    <w:p w:rsidR="00B81BF1" w:rsidRPr="009C2EB4" w:rsidRDefault="00B81BF1" w:rsidP="00B81BF1">
      <w:pPr>
        <w:pStyle w:val="Action"/>
        <w:keepNext/>
        <w:tabs>
          <w:tab w:val="clear" w:pos="357"/>
          <w:tab w:val="left" w:pos="567"/>
        </w:tabs>
        <w:spacing w:after="200"/>
        <w:ind w:left="567" w:hanging="567"/>
        <w:outlineLvl w:val="0"/>
        <w:rPr>
          <w:bCs/>
          <w:szCs w:val="24"/>
        </w:rPr>
      </w:pPr>
      <w:r w:rsidRPr="009C2EB4">
        <w:t>12.</w:t>
      </w:r>
      <w:r w:rsidRPr="009C2EB4">
        <w:tab/>
      </w:r>
      <w:proofErr w:type="gramStart"/>
      <w:r w:rsidRPr="009C2EB4">
        <w:t>zauważa</w:t>
      </w:r>
      <w:proofErr w:type="gramEnd"/>
      <w:r w:rsidRPr="009C2EB4">
        <w:t>, że Komisja Budżetowa zatwierdziła decyzję Prezydium o przeprowadzeniu gruntownej renowacji budynku SPAAK, zgodnie z rezolucją PE z 19 października 2022 r. w sprawie stanowiska Rady dotyczącego projektu budżetu ogólnego Unii Europejskiej na rok budżetowy 2023</w:t>
      </w:r>
      <w:r w:rsidRPr="009C2EB4">
        <w:rPr>
          <w:rStyle w:val="FootnoteReference"/>
          <w:szCs w:val="24"/>
        </w:rPr>
        <w:footnoteReference w:id="14"/>
      </w:r>
      <w:r w:rsidRPr="009C2EB4">
        <w:t xml:space="preserve">; podkreśla, że obecny budynek charakteryzuje się bardzo niską efektywnością energetyczną i brakuje mu niezbędnej elastyczności, aby mógł być funkcjonalny; podkreśla, że aby dostosować się do celów Zielonego Ładu, Parlament powinien zarządzać swoimi budynkami pod kątem efektywności energetycznej i </w:t>
      </w:r>
      <w:proofErr w:type="spellStart"/>
      <w:r w:rsidRPr="009C2EB4">
        <w:t>zrównoważoności</w:t>
      </w:r>
      <w:proofErr w:type="spellEnd"/>
      <w:r w:rsidRPr="009C2EB4">
        <w:t>; zauważa, że renowacja umożliwi znaczne coroczne oszczędności i ograniczenie emisji CO</w:t>
      </w:r>
      <w:r w:rsidRPr="009C2EB4">
        <w:rPr>
          <w:vertAlign w:val="subscript"/>
        </w:rPr>
        <w:t>2</w:t>
      </w:r>
      <w:r w:rsidRPr="009C2EB4">
        <w:t xml:space="preserve"> oraz pomoże spełnić wymogi zmienionej dyrektywy w sprawie efektywności energetycznej i dyrektywy w sprawie charakterystyki energetycznej budynków; </w:t>
      </w:r>
      <w:proofErr w:type="gramStart"/>
      <w:r w:rsidRPr="009C2EB4">
        <w:t>przypomina</w:t>
      </w:r>
      <w:proofErr w:type="gramEnd"/>
      <w:r w:rsidRPr="009C2EB4">
        <w:t xml:space="preserve"> Prezydium, że przed podjęciem jakiejkolwiek ważnej decyzji w sprawie kwestii związanych z budynkami i ich finansowaniem należy zapewnić przejrzystość oraz odpowiednio poinformować Komisję Budżetową i skonsultować się z nią (co obejmuje zapewnienie jej dostępu do wszystkich szczegółów), ponieważ takie decyzje mają istotne skutki budżetowe;</w:t>
      </w:r>
    </w:p>
    <w:p w:rsidR="00B81BF1" w:rsidRPr="009C2EB4" w:rsidRDefault="00B81BF1" w:rsidP="00B81BF1">
      <w:pPr>
        <w:pStyle w:val="action0"/>
        <w:spacing w:after="200"/>
        <w:ind w:left="567" w:hanging="567"/>
      </w:pPr>
      <w:r w:rsidRPr="009C2EB4">
        <w:t>13.</w:t>
      </w:r>
      <w:r w:rsidRPr="009C2EB4">
        <w:tab/>
      </w:r>
      <w:proofErr w:type="gramStart"/>
      <w:r w:rsidRPr="009C2EB4">
        <w:t>uznaje</w:t>
      </w:r>
      <w:proofErr w:type="gramEnd"/>
      <w:r w:rsidRPr="009C2EB4">
        <w:t xml:space="preserve"> potrzebę rozpoczęcia w 2025 r. prac remontowych w budynku TREVES II, aby ułatwić tymczasowe przyjęcie pracowników, którzy będą musieli zmienić biura w związku z renowacją budynku SPAAK; </w:t>
      </w:r>
    </w:p>
    <w:p w:rsidR="00B81BF1" w:rsidRPr="009C2EB4" w:rsidRDefault="00B81BF1" w:rsidP="00B81BF1">
      <w:pPr>
        <w:pStyle w:val="NormalHanging12a"/>
        <w:rPr>
          <w:szCs w:val="24"/>
        </w:rPr>
      </w:pPr>
      <w:r w:rsidRPr="009C2EB4">
        <w:t>14.</w:t>
      </w:r>
      <w:r w:rsidRPr="009C2EB4">
        <w:tab/>
      </w:r>
      <w:proofErr w:type="gramStart"/>
      <w:r w:rsidRPr="009C2EB4">
        <w:t>z</w:t>
      </w:r>
      <w:proofErr w:type="gramEnd"/>
      <w:r w:rsidRPr="009C2EB4">
        <w:t xml:space="preserve"> zadowoleniem przyjmuje politykę Parlamentu mającą na celu umożliwienie osobom z niepełnosprawnościami w pełni niezależnego korzystania z budynków Parlamentu i popiera dalsze środki i dostosowania, które będą konieczne w tym zakresie; przyznaje, że trzeba poprawić dostęp osób z niepełnosprawnościami do sali posiedzeń plenarnych w Strasburgu;</w:t>
      </w:r>
    </w:p>
    <w:p w:rsidR="00B81BF1" w:rsidRPr="009C2EB4" w:rsidRDefault="00B81BF1" w:rsidP="00B81BF1">
      <w:pPr>
        <w:pStyle w:val="action0"/>
        <w:spacing w:after="200"/>
        <w:ind w:left="567" w:hanging="567"/>
      </w:pPr>
      <w:r w:rsidRPr="009C2EB4">
        <w:t>15.</w:t>
      </w:r>
      <w:r w:rsidRPr="009C2EB4">
        <w:tab/>
        <w:t xml:space="preserve">przypomina, że administracja Parlamentu pracuje obecnie nad kompleksowym podejściem do określenia długoterminowej polityki Parlamentu w zakresie nieruchomości, uwzględniającym w szczególności obowiązki w zakresie ochrony </w:t>
      </w:r>
      <w:r w:rsidRPr="009C2EB4">
        <w:lastRenderedPageBreak/>
        <w:t>środowiska, koszty, ograniczenia budżetowe</w:t>
      </w:r>
      <w:proofErr w:type="gramStart"/>
      <w:r w:rsidRPr="009C2EB4">
        <w:t>, efektywność</w:t>
      </w:r>
      <w:proofErr w:type="gramEnd"/>
      <w:r w:rsidRPr="009C2EB4">
        <w:t xml:space="preserve"> energetyczną i gospodarkę odpadami zgodnie z pakietem „Gotowi na 55”, i oczekuje, że wyniki zostaną podane do wiadomości publicznej; apeluje o podsumowanie elastycznych metod pracy, które pojawiły się w wyniku pandemii, a jednocześnie o uznanie, że fizyczna obecność w celu prowadzenia negocjacji politycznych, debat lub wymiany poglądów jest nadal bardziej skuteczna w kształtowaniu polityki publicznej; </w:t>
      </w:r>
    </w:p>
    <w:p w:rsidR="00B81BF1" w:rsidRPr="009C2EB4" w:rsidRDefault="00B81BF1" w:rsidP="00B81BF1">
      <w:pPr>
        <w:pStyle w:val="action0"/>
        <w:spacing w:after="200"/>
        <w:ind w:left="567" w:hanging="567"/>
      </w:pPr>
      <w:r w:rsidRPr="009C2EB4">
        <w:t xml:space="preserve">16. </w:t>
      </w:r>
      <w:r w:rsidRPr="009C2EB4">
        <w:tab/>
      </w:r>
      <w:proofErr w:type="gramStart"/>
      <w:r w:rsidRPr="009C2EB4">
        <w:t>odnotowuje</w:t>
      </w:r>
      <w:proofErr w:type="gramEnd"/>
      <w:r w:rsidRPr="009C2EB4">
        <w:t xml:space="preserve"> praktykę zbiorczego przesuwania niewykorzystanych środków na koniec roku na przedsięwzięcia z zakresu nieruchomości; odnotowuje, że praktykę taką stosuje się systematycznie w tych samych rozdziałach, tytułach i często dokładnie tych samych pozycjach budżetowych; zwraca uwagę, że zbiorcze przesuwanie niewykorzystanych środków na koniec roku może również służyć innym celom niż finansowanie projektów w zakresie nieruchomości;</w:t>
      </w:r>
    </w:p>
    <w:p w:rsidR="00B81BF1" w:rsidRPr="009C2EB4" w:rsidRDefault="00B81BF1" w:rsidP="00B81BF1">
      <w:pPr>
        <w:pStyle w:val="action0"/>
        <w:spacing w:after="200"/>
        <w:ind w:left="567" w:hanging="567"/>
      </w:pPr>
      <w:r w:rsidRPr="009C2EB4">
        <w:t>17.</w:t>
      </w:r>
      <w:r w:rsidRPr="009C2EB4">
        <w:tab/>
      </w:r>
      <w:proofErr w:type="gramStart"/>
      <w:r w:rsidRPr="009C2EB4">
        <w:t>z</w:t>
      </w:r>
      <w:proofErr w:type="gramEnd"/>
      <w:r w:rsidRPr="009C2EB4">
        <w:t xml:space="preserve"> zadowoleniem przyjmuje ciągłe wysiłki i środki podejmowane przez Parlament w celu zmniejszenia jego śladu środowiskowego; ponownie wyraża pełne poparcie dla celów systemu </w:t>
      </w:r>
      <w:proofErr w:type="spellStart"/>
      <w:r w:rsidRPr="009C2EB4">
        <w:t>ekozarządzania</w:t>
      </w:r>
      <w:proofErr w:type="spellEnd"/>
      <w:r w:rsidRPr="009C2EB4">
        <w:t xml:space="preserve"> (EMAS) Parlamentu na 2024 r.; oczekuje, że do końca 2024 r. Parlament osiągnie wszystkie cele w zakresie kluczowych wskaźników EMAS, a następnie przyjmie nowe ambitne cele na nadchodzące lata; odnotowuje w szczególności szereg osiągnięć w tym zakresie, w tym zmniejszenie emisji dwutlenku węgla o 44 % od 2006 r., zmniejszenie zużycia papieru o 66 % w porównaniu z 2014 r., wysoki odsetek pracowników chodzących do pracy pieszo lub przyjeżdżających rowerem, znaczny spadek wykorzystania tworzyw sztucznych oraz pomyślne wdrożenie infrastruktury energii odnawialnej, dzięki której w 2023 </w:t>
      </w:r>
      <w:proofErr w:type="gramStart"/>
      <w:r w:rsidRPr="009C2EB4">
        <w:t>r</w:t>
      </w:r>
      <w:proofErr w:type="gramEnd"/>
      <w:r w:rsidRPr="009C2EB4">
        <w:t>. Parlament wytworzył 458 MWh energii słonecznej;</w:t>
      </w:r>
    </w:p>
    <w:p w:rsidR="00B81BF1" w:rsidRPr="009C2EB4" w:rsidRDefault="00B81BF1" w:rsidP="00B81BF1">
      <w:pPr>
        <w:pStyle w:val="action0"/>
        <w:spacing w:after="200"/>
        <w:ind w:left="567" w:hanging="567"/>
      </w:pPr>
      <w:r w:rsidRPr="009C2EB4">
        <w:t>18.</w:t>
      </w:r>
      <w:r w:rsidRPr="009C2EB4">
        <w:tab/>
      </w:r>
      <w:proofErr w:type="gramStart"/>
      <w:r w:rsidRPr="009C2EB4">
        <w:t>odnotowuje</w:t>
      </w:r>
      <w:proofErr w:type="gramEnd"/>
      <w:r w:rsidRPr="009C2EB4">
        <w:t xml:space="preserve"> wzrost cen jednostek emisji dwutlenku węgla; przypomina, że inwestycje w efektywność energetyczną są dobrą metodą osiągania optymalnego stosunku wartości do ceny; z zadowoleniem przyjmuje inwestycje w energię ze źródeł odnawialnych i stopniowe wycofywanie paliw kopalnych, w szczególności biorąc pod uwagę kryzys energetyczny i kontekst geopolityczny, i zachęca do ich uwzględnienia w kolejnej wieloletniej strategii w zakresie nieruchomości; odnotowuje, że Parlament zainstalował i nadal instaluje panele fotowoltaiczne, aby jeszcze bardziej zwiększyć udział energii ze źródeł odnawialnych produkowanej na miejscu, tak aby osiągnąć cel 25 %; przypomina, że prawie dwie trzecie emisji dwutlenku węgla przez Parlament pochodzi z transportu osób; z zadowoleniem przyjmuje </w:t>
      </w:r>
      <w:proofErr w:type="gramStart"/>
      <w:r w:rsidRPr="009C2EB4">
        <w:t>wysiłki</w:t>
      </w:r>
      <w:proofErr w:type="gramEnd"/>
      <w:r w:rsidRPr="009C2EB4">
        <w:t xml:space="preserve"> Parlamentu na rzecz ograniczenia emisji CO2 przez czarterowanie pociągów i wzywa do zwiększenia dostępności przejazdów koleją między trzema miejscami pracy;</w:t>
      </w:r>
    </w:p>
    <w:p w:rsidR="00B81BF1" w:rsidRPr="009C2EB4" w:rsidRDefault="00B81BF1" w:rsidP="00B81BF1">
      <w:pPr>
        <w:pStyle w:val="Action"/>
        <w:keepNext/>
        <w:spacing w:after="200"/>
        <w:outlineLvl w:val="0"/>
        <w:rPr>
          <w:b/>
          <w:i/>
          <w:szCs w:val="24"/>
        </w:rPr>
      </w:pPr>
      <w:r w:rsidRPr="009C2EB4">
        <w:rPr>
          <w:b/>
          <w:i/>
        </w:rPr>
        <w:t>Inne kwestie</w:t>
      </w:r>
    </w:p>
    <w:p w:rsidR="00B81BF1" w:rsidRPr="009C2EB4" w:rsidRDefault="00B81BF1" w:rsidP="00B81BF1">
      <w:pPr>
        <w:pStyle w:val="action0"/>
        <w:spacing w:after="200"/>
        <w:ind w:left="567" w:hanging="567"/>
      </w:pPr>
      <w:r w:rsidRPr="009C2EB4">
        <w:t>19.</w:t>
      </w:r>
      <w:r w:rsidRPr="009C2EB4">
        <w:tab/>
      </w:r>
      <w:proofErr w:type="gramStart"/>
      <w:r w:rsidRPr="009C2EB4">
        <w:t>przypomina</w:t>
      </w:r>
      <w:proofErr w:type="gramEnd"/>
      <w:r w:rsidRPr="009C2EB4">
        <w:t xml:space="preserve"> o toczącej się walce,</w:t>
      </w:r>
      <w:r w:rsidR="00FF0687">
        <w:t xml:space="preserve"> w którą zaangażowana jest Unia</w:t>
      </w:r>
      <w:r w:rsidRPr="009C2EB4">
        <w:t>, na rzecz ochrony europejskich wartości i utrzymania integralności naszych procesów demokratycznych; z zadowoleniem przyjmuje działania podjęte przez Parlament w dążeniu do tych celów oraz walkę z dezinformacją i manipulacją informacjami; wzywa DG COMM i biura kontaktowe P</w:t>
      </w:r>
      <w:r w:rsidR="00E85954">
        <w:t>E</w:t>
      </w:r>
      <w:r w:rsidRPr="009C2EB4">
        <w:t xml:space="preserve"> do dalszego opracowywania i wdrażania skutecznych strategii przeciwdziałania dezinformacji i manipulowaniu informacjami; podkreśla, że jedną z najpotężniejszych broni w walce z dezinformacją jest pozytywna, oparta na faktach komunikacja na temat działań Parlamentu;</w:t>
      </w:r>
    </w:p>
    <w:p w:rsidR="00B81BF1" w:rsidRPr="009C2EB4" w:rsidRDefault="00B81BF1" w:rsidP="00B81BF1">
      <w:pPr>
        <w:pStyle w:val="action0"/>
        <w:spacing w:after="200"/>
        <w:ind w:left="567" w:hanging="567"/>
        <w:rPr>
          <w:rFonts w:eastAsia="Times New Roman"/>
        </w:rPr>
      </w:pPr>
      <w:r w:rsidRPr="009C2EB4">
        <w:t>20.</w:t>
      </w:r>
      <w:r w:rsidRPr="009C2EB4">
        <w:tab/>
      </w:r>
      <w:proofErr w:type="gramStart"/>
      <w:r w:rsidRPr="009C2EB4">
        <w:t>przypomina</w:t>
      </w:r>
      <w:proofErr w:type="gramEnd"/>
      <w:r w:rsidRPr="009C2EB4">
        <w:t xml:space="preserve">, że Parlament zdecydowanie popiera wielojęzyczność i promuje prawa mniejszości narodowych, regionalnych i językowych; uważa, że Parlament może </w:t>
      </w:r>
      <w:r w:rsidRPr="009C2EB4">
        <w:lastRenderedPageBreak/>
        <w:t xml:space="preserve">aktywnie przyczyniać się do walki z dezinformacją, w stosownych przypadkach pogłębiając komunikację również w językach mniejszości i społeczności językowych; zwraca się do Prezydium o rozszerzenie zakresu produkcji i rozpowszechniania przez Parlament materiałów komunikacyjnych, które są zgodne z potrzebami mniejszości narodowych, regionalnych i językowych w państwach członkowskich, na przykład w biurach kontaktowych PE i ośrodkach „Europa </w:t>
      </w:r>
      <w:proofErr w:type="spellStart"/>
      <w:r w:rsidRPr="009C2EB4">
        <w:t>Experience</w:t>
      </w:r>
      <w:proofErr w:type="spellEnd"/>
      <w:r w:rsidRPr="009C2EB4">
        <w:t xml:space="preserve">”, jako sposób na przeciwdziałanie wszelkim próbom wykorzystywania różnic językowych do ograniczenia spójności; przypomina w tym kontekście wysiłki podejmowane przez biura kontaktowe PE w krajach bałtyckich, by </w:t>
      </w:r>
      <w:proofErr w:type="gramStart"/>
      <w:r w:rsidRPr="009C2EB4">
        <w:t>od</w:t>
      </w:r>
      <w:proofErr w:type="gramEnd"/>
      <w:r w:rsidRPr="009C2EB4">
        <w:t xml:space="preserve"> początku rosyjskiej wojny napastniczej w Ukrainie przekazywać obywatelom informacje w języku ukraińskim i rosyjskim, ze szczególnym naciskiem na przeciwdziałanie rosyjskiej dezinformacji i propagandzie oraz zachęca do dalszego wspierania i promowania takich działań w języku ukraińskim i rosyjskim; podkreśla, że ważne jest, by biura kontaktowe PE brały aktywny udział we wdrażaniu prac Parlamentu w zakresie edukacji obywatelskiej przez liczne programy angażujące społeczności lokalne, szkoły i uniwersytety;</w:t>
      </w:r>
    </w:p>
    <w:p w:rsidR="00B81BF1" w:rsidRPr="009C2EB4" w:rsidRDefault="00B81BF1" w:rsidP="00B81BF1">
      <w:pPr>
        <w:pStyle w:val="action0"/>
        <w:spacing w:after="200"/>
        <w:ind w:left="567" w:hanging="567"/>
      </w:pPr>
      <w:r w:rsidRPr="009C2EB4">
        <w:t>21.</w:t>
      </w:r>
      <w:r w:rsidRPr="009C2EB4">
        <w:tab/>
      </w:r>
      <w:proofErr w:type="gramStart"/>
      <w:r w:rsidRPr="009C2EB4">
        <w:t>podkreśla</w:t>
      </w:r>
      <w:proofErr w:type="gramEnd"/>
      <w:r w:rsidRPr="009C2EB4">
        <w:t xml:space="preserve"> potencjał sztucznej inteligencji (AI) w zakresie wspierania posłów w wykonywaniu ich mandatu i w zakresie różnych działań administracji Parlamentu; z zadowoleniem przyjmuje fakt, że projekty w dziedzinie AI są już przygotowywane na 2025 r.; </w:t>
      </w:r>
    </w:p>
    <w:p w:rsidR="00B81BF1" w:rsidRPr="009C2EB4" w:rsidRDefault="00B81BF1" w:rsidP="00B81BF1">
      <w:pPr>
        <w:pStyle w:val="action0"/>
        <w:spacing w:after="200"/>
        <w:ind w:left="567" w:hanging="567"/>
      </w:pPr>
      <w:r w:rsidRPr="009C2EB4">
        <w:t>22.</w:t>
      </w:r>
      <w:r w:rsidRPr="009C2EB4">
        <w:tab/>
      </w:r>
      <w:proofErr w:type="gramStart"/>
      <w:r w:rsidRPr="009C2EB4">
        <w:t>popiera</w:t>
      </w:r>
      <w:proofErr w:type="gramEnd"/>
      <w:r w:rsidRPr="009C2EB4">
        <w:t xml:space="preserve"> zapowiedź sekretarza generalnego na forum Komisji Budżetowej dotyczącą zmniejszenia obciążeń administracyjnych i biurokracji dla posłów i ich biur, przy jednoczesnym przyspieszeniu cyfryzacji procesów w administracji; podkreśla, że inwestycje w cyfryzację generują zwrot z inwestycji w perspektywie średnioterminowej i nie powinny być opóźniane ze względu na krótkoterminowe cięcia kosztów;</w:t>
      </w:r>
    </w:p>
    <w:p w:rsidR="00B81BF1" w:rsidRPr="009C2EB4" w:rsidRDefault="00B81BF1" w:rsidP="00B81BF1">
      <w:pPr>
        <w:pStyle w:val="action0"/>
        <w:spacing w:after="200"/>
        <w:ind w:left="567" w:hanging="567"/>
      </w:pPr>
      <w:r w:rsidRPr="009C2EB4">
        <w:t>23.</w:t>
      </w:r>
      <w:r w:rsidRPr="009C2EB4">
        <w:tab/>
      </w:r>
      <w:proofErr w:type="gramStart"/>
      <w:r w:rsidRPr="009C2EB4">
        <w:t>wzywa</w:t>
      </w:r>
      <w:proofErr w:type="gramEnd"/>
      <w:r w:rsidRPr="009C2EB4">
        <w:t xml:space="preserve"> Parlament do dalszego przeprowadzania regularnych ocen organizacji jego potrzeb kadrowych, aby zoptymalizować podział personelu w Sekretariacie Parlamentu, zwłaszcza poprzez przenoszenie wolnych stanowisk między służbami, tak aby w miarę możliwości utrzymać stały poziom zatrudnienia; zwraca się do sekretarza generalnego, by przeprowadził ocenę ryzyka związanego z zatrudnianiem coraz większej liczby pracowników kontraktowych, włącznie z niebezpieczeństwem powstania dwupoziomowej struktury zatrudnienia w Parlamencie; podkreśla, że podstawowe stałe stanowiska i najważniejsze stałe zadania należy zarezerwować dla pracowników zatrudnionych na czas nieokreślony;</w:t>
      </w:r>
    </w:p>
    <w:p w:rsidR="00B81BF1" w:rsidRPr="009C2EB4" w:rsidRDefault="00B81BF1" w:rsidP="00B81BF1">
      <w:pPr>
        <w:pStyle w:val="action0"/>
        <w:spacing w:after="200"/>
        <w:ind w:left="567" w:hanging="567"/>
      </w:pPr>
      <w:r w:rsidRPr="009C2EB4">
        <w:t>24.</w:t>
      </w:r>
      <w:r w:rsidRPr="009C2EB4">
        <w:tab/>
      </w:r>
      <w:proofErr w:type="gramStart"/>
      <w:r w:rsidRPr="009C2EB4">
        <w:t>podkreśla</w:t>
      </w:r>
      <w:proofErr w:type="gramEnd"/>
      <w:r w:rsidRPr="009C2EB4">
        <w:t>, że zapewnienie sprawiedliwej równowagi geograficznej jest ważnym elementem tworzenia prawdziwie europejskiej służby publicznej; zauważa, że na przestrzeni lat Parlament podjął szereg działań w tym zakresie; zauważa, że możliwe są dalsze ulepszenia; zauważa, że Prezydium stworzyło ramy prawne dla organizacji konkursów dla poszczególnych krajów i postanowiło zorganizować pierwszy z takich konkursów; podkreśla, że konkursy powinny zawsze opierać się na kryteriach merytorycznych;</w:t>
      </w:r>
    </w:p>
    <w:p w:rsidR="00B81BF1" w:rsidRPr="009C2EB4" w:rsidRDefault="00B81BF1" w:rsidP="00B81BF1">
      <w:pPr>
        <w:pStyle w:val="action0"/>
        <w:spacing w:after="200"/>
        <w:ind w:left="567" w:hanging="567"/>
      </w:pPr>
      <w:r w:rsidRPr="009C2EB4">
        <w:t>25.</w:t>
      </w:r>
      <w:r w:rsidRPr="009C2EB4">
        <w:tab/>
      </w:r>
      <w:proofErr w:type="gramStart"/>
      <w:r w:rsidRPr="009C2EB4">
        <w:t>odnotowuje</w:t>
      </w:r>
      <w:proofErr w:type="gramEnd"/>
      <w:r w:rsidRPr="009C2EB4">
        <w:t xml:space="preserve"> już obowiązującą procedurę składania wniosków przez użytkowników organów parlamentarnych o tłumaczenie na międzynarodowy język migowy podczas posiedzenia; zwraca się do sekretarza generalnego o dalsze badanie innych możliwości, takich jak narzędzia tłumaczenia mowy na tekst i tłumaczenia maszynowego, w odniesieniu do zasady równego dostępu dla wszystkich obywateli;</w:t>
      </w:r>
    </w:p>
    <w:p w:rsidR="00B81BF1" w:rsidRPr="009C2EB4" w:rsidRDefault="00B81BF1" w:rsidP="00B81BF1">
      <w:pPr>
        <w:pStyle w:val="NormalHanging12a"/>
        <w:rPr>
          <w:szCs w:val="24"/>
        </w:rPr>
      </w:pPr>
      <w:r w:rsidRPr="009C2EB4">
        <w:t>26.</w:t>
      </w:r>
      <w:r w:rsidRPr="009C2EB4">
        <w:tab/>
      </w:r>
      <w:proofErr w:type="gramStart"/>
      <w:r w:rsidRPr="009C2EB4">
        <w:t>ponawia</w:t>
      </w:r>
      <w:proofErr w:type="gramEnd"/>
      <w:r w:rsidRPr="009C2EB4">
        <w:t xml:space="preserve"> swój wniosek do Prezydium, wielokrotnie przyjęty na posiedzeniu plenarnym, </w:t>
      </w:r>
      <w:r w:rsidRPr="009C2EB4">
        <w:lastRenderedPageBreak/>
        <w:t>o rozpoczęcie prac nad przeglądem Regulaminu, tak aby umożliwić posłom korzystanie z prawa do głosowania zdalnego podczas urlopu macierzyńskiego lub ojcowskiego, w przypadku długotrwałej choroby lub w przypadku siły wyższej, wykorzystując doświadczenia związane z technicznymi aspektami tej metody głosowania, zdobyte podczas pandemii;</w:t>
      </w:r>
    </w:p>
    <w:p w:rsidR="00B81BF1" w:rsidRDefault="00B81BF1" w:rsidP="00B81BF1">
      <w:pPr>
        <w:pStyle w:val="NormalHanging12a"/>
      </w:pPr>
      <w:r w:rsidRPr="009C2EB4">
        <w:t>27.</w:t>
      </w:r>
      <w:r w:rsidRPr="009C2EB4">
        <w:tab/>
      </w:r>
      <w:proofErr w:type="gramStart"/>
      <w:r w:rsidRPr="009C2EB4">
        <w:t>ponawia</w:t>
      </w:r>
      <w:proofErr w:type="gramEnd"/>
      <w:r w:rsidRPr="009C2EB4">
        <w:t xml:space="preserve"> swój apel do Prezydium o zadbanie o to, by wszystkie restauracje w Parlamencie przestrzegały norm jakości, wydajności i przystępności cenowej, a także o ponowne wprowadzenie kontroli dostępu przy wejściach do restauracji samoobsługowej w czasie szczytu; z zadowoleniem przyjmuje wdrożenie kontroli dostępu przy wejściu do restauracji samoobsługowej w budynku WEISS w Strasburgu podczas sesji miesięcznych;</w:t>
      </w:r>
    </w:p>
    <w:p w:rsidR="00E770AC" w:rsidRPr="009C2EB4" w:rsidRDefault="00E770AC" w:rsidP="00B81BF1">
      <w:pPr>
        <w:pStyle w:val="NormalHanging12a"/>
        <w:rPr>
          <w:szCs w:val="24"/>
        </w:rPr>
      </w:pPr>
      <w:r>
        <w:t>28.</w:t>
      </w:r>
      <w:r>
        <w:tab/>
      </w:r>
      <w:proofErr w:type="gramStart"/>
      <w:r w:rsidRPr="00E770AC">
        <w:t>wzywa</w:t>
      </w:r>
      <w:proofErr w:type="gramEnd"/>
      <w:r w:rsidRPr="00E770AC">
        <w:t xml:space="preserve"> do podjęcia rzeczywistego zobowiązania na rzecz realizacji zasady wielojęzyczności;</w:t>
      </w:r>
    </w:p>
    <w:p w:rsidR="00B81BF1" w:rsidRPr="009C2EB4" w:rsidRDefault="00E770AC" w:rsidP="00B81BF1">
      <w:pPr>
        <w:pStyle w:val="action0"/>
        <w:spacing w:after="200"/>
        <w:ind w:left="567" w:hanging="567"/>
      </w:pPr>
      <w:r>
        <w:rPr>
          <w:rStyle w:val="doceo-font-family-base"/>
          <w:shd w:val="clear" w:color="auto" w:fill="FFFFFF"/>
        </w:rPr>
        <w:t>29</w:t>
      </w:r>
      <w:r w:rsidR="00B81BF1" w:rsidRPr="009C2EB4">
        <w:rPr>
          <w:rStyle w:val="doceo-font-family-base"/>
          <w:shd w:val="clear" w:color="auto" w:fill="FFFFFF"/>
        </w:rPr>
        <w:t>.</w:t>
      </w:r>
      <w:r w:rsidR="00B81BF1" w:rsidRPr="009C2EB4">
        <w:rPr>
          <w:rStyle w:val="doceo-font-family-base"/>
          <w:shd w:val="clear" w:color="auto" w:fill="FFFFFF"/>
        </w:rPr>
        <w:tab/>
      </w:r>
      <w:proofErr w:type="gramStart"/>
      <w:r w:rsidR="00B81BF1" w:rsidRPr="009C2EB4">
        <w:rPr>
          <w:rStyle w:val="doceo-font-family-base"/>
          <w:shd w:val="clear" w:color="auto" w:fill="FFFFFF"/>
        </w:rPr>
        <w:t>ponownie</w:t>
      </w:r>
      <w:proofErr w:type="gramEnd"/>
      <w:r w:rsidR="00B81BF1" w:rsidRPr="009C2EB4">
        <w:rPr>
          <w:rStyle w:val="doceo-font-family-base"/>
          <w:shd w:val="clear" w:color="auto" w:fill="FFFFFF"/>
        </w:rPr>
        <w:t xml:space="preserve"> zwraca się do Konferencji Przewodniczących i Prezydium o dokonanie przeglądu postanowień wykonawczych regulujących prace delegacji i misji poza granicami Unii; podkreśla, że w ramach takiego przeglądu należy rozważyć, czy możliwe jest, aby akredytowani asystenci parlamentarni pod pewnymi warunkami towarzyszyli posłom w oficjalnych delegacjach i misjach Parlamentu;</w:t>
      </w:r>
      <w:r w:rsidR="00B81BF1" w:rsidRPr="009C2EB4">
        <w:t xml:space="preserve"> podkreśla, że zmiana ta nie spowodowałaby żadnych zmian w puli środków finansowych i byłaby neutralna dla budżetu;</w:t>
      </w:r>
    </w:p>
    <w:p w:rsidR="00B81BF1" w:rsidRPr="009C2EB4" w:rsidRDefault="00E770AC" w:rsidP="00B81BF1">
      <w:pPr>
        <w:pStyle w:val="action0"/>
        <w:spacing w:after="200"/>
        <w:ind w:left="567" w:hanging="567"/>
        <w:rPr>
          <w:rFonts w:ascii="TimesNewRomanPSMT" w:hAnsi="TimesNewRomanPSMT" w:cs="TimesNewRomanPSMT"/>
        </w:rPr>
      </w:pPr>
      <w:r>
        <w:rPr>
          <w:rFonts w:ascii="TimesNewRomanPSMT" w:hAnsi="TimesNewRomanPSMT"/>
        </w:rPr>
        <w:t>30</w:t>
      </w:r>
      <w:r w:rsidR="00B81BF1" w:rsidRPr="009C2EB4">
        <w:rPr>
          <w:rFonts w:ascii="TimesNewRomanPSMT" w:hAnsi="TimesNewRomanPSMT"/>
        </w:rPr>
        <w:t>.</w:t>
      </w:r>
      <w:r w:rsidR="00B81BF1" w:rsidRPr="009C2EB4">
        <w:rPr>
          <w:rFonts w:ascii="TimesNewRomanPSMT" w:hAnsi="TimesNewRomanPSMT"/>
        </w:rPr>
        <w:tab/>
      </w:r>
      <w:proofErr w:type="gramStart"/>
      <w:r w:rsidR="00B81BF1" w:rsidRPr="009C2EB4">
        <w:t>oczekuje</w:t>
      </w:r>
      <w:proofErr w:type="gramEnd"/>
      <w:r w:rsidR="00B81BF1" w:rsidRPr="009C2EB4">
        <w:t>, że wnioski przegłosowane przez zgromadzenie plenarne powinno się co do zasady realizować w trybie priorytetowym;</w:t>
      </w:r>
    </w:p>
    <w:p w:rsidR="00B81BF1" w:rsidRPr="009C2EB4" w:rsidRDefault="00B81BF1" w:rsidP="00B81BF1">
      <w:pPr>
        <w:widowControl/>
        <w:tabs>
          <w:tab w:val="left" w:pos="567"/>
        </w:tabs>
        <w:spacing w:after="240"/>
        <w:ind w:left="567" w:hanging="567"/>
        <w:jc w:val="center"/>
        <w:rPr>
          <w:szCs w:val="24"/>
        </w:rPr>
      </w:pPr>
      <w:r w:rsidRPr="009C2EB4">
        <w:t>°</w:t>
      </w:r>
    </w:p>
    <w:p w:rsidR="00B81BF1" w:rsidRPr="009C2EB4" w:rsidRDefault="00B81BF1" w:rsidP="00B81BF1">
      <w:pPr>
        <w:widowControl/>
        <w:tabs>
          <w:tab w:val="left" w:pos="567"/>
        </w:tabs>
        <w:spacing w:after="240"/>
        <w:ind w:left="567" w:hanging="567"/>
        <w:jc w:val="center"/>
        <w:rPr>
          <w:szCs w:val="24"/>
        </w:rPr>
      </w:pPr>
      <w:r w:rsidRPr="009C2EB4">
        <w:t>°         °</w:t>
      </w:r>
    </w:p>
    <w:p w:rsidR="00B81BF1" w:rsidRPr="009C2EB4" w:rsidRDefault="00E770AC" w:rsidP="00B81BF1">
      <w:pPr>
        <w:pStyle w:val="action0"/>
        <w:spacing w:before="200" w:after="200"/>
        <w:ind w:left="567" w:hanging="567"/>
      </w:pPr>
      <w:r>
        <w:t>31</w:t>
      </w:r>
      <w:r w:rsidR="00B81BF1" w:rsidRPr="009C2EB4">
        <w:t>.</w:t>
      </w:r>
      <w:r w:rsidR="00B81BF1" w:rsidRPr="009C2EB4">
        <w:tab/>
      </w:r>
      <w:proofErr w:type="gramStart"/>
      <w:r w:rsidR="00B81BF1" w:rsidRPr="009C2EB4">
        <w:t>uchwala</w:t>
      </w:r>
      <w:proofErr w:type="gramEnd"/>
      <w:r w:rsidR="00B81BF1" w:rsidRPr="009C2EB4">
        <w:t xml:space="preserve"> preliminarz budżetowy na rok budżetowy 2025;</w:t>
      </w:r>
    </w:p>
    <w:p w:rsidR="00B81BF1" w:rsidRPr="009C2EB4" w:rsidRDefault="00E770AC" w:rsidP="00B81BF1">
      <w:pPr>
        <w:pStyle w:val="action0"/>
        <w:spacing w:after="200"/>
        <w:ind w:left="567" w:hanging="567"/>
      </w:pPr>
      <w:r>
        <w:t>32</w:t>
      </w:r>
      <w:r w:rsidR="00B81BF1" w:rsidRPr="009C2EB4">
        <w:t>.</w:t>
      </w:r>
      <w:r w:rsidR="00B81BF1" w:rsidRPr="009C2EB4">
        <w:tab/>
      </w:r>
      <w:proofErr w:type="gramStart"/>
      <w:r w:rsidR="00B81BF1" w:rsidRPr="009C2EB4">
        <w:t>zobowiązuje</w:t>
      </w:r>
      <w:proofErr w:type="gramEnd"/>
      <w:r w:rsidR="00B81BF1" w:rsidRPr="009C2EB4">
        <w:t xml:space="preserve"> swoją przewodniczącą do przekazania niniejszej rezolucji i preliminarza budżetowego Radzie i Komisji.</w:t>
      </w:r>
    </w:p>
    <w:p w:rsidR="00B81BF1" w:rsidRPr="009C2EB4" w:rsidRDefault="00B81BF1" w:rsidP="00B81BF1">
      <w:pPr>
        <w:spacing w:line="200" w:lineRule="exact"/>
        <w:rPr>
          <w:rFonts w:eastAsia="Calibri"/>
          <w:sz w:val="22"/>
          <w:szCs w:val="22"/>
        </w:rPr>
      </w:pPr>
    </w:p>
    <w:p w:rsidR="00E365E1" w:rsidRPr="009C2EB4" w:rsidRDefault="00E365E1" w:rsidP="00B67D2E">
      <w:bookmarkStart w:id="8" w:name="_GoBack"/>
      <w:bookmarkEnd w:id="8"/>
    </w:p>
    <w:sectPr w:rsidR="00E365E1" w:rsidRPr="009C2EB4" w:rsidSect="009C2EB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7D2E" w:rsidRPr="009C2EB4" w:rsidRDefault="00B67D2E">
      <w:r w:rsidRPr="009C2EB4">
        <w:separator/>
      </w:r>
    </w:p>
  </w:endnote>
  <w:endnote w:type="continuationSeparator" w:id="0">
    <w:p w:rsidR="00B67D2E" w:rsidRPr="009C2EB4" w:rsidRDefault="00B67D2E">
      <w:r w:rsidRPr="009C2EB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C2EB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C2EB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C2EB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7D2E" w:rsidRPr="009C2EB4" w:rsidRDefault="00B67D2E">
      <w:r w:rsidRPr="009C2EB4">
        <w:separator/>
      </w:r>
    </w:p>
  </w:footnote>
  <w:footnote w:type="continuationSeparator" w:id="0">
    <w:p w:rsidR="00B67D2E" w:rsidRPr="009C2EB4" w:rsidRDefault="00B67D2E">
      <w:r w:rsidRPr="009C2EB4">
        <w:continuationSeparator/>
      </w:r>
    </w:p>
  </w:footnote>
  <w:footnote w:id="1">
    <w:p w:rsidR="00B81BF1" w:rsidRPr="009C2EB4" w:rsidRDefault="00B81BF1" w:rsidP="009C2EB4">
      <w:pPr>
        <w:pStyle w:val="FootnoteText"/>
        <w:ind w:left="567" w:hanging="567"/>
        <w:rPr>
          <w:sz w:val="24"/>
          <w:lang w:val="pl-PL"/>
        </w:rPr>
      </w:pPr>
      <w:r w:rsidRPr="009C2EB4">
        <w:rPr>
          <w:rStyle w:val="FootnoteReference"/>
          <w:sz w:val="24"/>
          <w:lang w:val="pl-PL"/>
        </w:rPr>
        <w:footnoteRef/>
      </w:r>
      <w:r w:rsidR="009C2EB4" w:rsidRPr="009C2EB4">
        <w:rPr>
          <w:sz w:val="24"/>
          <w:lang w:val="pl-PL"/>
        </w:rPr>
        <w:t xml:space="preserve"> </w:t>
      </w:r>
      <w:r w:rsidR="009C2EB4" w:rsidRPr="009C2EB4">
        <w:rPr>
          <w:sz w:val="24"/>
          <w:lang w:val="pl-PL"/>
        </w:rPr>
        <w:tab/>
      </w:r>
      <w:r w:rsidRPr="009C2EB4">
        <w:rPr>
          <w:sz w:val="24"/>
          <w:lang w:val="pl-PL"/>
        </w:rPr>
        <w:t xml:space="preserve">Dz.U. L 193 z 30.7.2018, </w:t>
      </w:r>
      <w:proofErr w:type="gramStart"/>
      <w:r w:rsidRPr="009C2EB4">
        <w:rPr>
          <w:sz w:val="24"/>
          <w:lang w:val="pl-PL"/>
        </w:rPr>
        <w:t>s</w:t>
      </w:r>
      <w:proofErr w:type="gramEnd"/>
      <w:r w:rsidRPr="009C2EB4">
        <w:rPr>
          <w:sz w:val="24"/>
          <w:lang w:val="pl-PL"/>
        </w:rPr>
        <w:t>. 1.</w:t>
      </w:r>
    </w:p>
  </w:footnote>
  <w:footnote w:id="2">
    <w:p w:rsidR="00B81BF1" w:rsidRPr="009C2EB4" w:rsidRDefault="00B81BF1" w:rsidP="009C2EB4">
      <w:pPr>
        <w:pStyle w:val="FootnoteText"/>
        <w:ind w:left="567" w:hanging="567"/>
        <w:rPr>
          <w:sz w:val="24"/>
          <w:lang w:val="pl-PL"/>
        </w:rPr>
      </w:pPr>
      <w:r w:rsidRPr="009C2EB4">
        <w:rPr>
          <w:rStyle w:val="FootnoteReference"/>
          <w:sz w:val="24"/>
          <w:lang w:val="pl-PL"/>
        </w:rPr>
        <w:footnoteRef/>
      </w:r>
      <w:r w:rsidR="009C2EB4" w:rsidRPr="009C2EB4">
        <w:rPr>
          <w:sz w:val="24"/>
          <w:lang w:val="pl-PL"/>
        </w:rPr>
        <w:t xml:space="preserve"> </w:t>
      </w:r>
      <w:r w:rsidR="009C2EB4" w:rsidRPr="009C2EB4">
        <w:rPr>
          <w:sz w:val="24"/>
          <w:lang w:val="pl-PL"/>
        </w:rPr>
        <w:tab/>
      </w:r>
      <w:r w:rsidRPr="009C2EB4">
        <w:rPr>
          <w:sz w:val="24"/>
          <w:lang w:val="pl-PL"/>
        </w:rPr>
        <w:t xml:space="preserve">Dz.U. L 433 I z 22.12.2020, </w:t>
      </w:r>
      <w:proofErr w:type="gramStart"/>
      <w:r w:rsidRPr="009C2EB4">
        <w:rPr>
          <w:sz w:val="24"/>
          <w:lang w:val="pl-PL"/>
        </w:rPr>
        <w:t>s</w:t>
      </w:r>
      <w:proofErr w:type="gramEnd"/>
      <w:r w:rsidRPr="009C2EB4">
        <w:rPr>
          <w:sz w:val="24"/>
          <w:lang w:val="pl-PL"/>
        </w:rPr>
        <w:t>. 11.</w:t>
      </w:r>
    </w:p>
  </w:footnote>
  <w:footnote w:id="3">
    <w:p w:rsidR="00B81BF1" w:rsidRPr="009C2EB4" w:rsidRDefault="00B81BF1" w:rsidP="009C2EB4">
      <w:pPr>
        <w:pStyle w:val="FootnoteText"/>
        <w:ind w:left="567" w:hanging="567"/>
        <w:rPr>
          <w:sz w:val="24"/>
          <w:lang w:val="pl-PL"/>
        </w:rPr>
      </w:pPr>
      <w:r w:rsidRPr="009C2EB4">
        <w:rPr>
          <w:rStyle w:val="FootnoteReference"/>
          <w:sz w:val="24"/>
          <w:lang w:val="pl-PL"/>
        </w:rPr>
        <w:footnoteRef/>
      </w:r>
      <w:r w:rsidR="009C2EB4" w:rsidRPr="009C2EB4">
        <w:rPr>
          <w:sz w:val="24"/>
          <w:lang w:val="pl-PL"/>
        </w:rPr>
        <w:t xml:space="preserve"> </w:t>
      </w:r>
      <w:r w:rsidR="009C2EB4" w:rsidRPr="009C2EB4">
        <w:rPr>
          <w:sz w:val="24"/>
          <w:lang w:val="pl-PL"/>
        </w:rPr>
        <w:tab/>
      </w:r>
      <w:r w:rsidRPr="009C2EB4">
        <w:rPr>
          <w:sz w:val="24"/>
          <w:lang w:val="pl-PL"/>
        </w:rPr>
        <w:t xml:space="preserve">Dz.U. C 444 I z 22.12.2020, </w:t>
      </w:r>
      <w:proofErr w:type="gramStart"/>
      <w:r w:rsidRPr="009C2EB4">
        <w:rPr>
          <w:sz w:val="24"/>
          <w:lang w:val="pl-PL"/>
        </w:rPr>
        <w:t>s</w:t>
      </w:r>
      <w:proofErr w:type="gramEnd"/>
      <w:r w:rsidRPr="009C2EB4">
        <w:rPr>
          <w:sz w:val="24"/>
          <w:lang w:val="pl-PL"/>
        </w:rPr>
        <w:t>. 4.</w:t>
      </w:r>
    </w:p>
  </w:footnote>
  <w:footnote w:id="4">
    <w:p w:rsidR="00B81BF1" w:rsidRPr="009C2EB4" w:rsidRDefault="00B81BF1" w:rsidP="009C2EB4">
      <w:pPr>
        <w:pStyle w:val="FootnoteText"/>
        <w:ind w:left="567" w:hanging="567"/>
        <w:rPr>
          <w:sz w:val="24"/>
          <w:lang w:val="pl-PL"/>
        </w:rPr>
      </w:pPr>
      <w:r w:rsidRPr="009C2EB4">
        <w:rPr>
          <w:rStyle w:val="FootnoteReference"/>
          <w:sz w:val="24"/>
          <w:lang w:val="pl-PL"/>
        </w:rPr>
        <w:footnoteRef/>
      </w:r>
      <w:r w:rsidR="009C2EB4" w:rsidRPr="009C2EB4">
        <w:rPr>
          <w:sz w:val="24"/>
          <w:lang w:val="pl-PL"/>
        </w:rPr>
        <w:t xml:space="preserve"> </w:t>
      </w:r>
      <w:r w:rsidR="009C2EB4" w:rsidRPr="009C2EB4">
        <w:rPr>
          <w:sz w:val="24"/>
          <w:lang w:val="pl-PL"/>
        </w:rPr>
        <w:tab/>
      </w:r>
      <w:r w:rsidRPr="009C2EB4">
        <w:rPr>
          <w:sz w:val="24"/>
          <w:lang w:val="pl-PL"/>
        </w:rPr>
        <w:t>Teksty przyjęte, P9_TA(2020)0357.</w:t>
      </w:r>
    </w:p>
  </w:footnote>
  <w:footnote w:id="5">
    <w:p w:rsidR="00B81BF1" w:rsidRPr="009C2EB4" w:rsidRDefault="00B81BF1" w:rsidP="009C2EB4">
      <w:pPr>
        <w:pStyle w:val="FootnoteText"/>
        <w:ind w:left="567" w:hanging="567"/>
        <w:rPr>
          <w:sz w:val="24"/>
          <w:lang w:val="pl-PL"/>
        </w:rPr>
      </w:pPr>
      <w:r w:rsidRPr="009C2EB4">
        <w:rPr>
          <w:rStyle w:val="FootnoteReference"/>
          <w:sz w:val="24"/>
          <w:lang w:val="pl-PL"/>
        </w:rPr>
        <w:footnoteRef/>
      </w:r>
      <w:r w:rsidR="009C2EB4" w:rsidRPr="009C2EB4">
        <w:rPr>
          <w:sz w:val="24"/>
          <w:lang w:val="pl-PL"/>
        </w:rPr>
        <w:t xml:space="preserve"> </w:t>
      </w:r>
      <w:r w:rsidR="009C2EB4" w:rsidRPr="009C2EB4">
        <w:rPr>
          <w:sz w:val="24"/>
          <w:lang w:val="pl-PL"/>
        </w:rPr>
        <w:tab/>
      </w:r>
      <w:r w:rsidRPr="009C2EB4">
        <w:rPr>
          <w:sz w:val="24"/>
          <w:lang w:val="pl-PL"/>
        </w:rPr>
        <w:t xml:space="preserve">Dz.U. L 433 I z 22.12.2020, </w:t>
      </w:r>
      <w:proofErr w:type="gramStart"/>
      <w:r w:rsidRPr="009C2EB4">
        <w:rPr>
          <w:sz w:val="24"/>
          <w:lang w:val="pl-PL"/>
        </w:rPr>
        <w:t>s</w:t>
      </w:r>
      <w:proofErr w:type="gramEnd"/>
      <w:r w:rsidRPr="009C2EB4">
        <w:rPr>
          <w:sz w:val="24"/>
          <w:lang w:val="pl-PL"/>
        </w:rPr>
        <w:t>. 28.</w:t>
      </w:r>
    </w:p>
  </w:footnote>
  <w:footnote w:id="6">
    <w:p w:rsidR="00B81BF1" w:rsidRPr="009C2EB4" w:rsidRDefault="00B81BF1" w:rsidP="009C2EB4">
      <w:pPr>
        <w:pStyle w:val="FootnoteText"/>
        <w:ind w:left="567" w:hanging="567"/>
        <w:rPr>
          <w:sz w:val="24"/>
          <w:lang w:val="pl-PL"/>
        </w:rPr>
      </w:pPr>
      <w:r w:rsidRPr="009C2EB4">
        <w:rPr>
          <w:rStyle w:val="FootnoteReference"/>
          <w:sz w:val="24"/>
          <w:lang w:val="pl-PL"/>
        </w:rPr>
        <w:footnoteRef/>
      </w:r>
      <w:r w:rsidR="009C2EB4" w:rsidRPr="009C2EB4">
        <w:rPr>
          <w:sz w:val="24"/>
          <w:lang w:val="pl-PL"/>
        </w:rPr>
        <w:t xml:space="preserve"> </w:t>
      </w:r>
      <w:r w:rsidR="009C2EB4" w:rsidRPr="009C2EB4">
        <w:rPr>
          <w:sz w:val="24"/>
          <w:lang w:val="pl-PL"/>
        </w:rPr>
        <w:tab/>
      </w:r>
      <w:r w:rsidRPr="009C2EB4">
        <w:rPr>
          <w:sz w:val="24"/>
          <w:lang w:val="pl-PL"/>
        </w:rPr>
        <w:t>Teksty przyjęte, P9_TA(2023)0335.</w:t>
      </w:r>
    </w:p>
  </w:footnote>
  <w:footnote w:id="7">
    <w:p w:rsidR="00B81BF1" w:rsidRPr="009C2EB4" w:rsidRDefault="00B81BF1" w:rsidP="009C2EB4">
      <w:pPr>
        <w:pStyle w:val="Action"/>
        <w:tabs>
          <w:tab w:val="clear" w:pos="357"/>
        </w:tabs>
        <w:spacing w:after="0"/>
        <w:ind w:left="567" w:hanging="567"/>
        <w:outlineLvl w:val="0"/>
      </w:pPr>
      <w:r w:rsidRPr="009C2EB4">
        <w:rPr>
          <w:rStyle w:val="FootnoteReference"/>
        </w:rPr>
        <w:footnoteRef/>
      </w:r>
      <w:r w:rsidR="009C2EB4" w:rsidRPr="009C2EB4">
        <w:t xml:space="preserve"> </w:t>
      </w:r>
      <w:r w:rsidR="009C2EB4" w:rsidRPr="009C2EB4">
        <w:tab/>
      </w:r>
      <w:r w:rsidRPr="009C2EB4">
        <w:t xml:space="preserve">Dz.U. C 177 z 17.5.2023, </w:t>
      </w:r>
      <w:proofErr w:type="gramStart"/>
      <w:r w:rsidRPr="009C2EB4">
        <w:t>s</w:t>
      </w:r>
      <w:proofErr w:type="gramEnd"/>
      <w:r w:rsidRPr="009C2EB4">
        <w:t>. 115.</w:t>
      </w:r>
    </w:p>
  </w:footnote>
  <w:footnote w:id="8">
    <w:p w:rsidR="00B81BF1" w:rsidRPr="009C2EB4" w:rsidRDefault="00B81BF1" w:rsidP="009C2EB4">
      <w:pPr>
        <w:pStyle w:val="FootnoteText"/>
        <w:ind w:left="567" w:hanging="567"/>
        <w:rPr>
          <w:sz w:val="24"/>
          <w:lang w:val="pl-PL"/>
        </w:rPr>
      </w:pPr>
      <w:r w:rsidRPr="009C2EB4">
        <w:rPr>
          <w:rStyle w:val="FootnoteReference"/>
          <w:sz w:val="24"/>
          <w:lang w:val="pl-PL"/>
        </w:rPr>
        <w:footnoteRef/>
      </w:r>
      <w:r w:rsidR="009C2EB4" w:rsidRPr="009C2EB4">
        <w:rPr>
          <w:rStyle w:val="Emphasis"/>
          <w:color w:val="333333"/>
          <w:sz w:val="24"/>
          <w:shd w:val="clear" w:color="auto" w:fill="FFFFFF"/>
          <w:lang w:val="pl-PL"/>
        </w:rPr>
        <w:t xml:space="preserve"> </w:t>
      </w:r>
      <w:r w:rsidR="009C2EB4" w:rsidRPr="009C2EB4">
        <w:rPr>
          <w:rStyle w:val="Emphasis"/>
          <w:color w:val="333333"/>
          <w:sz w:val="24"/>
          <w:shd w:val="clear" w:color="auto" w:fill="FFFFFF"/>
          <w:lang w:val="pl-PL"/>
        </w:rPr>
        <w:tab/>
      </w:r>
      <w:r w:rsidRPr="009C2EB4">
        <w:rPr>
          <w:rStyle w:val="Emphasis"/>
          <w:color w:val="333333"/>
          <w:sz w:val="24"/>
          <w:shd w:val="clear" w:color="auto" w:fill="FFFFFF"/>
          <w:lang w:val="pl-PL"/>
        </w:rPr>
        <w:t>Dz.U. L, 2024/765, 29.2.2024, ELI: http</w:t>
      </w:r>
      <w:proofErr w:type="gramStart"/>
      <w:r w:rsidRPr="009C2EB4">
        <w:rPr>
          <w:rStyle w:val="Emphasis"/>
          <w:color w:val="333333"/>
          <w:sz w:val="24"/>
          <w:shd w:val="clear" w:color="auto" w:fill="FFFFFF"/>
          <w:lang w:val="pl-PL"/>
        </w:rPr>
        <w:t>://data</w:t>
      </w:r>
      <w:proofErr w:type="gramEnd"/>
      <w:r w:rsidRPr="009C2EB4">
        <w:rPr>
          <w:rStyle w:val="Emphasis"/>
          <w:color w:val="333333"/>
          <w:sz w:val="24"/>
          <w:shd w:val="clear" w:color="auto" w:fill="FFFFFF"/>
          <w:lang w:val="pl-PL"/>
        </w:rPr>
        <w:t>.</w:t>
      </w:r>
      <w:proofErr w:type="gramStart"/>
      <w:r w:rsidRPr="009C2EB4">
        <w:rPr>
          <w:rStyle w:val="Emphasis"/>
          <w:color w:val="333333"/>
          <w:sz w:val="24"/>
          <w:shd w:val="clear" w:color="auto" w:fill="FFFFFF"/>
          <w:lang w:val="pl-PL"/>
        </w:rPr>
        <w:t>europa</w:t>
      </w:r>
      <w:proofErr w:type="gramEnd"/>
      <w:r w:rsidRPr="009C2EB4">
        <w:rPr>
          <w:rStyle w:val="Emphasis"/>
          <w:color w:val="333333"/>
          <w:sz w:val="24"/>
          <w:shd w:val="clear" w:color="auto" w:fill="FFFFFF"/>
          <w:lang w:val="pl-PL"/>
        </w:rPr>
        <w:t>.</w:t>
      </w:r>
      <w:proofErr w:type="gramStart"/>
      <w:r w:rsidRPr="009C2EB4">
        <w:rPr>
          <w:rStyle w:val="Emphasis"/>
          <w:color w:val="333333"/>
          <w:sz w:val="24"/>
          <w:shd w:val="clear" w:color="auto" w:fill="FFFFFF"/>
          <w:lang w:val="pl-PL"/>
        </w:rPr>
        <w:t>eu</w:t>
      </w:r>
      <w:proofErr w:type="gramEnd"/>
      <w:r w:rsidRPr="009C2EB4">
        <w:rPr>
          <w:rStyle w:val="Emphasis"/>
          <w:color w:val="333333"/>
          <w:sz w:val="24"/>
          <w:shd w:val="clear" w:color="auto" w:fill="FFFFFF"/>
          <w:lang w:val="pl-PL"/>
        </w:rPr>
        <w:t>/eli/reg/2024/765/oj</w:t>
      </w:r>
    </w:p>
  </w:footnote>
  <w:footnote w:id="9">
    <w:p w:rsidR="00B81BF1" w:rsidRPr="009C2EB4" w:rsidRDefault="00B81BF1" w:rsidP="009C2EB4">
      <w:pPr>
        <w:pStyle w:val="FootnoteText"/>
        <w:ind w:left="567" w:hanging="567"/>
        <w:rPr>
          <w:sz w:val="24"/>
          <w:lang w:val="pl-PL"/>
        </w:rPr>
      </w:pPr>
      <w:r w:rsidRPr="009C2EB4">
        <w:rPr>
          <w:rStyle w:val="FootnoteReference"/>
          <w:sz w:val="24"/>
          <w:lang w:val="pl-PL"/>
        </w:rPr>
        <w:footnoteRef/>
      </w:r>
      <w:r w:rsidR="009C2EB4" w:rsidRPr="009C2EB4">
        <w:rPr>
          <w:sz w:val="24"/>
          <w:lang w:val="pl-PL"/>
        </w:rPr>
        <w:t xml:space="preserve"> </w:t>
      </w:r>
      <w:r w:rsidR="009C2EB4" w:rsidRPr="009C2EB4">
        <w:rPr>
          <w:sz w:val="24"/>
          <w:lang w:val="pl-PL"/>
        </w:rPr>
        <w:tab/>
      </w:r>
      <w:r w:rsidRPr="009C2EB4">
        <w:rPr>
          <w:sz w:val="24"/>
          <w:lang w:val="pl-PL"/>
        </w:rPr>
        <w:t>COM(2022)0223.</w:t>
      </w:r>
    </w:p>
  </w:footnote>
  <w:footnote w:id="10">
    <w:p w:rsidR="00B81BF1" w:rsidRPr="009C2EB4" w:rsidRDefault="00B81BF1" w:rsidP="009C2EB4">
      <w:pPr>
        <w:pStyle w:val="FootnoteText"/>
        <w:ind w:left="567" w:hanging="567"/>
        <w:rPr>
          <w:sz w:val="24"/>
          <w:lang w:val="pl-PL"/>
        </w:rPr>
      </w:pPr>
      <w:r w:rsidRPr="009C2EB4">
        <w:rPr>
          <w:rStyle w:val="FootnoteReference"/>
          <w:sz w:val="24"/>
          <w:lang w:val="pl-PL"/>
        </w:rPr>
        <w:footnoteRef/>
      </w:r>
      <w:r w:rsidR="009C2EB4" w:rsidRPr="009C2EB4">
        <w:rPr>
          <w:sz w:val="24"/>
          <w:lang w:val="pl-PL"/>
        </w:rPr>
        <w:t xml:space="preserve"> </w:t>
      </w:r>
      <w:r w:rsidR="009C2EB4" w:rsidRPr="009C2EB4">
        <w:rPr>
          <w:sz w:val="24"/>
          <w:lang w:val="pl-PL"/>
        </w:rPr>
        <w:tab/>
      </w:r>
      <w:r w:rsidRPr="009C2EB4">
        <w:rPr>
          <w:sz w:val="24"/>
          <w:lang w:val="pl-PL"/>
        </w:rPr>
        <w:t xml:space="preserve">Dz.U. L 287 z 29.10.2013, </w:t>
      </w:r>
      <w:proofErr w:type="gramStart"/>
      <w:r w:rsidRPr="009C2EB4">
        <w:rPr>
          <w:sz w:val="24"/>
          <w:lang w:val="pl-PL"/>
        </w:rPr>
        <w:t>s</w:t>
      </w:r>
      <w:proofErr w:type="gramEnd"/>
      <w:r w:rsidRPr="009C2EB4">
        <w:rPr>
          <w:sz w:val="24"/>
          <w:lang w:val="pl-PL"/>
        </w:rPr>
        <w:t>. 15.</w:t>
      </w:r>
    </w:p>
  </w:footnote>
  <w:footnote w:id="11">
    <w:p w:rsidR="00B81BF1" w:rsidRPr="009C2EB4" w:rsidRDefault="00B81BF1" w:rsidP="009C2EB4">
      <w:pPr>
        <w:pStyle w:val="FootnoteText"/>
        <w:ind w:left="567" w:hanging="567"/>
        <w:rPr>
          <w:sz w:val="24"/>
          <w:lang w:val="pl-PL"/>
        </w:rPr>
      </w:pPr>
      <w:r w:rsidRPr="009C2EB4">
        <w:rPr>
          <w:rStyle w:val="FootnoteReference"/>
          <w:sz w:val="24"/>
          <w:lang w:val="pl-PL"/>
        </w:rPr>
        <w:footnoteRef/>
      </w:r>
      <w:r w:rsidR="009C2EB4" w:rsidRPr="009C2EB4">
        <w:rPr>
          <w:sz w:val="24"/>
          <w:lang w:val="pl-PL"/>
        </w:rPr>
        <w:t xml:space="preserve"> </w:t>
      </w:r>
      <w:r w:rsidR="009C2EB4" w:rsidRPr="009C2EB4">
        <w:rPr>
          <w:sz w:val="24"/>
          <w:lang w:val="pl-PL"/>
        </w:rPr>
        <w:tab/>
      </w:r>
      <w:r w:rsidRPr="009C2EB4">
        <w:rPr>
          <w:sz w:val="24"/>
          <w:lang w:val="pl-PL"/>
        </w:rPr>
        <w:t>Teksty przyjęte, P9_TA(2023)0119.</w:t>
      </w:r>
    </w:p>
  </w:footnote>
  <w:footnote w:id="12">
    <w:p w:rsidR="00B81BF1" w:rsidRPr="009C2EB4" w:rsidRDefault="00B81BF1" w:rsidP="009C2EB4">
      <w:pPr>
        <w:pStyle w:val="FootnoteText"/>
        <w:ind w:left="567" w:hanging="567"/>
        <w:rPr>
          <w:sz w:val="24"/>
          <w:lang w:val="pl-PL"/>
        </w:rPr>
      </w:pPr>
      <w:r w:rsidRPr="009C2EB4">
        <w:rPr>
          <w:rStyle w:val="FootnoteReference"/>
          <w:sz w:val="24"/>
          <w:lang w:val="pl-PL"/>
        </w:rPr>
        <w:footnoteRef/>
      </w:r>
      <w:r w:rsidR="009C2EB4" w:rsidRPr="009C2EB4">
        <w:rPr>
          <w:sz w:val="24"/>
          <w:lang w:val="pl-PL"/>
        </w:rPr>
        <w:t xml:space="preserve"> </w:t>
      </w:r>
      <w:r w:rsidR="009C2EB4" w:rsidRPr="009C2EB4">
        <w:rPr>
          <w:sz w:val="24"/>
          <w:lang w:val="pl-PL"/>
        </w:rPr>
        <w:tab/>
      </w:r>
      <w:r w:rsidRPr="009C2EB4">
        <w:rPr>
          <w:sz w:val="24"/>
          <w:lang w:val="pl-PL"/>
        </w:rPr>
        <w:t>Teksty przyjęte, P9_TA(2023)0367.</w:t>
      </w:r>
    </w:p>
  </w:footnote>
  <w:footnote w:id="13">
    <w:p w:rsidR="00B81BF1" w:rsidRPr="009C2EB4" w:rsidRDefault="00B81BF1" w:rsidP="009C2EB4">
      <w:pPr>
        <w:pStyle w:val="FootnoteText"/>
        <w:ind w:left="567" w:hanging="567"/>
        <w:rPr>
          <w:sz w:val="24"/>
          <w:lang w:val="pl-PL"/>
        </w:rPr>
      </w:pPr>
      <w:r w:rsidRPr="009C2EB4">
        <w:rPr>
          <w:rStyle w:val="FootnoteReference"/>
          <w:sz w:val="24"/>
          <w:lang w:val="pl-PL"/>
        </w:rPr>
        <w:footnoteRef/>
      </w:r>
      <w:r w:rsidR="009C2EB4" w:rsidRPr="009C2EB4">
        <w:rPr>
          <w:sz w:val="24"/>
          <w:lang w:val="pl-PL"/>
        </w:rPr>
        <w:t xml:space="preserve"> </w:t>
      </w:r>
      <w:r w:rsidR="009C2EB4" w:rsidRPr="009C2EB4">
        <w:rPr>
          <w:sz w:val="24"/>
          <w:lang w:val="pl-PL"/>
        </w:rPr>
        <w:tab/>
      </w:r>
      <w:r w:rsidR="00FF0687">
        <w:rPr>
          <w:sz w:val="24"/>
          <w:lang w:val="pl-PL"/>
        </w:rPr>
        <w:t>Dz.U. L 207 z 22.2.2024</w:t>
      </w:r>
      <w:r w:rsidRPr="009C2EB4">
        <w:rPr>
          <w:sz w:val="24"/>
          <w:lang w:val="pl-PL"/>
        </w:rPr>
        <w:t>.</w:t>
      </w:r>
    </w:p>
  </w:footnote>
  <w:footnote w:id="14">
    <w:p w:rsidR="00B81BF1" w:rsidRPr="009C2EB4" w:rsidRDefault="00B81BF1" w:rsidP="009C2EB4">
      <w:pPr>
        <w:pStyle w:val="FootnoteText"/>
        <w:ind w:left="567" w:hanging="567"/>
        <w:rPr>
          <w:sz w:val="24"/>
          <w:lang w:val="pl-PL"/>
        </w:rPr>
      </w:pPr>
      <w:r w:rsidRPr="009C2EB4">
        <w:rPr>
          <w:rStyle w:val="FootnoteReference"/>
          <w:sz w:val="24"/>
          <w:lang w:val="pl-PL"/>
        </w:rPr>
        <w:footnoteRef/>
      </w:r>
      <w:r w:rsidR="009C2EB4" w:rsidRPr="009C2EB4">
        <w:rPr>
          <w:sz w:val="24"/>
          <w:lang w:val="pl-PL"/>
        </w:rPr>
        <w:t xml:space="preserve"> </w:t>
      </w:r>
      <w:r w:rsidR="009C2EB4" w:rsidRPr="009C2EB4">
        <w:rPr>
          <w:sz w:val="24"/>
          <w:lang w:val="pl-PL"/>
        </w:rPr>
        <w:tab/>
      </w:r>
      <w:r w:rsidRPr="009C2EB4">
        <w:rPr>
          <w:sz w:val="24"/>
          <w:lang w:val="pl-PL"/>
        </w:rPr>
        <w:t>Teksty przyjęte, P9_TA(2022)0366.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C2EB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C2EB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C2EB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80/2024"/>
    <w:docVar w:name="dvlangue" w:val="PL"/>
    <w:docVar w:name="dvnumam" w:val="0"/>
    <w:docVar w:name="dvpe" w:val="759.633"/>
    <w:docVar w:name="dvrapporteur" w:val="Sprawozdawca: "/>
    <w:docVar w:name="dvtitre" w:val="Rezolucja Parlamentu Europejskiego z dnia  2024 r. w sprawie preliminarza dochodów i wydatków Parlamentu Europejskiego na rok budżetowy 2025(2023/2221(BUI))"/>
  </w:docVars>
  <w:rsids>
    <w:rsidRoot w:val="00B67D2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2EB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7D2E"/>
    <w:rsid w:val="00B81BF1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70AC"/>
    <w:rsid w:val="00E820A4"/>
    <w:rsid w:val="00E8595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0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030F4E"/>
  <w15:chartTrackingRefBased/>
  <w15:docId w15:val="{396148FE-EBDB-4F19-B74C-D0A47768E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BVI fnr,Footnote symbol,Footnote,Footnote Reference Number,Footnote Reference_LVL6,Footnote Reference_LVL61,Footnote Reference_LVL62,Footnote Reference_LVL63,Footnote Reference_LVL64,C26 Footnote Number,Footnote Reference_LVL65,16 Poi"/>
    <w:link w:val="FootnoteReference1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B81BF1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locked/>
    <w:rsid w:val="00B81BF1"/>
    <w:rPr>
      <w:sz w:val="24"/>
      <w:lang w:val="pl-PL"/>
    </w:rPr>
  </w:style>
  <w:style w:type="paragraph" w:customStyle="1" w:styleId="EPComma">
    <w:name w:val="EPComma"/>
    <w:basedOn w:val="Normal"/>
    <w:rsid w:val="00B81BF1"/>
    <w:pPr>
      <w:spacing w:before="480" w:after="240"/>
    </w:pPr>
  </w:style>
  <w:style w:type="paragraph" w:customStyle="1" w:styleId="FootnoteReference1">
    <w:name w:val="Footnote Reference1"/>
    <w:basedOn w:val="Normal"/>
    <w:link w:val="FootnoteReference"/>
    <w:rsid w:val="00B81BF1"/>
    <w:pPr>
      <w:widowControl/>
      <w:spacing w:after="160" w:line="240" w:lineRule="exact"/>
    </w:pPr>
    <w:rPr>
      <w:sz w:val="20"/>
      <w:vertAlign w:val="superscript"/>
      <w:lang w:val="en-GB"/>
    </w:rPr>
  </w:style>
  <w:style w:type="paragraph" w:customStyle="1" w:styleId="Action">
    <w:name w:val="Action"/>
    <w:basedOn w:val="Normal"/>
    <w:rsid w:val="00B81BF1"/>
    <w:pPr>
      <w:tabs>
        <w:tab w:val="left" w:pos="357"/>
      </w:tabs>
      <w:spacing w:after="240"/>
      <w:ind w:left="357" w:hanging="357"/>
    </w:pPr>
  </w:style>
  <w:style w:type="paragraph" w:customStyle="1" w:styleId="action0">
    <w:name w:val="action"/>
    <w:basedOn w:val="Normal"/>
    <w:rsid w:val="00B81BF1"/>
    <w:pPr>
      <w:widowControl/>
      <w:spacing w:after="240"/>
      <w:ind w:left="357" w:hanging="357"/>
    </w:pPr>
    <w:rPr>
      <w:rFonts w:eastAsiaTheme="minorHAnsi"/>
      <w:szCs w:val="24"/>
    </w:rPr>
  </w:style>
  <w:style w:type="character" w:customStyle="1" w:styleId="doceo-font-family-base">
    <w:name w:val="doceo-font-family-base"/>
    <w:basedOn w:val="DefaultParagraphFont"/>
    <w:rsid w:val="00B81BF1"/>
  </w:style>
  <w:style w:type="character" w:styleId="Emphasis">
    <w:name w:val="Emphasis"/>
    <w:basedOn w:val="DefaultParagraphFont"/>
    <w:uiPriority w:val="20"/>
    <w:qFormat/>
    <w:rsid w:val="00B81B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C449CF-D5E3-4DE8-9B9C-6942EDBE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2845</Words>
  <Characters>18539</Characters>
  <Application>Microsoft Office Word</Application>
  <DocSecurity>0</DocSecurity>
  <Lines>154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2024-04-25T12:22:00Z</dcterms:created>
  <dcterms:modified xsi:type="dcterms:W3CDTF">2024-04-25T12:22:00Z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A9-0180/2024</vt:lpwstr>
  </property>
  <property fmtid="{D5CDD505-2E9C-101B-9397-08002B2CF9AE}" pid="4" name="&lt;Type&gt;">
    <vt:lpwstr>RR</vt:lpwstr>
  </property>
</Properties>
</file>