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74CD" w14:paraId="6134F7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7A19F2" w14:textId="440E0E71" w:rsidR="00751A4A" w:rsidRPr="005074CD" w:rsidRDefault="00310D50" w:rsidP="0010095E">
            <w:pPr>
              <w:pStyle w:val="EPName"/>
            </w:pPr>
            <w:proofErr w:type="gramStart"/>
            <w:r>
              <w:t>TA</w:t>
            </w:r>
            <w:proofErr w:type="gramEnd"/>
            <w:r>
              <w:t xml:space="preserve"> 3</w:t>
            </w:r>
            <w:r w:rsidR="00916F69" w:rsidRPr="005074CD">
              <w:t>Parlamento Europeu</w:t>
            </w:r>
          </w:p>
          <w:p w14:paraId="3D423F44" w14:textId="77777777" w:rsidR="00751A4A" w:rsidRPr="005074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74C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181F230" w14:textId="77777777" w:rsidR="00751A4A" w:rsidRPr="005074CD" w:rsidRDefault="00187494" w:rsidP="0010095E">
            <w:pPr>
              <w:pStyle w:val="EPLogo"/>
            </w:pPr>
            <w:r w:rsidRPr="005074CD">
              <w:rPr>
                <w:noProof/>
                <w:lang w:val="en-GB"/>
              </w:rPr>
              <w:drawing>
                <wp:inline distT="0" distB="0" distL="0" distR="0" wp14:anchorId="58B681E7" wp14:editId="6CA26C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FA533B" w14:textId="77777777" w:rsidR="00D058B8" w:rsidRPr="005074CD" w:rsidRDefault="00D058B8" w:rsidP="004C5D52">
      <w:pPr>
        <w:pStyle w:val="LineTop"/>
      </w:pPr>
    </w:p>
    <w:p w14:paraId="6957E3E2" w14:textId="77777777" w:rsidR="00680577" w:rsidRPr="005074CD" w:rsidRDefault="00916F69" w:rsidP="00680577">
      <w:pPr>
        <w:pStyle w:val="EPBodyTA1"/>
      </w:pPr>
      <w:r w:rsidRPr="005074CD">
        <w:t>TEXTOS APROVADOS</w:t>
      </w:r>
    </w:p>
    <w:p w14:paraId="6BCE530E" w14:textId="77777777" w:rsidR="00D058B8" w:rsidRPr="005074CD" w:rsidRDefault="00D058B8" w:rsidP="00D058B8">
      <w:pPr>
        <w:pStyle w:val="LineBottom"/>
      </w:pPr>
    </w:p>
    <w:p w14:paraId="655526E3" w14:textId="1DBCF3C0" w:rsidR="00916F69" w:rsidRPr="005074CD" w:rsidRDefault="00916F69" w:rsidP="00916F69">
      <w:pPr>
        <w:pStyle w:val="ATHeading1"/>
      </w:pPr>
      <w:bookmarkStart w:id="0" w:name="TANumber"/>
      <w:r w:rsidRPr="005074CD">
        <w:t>P9_</w:t>
      </w:r>
      <w:proofErr w:type="gramStart"/>
      <w:r w:rsidRPr="005074CD">
        <w:t>TA(</w:t>
      </w:r>
      <w:proofErr w:type="gramEnd"/>
      <w:r w:rsidRPr="005074CD">
        <w:t>2024)</w:t>
      </w:r>
      <w:bookmarkEnd w:id="0"/>
      <w:r w:rsidR="00F63C55" w:rsidRPr="005074CD">
        <w:t>0373</w:t>
      </w:r>
    </w:p>
    <w:p w14:paraId="0EC1B466" w14:textId="77777777" w:rsidR="00916F69" w:rsidRPr="005074CD" w:rsidRDefault="005F3904" w:rsidP="00916F69">
      <w:pPr>
        <w:pStyle w:val="ATHeading2"/>
      </w:pPr>
      <w:r w:rsidRPr="005074CD">
        <w:t>Previsão de receitas e despesas para o exercício de 2025 - Secção I - Parlamento Europeu</w:t>
      </w:r>
    </w:p>
    <w:p w14:paraId="3832700B" w14:textId="77777777" w:rsidR="00916F69" w:rsidRPr="005074CD" w:rsidRDefault="00916F69" w:rsidP="00916F69">
      <w:pPr>
        <w:rPr>
          <w:i/>
          <w:vanish/>
        </w:rPr>
      </w:pPr>
      <w:r w:rsidRPr="005074CD">
        <w:rPr>
          <w:i/>
        </w:rPr>
        <w:fldChar w:fldCharType="begin"/>
      </w:r>
      <w:r w:rsidRPr="005074CD">
        <w:rPr>
          <w:i/>
        </w:rPr>
        <w:instrText xml:space="preserve"> TC"(</w:instrText>
      </w:r>
      <w:bookmarkStart w:id="1" w:name="DocNumber"/>
      <w:r w:rsidRPr="005074CD">
        <w:rPr>
          <w:i/>
        </w:rPr>
        <w:instrText>A9-0180/2024</w:instrText>
      </w:r>
      <w:bookmarkEnd w:id="1"/>
      <w:r w:rsidRPr="005074CD">
        <w:rPr>
          <w:i/>
        </w:rPr>
        <w:instrText xml:space="preserve"> - Relatora: Anna-Michelle </w:instrText>
      </w:r>
      <w:proofErr w:type="spellStart"/>
      <w:r w:rsidRPr="005074CD">
        <w:rPr>
          <w:i/>
        </w:rPr>
        <w:instrText>Asimakopoulou</w:instrText>
      </w:r>
      <w:proofErr w:type="spellEnd"/>
      <w:r w:rsidRPr="005074CD">
        <w:rPr>
          <w:i/>
        </w:rPr>
        <w:instrText xml:space="preserve">)"\l3 \n&gt; \* MERGEFORMAT </w:instrText>
      </w:r>
      <w:r w:rsidRPr="005074CD">
        <w:rPr>
          <w:i/>
        </w:rPr>
        <w:fldChar w:fldCharType="end"/>
      </w:r>
    </w:p>
    <w:p w14:paraId="02011850" w14:textId="77777777" w:rsidR="00916F69" w:rsidRPr="005074CD" w:rsidRDefault="00916F69" w:rsidP="00916F69">
      <w:pPr>
        <w:rPr>
          <w:vanish/>
        </w:rPr>
      </w:pPr>
      <w:bookmarkStart w:id="2" w:name="Commission"/>
      <w:r w:rsidRPr="005074CD">
        <w:rPr>
          <w:vanish/>
        </w:rPr>
        <w:t>Comissão dos Orçamentos</w:t>
      </w:r>
      <w:bookmarkEnd w:id="2"/>
    </w:p>
    <w:p w14:paraId="7F0E5F05" w14:textId="77777777" w:rsidR="00916F69" w:rsidRPr="005074CD" w:rsidRDefault="00916F69" w:rsidP="00916F69">
      <w:pPr>
        <w:rPr>
          <w:vanish/>
        </w:rPr>
      </w:pPr>
      <w:bookmarkStart w:id="3" w:name="PE"/>
      <w:r w:rsidRPr="005074CD">
        <w:rPr>
          <w:vanish/>
        </w:rPr>
        <w:t>PE759.633</w:t>
      </w:r>
      <w:bookmarkEnd w:id="3"/>
    </w:p>
    <w:p w14:paraId="6560383B" w14:textId="37833299" w:rsidR="00916F69" w:rsidRPr="005074CD" w:rsidRDefault="00916F69" w:rsidP="00916F69">
      <w:pPr>
        <w:pStyle w:val="ATHeading3"/>
      </w:pPr>
      <w:bookmarkStart w:id="4" w:name="Sujet"/>
      <w:r w:rsidRPr="005074CD">
        <w:t xml:space="preserve">Resolução do Parlamento Europeu, de </w:t>
      </w:r>
      <w:r w:rsidR="00F85B55" w:rsidRPr="005074CD">
        <w:t xml:space="preserve">25 </w:t>
      </w:r>
      <w:r w:rsidRPr="005074CD">
        <w:t xml:space="preserve">de </w:t>
      </w:r>
      <w:r w:rsidR="00F85B55" w:rsidRPr="005074CD">
        <w:t xml:space="preserve">abril </w:t>
      </w:r>
      <w:r w:rsidRPr="005074CD">
        <w:t>de 2024, sobre a previsão de receitas e despesas do Parlamento Europeu para o exercício de 2025</w:t>
      </w:r>
      <w:bookmarkEnd w:id="4"/>
      <w:r w:rsidRPr="005074CD">
        <w:t xml:space="preserve"> </w:t>
      </w:r>
      <w:bookmarkStart w:id="5" w:name="References"/>
      <w:r w:rsidRPr="005074CD">
        <w:t>(2023/2221(BUI))</w:t>
      </w:r>
      <w:bookmarkEnd w:id="5"/>
    </w:p>
    <w:p w14:paraId="375A121D" w14:textId="77777777" w:rsidR="00BA367D" w:rsidRPr="005074CD" w:rsidRDefault="00BA367D" w:rsidP="00BA367D">
      <w:pPr>
        <w:pStyle w:val="EPComma"/>
      </w:pPr>
      <w:bookmarkStart w:id="6" w:name="TextBodyBegin"/>
      <w:bookmarkEnd w:id="6"/>
      <w:r w:rsidRPr="005074CD">
        <w:rPr>
          <w:i/>
        </w:rPr>
        <w:t>O Parlamento Europeu</w:t>
      </w:r>
      <w:r w:rsidRPr="005074CD">
        <w:t>,</w:t>
      </w:r>
    </w:p>
    <w:p w14:paraId="1575C4D8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artigo 314.º do Tratado sobre o Funcionamento da União Europeia,</w:t>
      </w:r>
    </w:p>
    <w:p w14:paraId="620D51EE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Euratom) n.º 966/2012</w:t>
      </w:r>
      <w:r w:rsidRPr="005074CD">
        <w:rPr>
          <w:rStyle w:val="FootnoteReference"/>
          <w:szCs w:val="24"/>
        </w:rPr>
        <w:footnoteReference w:id="1"/>
      </w:r>
      <w:r w:rsidRPr="005074CD">
        <w:t>,</w:t>
      </w:r>
    </w:p>
    <w:p w14:paraId="340D11E5" w14:textId="58642DDF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 xml:space="preserve">Tendo em conta o </w:t>
      </w:r>
      <w:r w:rsidR="00310D50">
        <w:t xml:space="preserve">Regulamento (UE, Euratom) </w:t>
      </w:r>
      <w:r w:rsidRPr="005074CD">
        <w:t>2020/2093 do Conselho, de 17 de dezembro de 2020, que estabelece o quadro financeiro pl</w:t>
      </w:r>
      <w:r w:rsidR="00F85B55" w:rsidRPr="005074CD">
        <w:t>urianual para os anos de 2021 a </w:t>
      </w:r>
      <w:r w:rsidRPr="005074CD">
        <w:t>2027</w:t>
      </w:r>
      <w:r w:rsidRPr="005074CD">
        <w:rPr>
          <w:szCs w:val="24"/>
          <w:vertAlign w:val="superscript"/>
        </w:rPr>
        <w:footnoteReference w:id="2"/>
      </w:r>
      <w:r w:rsidRPr="005074CD">
        <w:t>, e as declarações comuns acordadas pelo Parlamento, pelo Conselho e pela Comissão neste contexto</w:t>
      </w:r>
      <w:r w:rsidRPr="005074CD">
        <w:rPr>
          <w:szCs w:val="24"/>
          <w:vertAlign w:val="superscript"/>
        </w:rPr>
        <w:footnoteReference w:id="3"/>
      </w:r>
      <w:r w:rsidRPr="005074CD">
        <w:t>, bem como as declarações unilaterais conexas</w:t>
      </w:r>
      <w:r w:rsidRPr="005074CD">
        <w:rPr>
          <w:szCs w:val="24"/>
          <w:vertAlign w:val="superscript"/>
        </w:rPr>
        <w:footnoteReference w:id="4"/>
      </w:r>
      <w:r w:rsidRPr="005074CD">
        <w:t xml:space="preserve">, </w:t>
      </w:r>
    </w:p>
    <w:p w14:paraId="74745063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5074CD">
        <w:rPr>
          <w:rStyle w:val="FootnoteReference"/>
          <w:szCs w:val="24"/>
        </w:rPr>
        <w:footnoteReference w:id="5"/>
      </w:r>
      <w:r w:rsidRPr="005074CD">
        <w:t>,</w:t>
      </w:r>
    </w:p>
    <w:p w14:paraId="2D3CC9C5" w14:textId="63006722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seu relatório provisório</w:t>
      </w:r>
      <w:r w:rsidR="004F0F14" w:rsidRPr="005074CD">
        <w:t>, de 3 de outubro de 2023,</w:t>
      </w:r>
      <w:r w:rsidRPr="005074CD">
        <w:t xml:space="preserve"> sobre a proposta de </w:t>
      </w:r>
      <w:r w:rsidRPr="005074CD">
        <w:lastRenderedPageBreak/>
        <w:t>revisão intercalar do Quadro Financeiro Plurianual 2021</w:t>
      </w:r>
      <w:r w:rsidRPr="005074CD">
        <w:noBreakHyphen/>
        <w:t>2027</w:t>
      </w:r>
      <w:r w:rsidRPr="005074CD">
        <w:rPr>
          <w:szCs w:val="24"/>
          <w:vertAlign w:val="superscript"/>
        </w:rPr>
        <w:footnoteReference w:id="6"/>
      </w:r>
      <w:r w:rsidRPr="005074CD">
        <w:t>,</w:t>
      </w:r>
    </w:p>
    <w:p w14:paraId="10156250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a sua resolução, de 15 de dezembro de 2022, sobre a melhoria do quadro financeiro plurianual 2021</w:t>
      </w:r>
      <w:r w:rsidRPr="005074CD">
        <w:noBreakHyphen/>
        <w:t>2027: um orçamento da União resiliente e adaptado aos novos desafios</w:t>
      </w:r>
      <w:r w:rsidRPr="005074CD">
        <w:rPr>
          <w:szCs w:val="24"/>
          <w:vertAlign w:val="superscript"/>
        </w:rPr>
        <w:footnoteReference w:id="7"/>
      </w:r>
      <w:r w:rsidRPr="005074CD">
        <w:t xml:space="preserve">, </w:t>
      </w:r>
    </w:p>
    <w:p w14:paraId="1F693F14" w14:textId="70AE52E8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 xml:space="preserve">Tendo em conta o Regulamento (UE, Euratom) 2024/765 do Conselho, de 29 de fevereiro de 2024, que altera </w:t>
      </w:r>
      <w:r w:rsidR="00310D50">
        <w:t xml:space="preserve">o Regulamento (UE, Euratom) </w:t>
      </w:r>
      <w:bookmarkStart w:id="7" w:name="_GoBack"/>
      <w:r w:rsidRPr="005074CD">
        <w:t>2020/2093</w:t>
      </w:r>
      <w:bookmarkEnd w:id="7"/>
      <w:r w:rsidRPr="005074CD">
        <w:t>, que estabelece o quadro financeiro plurianual para o período 2021</w:t>
      </w:r>
      <w:r w:rsidRPr="005074CD">
        <w:noBreakHyphen/>
        <w:t>2027</w:t>
      </w:r>
      <w:r w:rsidRPr="005074CD">
        <w:rPr>
          <w:rStyle w:val="FootnoteReference"/>
          <w:szCs w:val="24"/>
        </w:rPr>
        <w:footnoteReference w:id="8"/>
      </w:r>
      <w:r w:rsidRPr="005074CD">
        <w:t xml:space="preserve"> (revisão do QFP),</w:t>
      </w:r>
    </w:p>
    <w:p w14:paraId="23A59598" w14:textId="656F15EC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a proposta da Comissão</w:t>
      </w:r>
      <w:r w:rsidR="0075474A" w:rsidRPr="005074CD">
        <w:t>, de 16 de maio de 2022,</w:t>
      </w:r>
      <w:r w:rsidRPr="005074CD">
        <w:t xml:space="preserve"> de Regulamento do Parlamento Europeu e do Conselho</w:t>
      </w:r>
      <w:r w:rsidR="0075474A" w:rsidRPr="005074CD">
        <w:t xml:space="preserve"> </w:t>
      </w:r>
      <w:r w:rsidRPr="005074CD">
        <w:t>relativo às disposições financeiras aplicáveis ao orçamento geral da União</w:t>
      </w:r>
      <w:r w:rsidRPr="005074CD">
        <w:rPr>
          <w:rStyle w:val="FootnoteReference"/>
          <w:szCs w:val="24"/>
        </w:rPr>
        <w:footnoteReference w:id="9"/>
      </w:r>
      <w:r w:rsidRPr="005074CD">
        <w:t>,</w:t>
      </w:r>
    </w:p>
    <w:p w14:paraId="2268ABF5" w14:textId="71A8DF64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Regulamento (UE, Euratom) n.º 1023/2013 do Parlamento Europeu e do Conselho, de 22 de outubro de 2013, que altera o Estatuto dos Funcionários da União Europeia e o Regime aplicável aos outros agentes da União Europeia</w:t>
      </w:r>
      <w:r w:rsidRPr="005074CD">
        <w:rPr>
          <w:rStyle w:val="FootnoteReference"/>
          <w:szCs w:val="24"/>
        </w:rPr>
        <w:footnoteReference w:id="10"/>
      </w:r>
      <w:r w:rsidRPr="005074CD">
        <w:t>,</w:t>
      </w:r>
    </w:p>
    <w:p w14:paraId="24999146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a sua resolução, de 20 de abril de 2023, sobre a previsão de receitas e despesas do Parlamento Europeu para o exercício de 2024</w:t>
      </w:r>
      <w:r w:rsidRPr="005074CD">
        <w:rPr>
          <w:rStyle w:val="FootnoteReference"/>
          <w:szCs w:val="24"/>
        </w:rPr>
        <w:footnoteReference w:id="11"/>
      </w:r>
      <w:r w:rsidRPr="005074CD">
        <w:t xml:space="preserve">, </w:t>
      </w:r>
    </w:p>
    <w:p w14:paraId="3266F7E8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a sua resolução, de 18 de outubro de 2023, referente à posição do Conselho sobre o projeto de orçamento geral da União Europeia para o exercício de 2024</w:t>
      </w:r>
      <w:r w:rsidRPr="005074CD">
        <w:rPr>
          <w:rStyle w:val="FootnoteReference"/>
          <w:szCs w:val="24"/>
        </w:rPr>
        <w:footnoteReference w:id="12"/>
      </w:r>
      <w:r w:rsidRPr="005074CD">
        <w:t xml:space="preserve">, </w:t>
      </w:r>
    </w:p>
    <w:p w14:paraId="33415214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orçamento geral da União Europeia para o exercício de 2024</w:t>
      </w:r>
      <w:r w:rsidRPr="005074CD">
        <w:rPr>
          <w:rStyle w:val="FootnoteReference"/>
          <w:szCs w:val="24"/>
        </w:rPr>
        <w:footnoteReference w:id="13"/>
      </w:r>
      <w:r w:rsidRPr="005074CD">
        <w:t xml:space="preserve"> e as declarações comuns anexas, assinadas pelo Parlamento, pelo Conselho e pela Comissão, </w:t>
      </w:r>
    </w:p>
    <w:p w14:paraId="6BF69816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relatório do Secretário</w:t>
      </w:r>
      <w:r w:rsidRPr="005074CD">
        <w:noBreakHyphen/>
        <w:t>Geral à Mesa com vista à elaboração do anteprojeto de previsão de receitas e despesas do Parlamento para o exercício de 2025,</w:t>
      </w:r>
    </w:p>
    <w:p w14:paraId="6E35877D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anteprojeto de previsão de receitas e despesas que a Mesa elaborou em 11 de março de 2024, nos termos do artigo 25.º, n.º 7, e do artigo 102.º, n.º 1, do Regimento do Parlamento Europeu,</w:t>
      </w:r>
    </w:p>
    <w:p w14:paraId="169BBE39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projeto de previsão de receitas e despesas que a Comissão dos Orçamentos elaborou, em conformidade com o disposto no artigo 102.º, n.º 2, do Regimento do Parlamento Europeu,</w:t>
      </w:r>
    </w:p>
    <w:p w14:paraId="6FDD5544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artigo 102.º do seu Regimento,</w:t>
      </w:r>
    </w:p>
    <w:p w14:paraId="191CF343" w14:textId="77777777" w:rsidR="00BA367D" w:rsidRPr="005074CD" w:rsidRDefault="00BA367D" w:rsidP="00BA367D">
      <w:pPr>
        <w:pStyle w:val="NormalHanging12a"/>
        <w:rPr>
          <w:szCs w:val="24"/>
        </w:rPr>
      </w:pPr>
      <w:r w:rsidRPr="005074CD">
        <w:t>–</w:t>
      </w:r>
      <w:r w:rsidRPr="005074CD">
        <w:tab/>
        <w:t>Tendo em conta o relatório da Comissão dos Orçamentos (A9</w:t>
      </w:r>
      <w:r w:rsidRPr="005074CD">
        <w:noBreakHyphen/>
        <w:t>0180/2024),</w:t>
      </w:r>
    </w:p>
    <w:p w14:paraId="06AD1800" w14:textId="77777777" w:rsidR="00BA367D" w:rsidRPr="005074CD" w:rsidRDefault="00BA367D" w:rsidP="00BA367D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5074CD">
        <w:lastRenderedPageBreak/>
        <w:t>A.</w:t>
      </w:r>
      <w:r w:rsidRPr="005074CD">
        <w:tab/>
        <w:t>Considerando que o orçamento proposto pelo Secretário</w:t>
      </w:r>
      <w:r w:rsidRPr="005074CD">
        <w:noBreakHyphen/>
        <w:t xml:space="preserve">Geral, em 26 de fevereiro de 2024, para o anteprojeto de previsão de receitas e despesas do Parlamento para 2025 ascende a 2 507 233 329 EUR e representa um aumento de 5,21%, ou seja, 124 132 017 EUR, em comparação com o orçamento de 2024; </w:t>
      </w:r>
    </w:p>
    <w:p w14:paraId="397E767E" w14:textId="77777777" w:rsidR="00BA367D" w:rsidRPr="005074CD" w:rsidRDefault="00BA367D" w:rsidP="00BA367D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proofErr w:type="gramStart"/>
      <w:r w:rsidRPr="005074CD">
        <w:t>B.</w:t>
      </w:r>
      <w:r w:rsidRPr="005074CD">
        <w:tab/>
        <w:t>Considerando</w:t>
      </w:r>
      <w:proofErr w:type="gramEnd"/>
      <w:r w:rsidRPr="005074CD">
        <w:t xml:space="preserve"> que nas suas previsões (intercalares) do inverno de 2024, a Comissão prevê que a taxa de inflação na UE seja de 3% em 2024 e de 2,5% em 2025; considerando que o nível de despesas da rubrica 7 do QFP 2021</w:t>
      </w:r>
      <w:r w:rsidRPr="005074CD">
        <w:noBreakHyphen/>
        <w:t>2027 se baseia num aumento anual de 2%;</w:t>
      </w:r>
    </w:p>
    <w:p w14:paraId="439485FB" w14:textId="77777777" w:rsidR="00BA367D" w:rsidRPr="005074CD" w:rsidRDefault="00BA367D" w:rsidP="00BA367D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proofErr w:type="gramStart"/>
      <w:r w:rsidRPr="005074CD">
        <w:t>C.</w:t>
      </w:r>
      <w:r w:rsidRPr="005074CD">
        <w:tab/>
        <w:t>Considerando</w:t>
      </w:r>
      <w:proofErr w:type="gramEnd"/>
      <w:r w:rsidRPr="005074CD">
        <w:t xml:space="preserve"> que a credibilidade do Parlamento depende da sua capacidade de realizar o essencial do seu trabalho orçamental, legislativo e de controlo ao mais alto nível, dando simultaneamente um exemplo em relação a outras instituições da União na tarefa de planear e efetuar as suas despesas de forma prudente e eficiente e refletir as realidades económicas predominantes; </w:t>
      </w:r>
    </w:p>
    <w:p w14:paraId="33E4CF97" w14:textId="77777777" w:rsidR="00BA367D" w:rsidRPr="005074CD" w:rsidRDefault="00BA367D" w:rsidP="00BA367D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5074CD">
        <w:t>D.</w:t>
      </w:r>
      <w:r w:rsidRPr="005074CD">
        <w:tab/>
        <w:t>Considerando que o ano de 2025 será o primeiro ano completo após as eleições, pelo que haverá um regresso ao ritmo normal das atividades políticas essenciais e das atividades de apoio;</w:t>
      </w:r>
    </w:p>
    <w:p w14:paraId="6BFCB2CA" w14:textId="77777777" w:rsidR="00BA367D" w:rsidRPr="005074CD" w:rsidRDefault="00BA367D" w:rsidP="00BA367D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5074CD">
        <w:t xml:space="preserve">E. </w:t>
      </w:r>
      <w:proofErr w:type="gramStart"/>
      <w:r w:rsidRPr="005074CD">
        <w:tab/>
        <w:t>Considerando</w:t>
      </w:r>
      <w:proofErr w:type="gramEnd"/>
      <w:r w:rsidRPr="005074CD">
        <w:t xml:space="preserve"> que o Parlamento concluiu o seu profundo processo de reforma iniciado no ano passado com vista a, por um lado, rever os seus métodos de trabalho internos para tornar o trabalho parlamentar mais eficiente e, por outro, reforçar o seu papel institucional, o que deve resultar num melhor funcionamento do Parlamento como colegislador, ramo da autoridade orçamental e autoridade de quitação e ainda aumentar a sua capacidade de exercer o controlo democrático;</w:t>
      </w:r>
    </w:p>
    <w:p w14:paraId="5863CE8A" w14:textId="77777777" w:rsidR="00BA367D" w:rsidRPr="005074CD" w:rsidRDefault="00BA367D" w:rsidP="00BA367D">
      <w:pPr>
        <w:tabs>
          <w:tab w:val="left" w:pos="567"/>
        </w:tabs>
        <w:spacing w:after="240"/>
        <w:ind w:left="567" w:hanging="567"/>
        <w:rPr>
          <w:b/>
          <w:bCs/>
          <w:i/>
          <w:iCs/>
          <w:szCs w:val="24"/>
        </w:rPr>
      </w:pPr>
      <w:r w:rsidRPr="005074CD">
        <w:rPr>
          <w:b/>
          <w:i/>
        </w:rPr>
        <w:t>Regime geral</w:t>
      </w:r>
    </w:p>
    <w:p w14:paraId="07F7785A" w14:textId="77777777" w:rsidR="00BA367D" w:rsidRPr="005074CD" w:rsidRDefault="00BA367D" w:rsidP="00BA367D">
      <w:pPr>
        <w:pStyle w:val="action0"/>
        <w:spacing w:after="200"/>
        <w:ind w:left="567" w:hanging="567"/>
        <w:rPr>
          <w:bCs/>
          <w:iCs/>
        </w:rPr>
      </w:pPr>
      <w:r w:rsidRPr="005074CD">
        <w:t>1.</w:t>
      </w:r>
      <w:r w:rsidRPr="005074CD">
        <w:tab/>
        <w:t>Está preocupado com a situação da rubrica 7 do atual QFP; recorda que as limitações são o resultado dos cortes aplicados pelo Conselho à proposta inicial da Comissão, que já era muito baixa, ao chegar a acordo sobre o atual QFP 2021</w:t>
      </w:r>
      <w:r w:rsidRPr="005074CD">
        <w:noBreakHyphen/>
        <w:t>2027; lamenta a oposição do Conselho à proposta da Comissão de aumentar o limite máximo da rubrica 7 na revisão do QFP a partir de 2024; salienta a incapacidade de abordar a questão do limite máximo da rubrica 7 na revisão do QFP; realça que a margem negativa prevista para 2025 pressupõe a utilização de instrumentos especiais na rubrica 7 para esse efeito;</w:t>
      </w:r>
    </w:p>
    <w:p w14:paraId="3BD0BD9B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 xml:space="preserve">2. </w:t>
      </w:r>
      <w:r w:rsidRPr="005074CD">
        <w:tab/>
        <w:t>Recorda que quase dois terços do orçamento são fixos devido a obrigações estatutárias; recorda que a indexação salarial em conformidade com o Estatuto dos Funcionários e o Estatuto dos Deputados do Parlamento Europeu que é atualmente prevista pela Comissão para julho de 2024, abril de 2025 e julho de 2025 é de 5,3%, 0,6% e 3,7%, respetivamente; constata que o orçamento de 2024 inclui uma indexação salarial de 3,4% a partir de julho de 2024; faz notar que a Comissão dos Orçamentos irá acompanhar a evolução oficial prevista da indexação salarial;</w:t>
      </w:r>
    </w:p>
    <w:p w14:paraId="5206C3E4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3.</w:t>
      </w:r>
      <w:r w:rsidRPr="005074CD">
        <w:tab/>
        <w:t>Subscreve</w:t>
      </w:r>
      <w:proofErr w:type="gramEnd"/>
      <w:r w:rsidRPr="005074CD">
        <w:t xml:space="preserve"> o acordo alcançado na conciliação entre a Mesa e a Comissão dos Orçamentos, em 9 de abril de 2024, no sentido de fixar o aumento em relação ao orçamento de 2024 em 4,87%, o que corresponde a um nível global de previsão de receitas e despesas de 2 499 233 329 EUR para 2025, e reduzir em conformidade as dotações propostas para as seguintes rubricas orçamentais num total de 11 000 000 EUR:</w:t>
      </w:r>
    </w:p>
    <w:p w14:paraId="6895E0D6" w14:textId="77777777" w:rsidR="00BA367D" w:rsidRPr="005074CD" w:rsidRDefault="00BA367D" w:rsidP="00BA367D">
      <w:pPr>
        <w:pStyle w:val="action0"/>
        <w:spacing w:after="200"/>
        <w:ind w:left="567" w:firstLine="0"/>
      </w:pPr>
      <w:r w:rsidRPr="005074CD">
        <w:lastRenderedPageBreak/>
        <w:t>2 0 0 0 – Rendas, 2 0 0 7 – Construção de imóveis e arranjo das instalações, 2 3 9 0 – Atividades do EMAS e no domínio da sustentabilidade, incluindo a sua promoção, e compensação das emissões de carbono do Parlamento Europeu, 3 2 4 2 – Despesas de publicação, de informação e de participação em manifestações públicas, 3 2 4 3 – Centros de Visitantes do Parlamento Europeu, 1 0 1 – Reserva para imprevistos;</w:t>
      </w:r>
    </w:p>
    <w:p w14:paraId="58DF57DE" w14:textId="77777777" w:rsidR="00BA367D" w:rsidRPr="005074CD" w:rsidRDefault="00BA367D" w:rsidP="00BA367D">
      <w:pPr>
        <w:pStyle w:val="action0"/>
        <w:spacing w:after="200"/>
        <w:ind w:left="567" w:firstLine="0"/>
      </w:pPr>
      <w:r w:rsidRPr="005074CD">
        <w:t>além disso, decide aumentar o nível de despesas do anteprojeto de previsão de receitas e despesas aprovado pela Mesa em 11 de março de 2024 em 3 000 000 EUR e aumentar em conformidade as dotações propostas para as seguintes rubricas orçamentais:</w:t>
      </w:r>
    </w:p>
    <w:p w14:paraId="0B3ACF98" w14:textId="77777777" w:rsidR="00BA367D" w:rsidRPr="005074CD" w:rsidRDefault="00BA367D" w:rsidP="00BA367D">
      <w:pPr>
        <w:pStyle w:val="action0"/>
        <w:spacing w:after="200"/>
        <w:ind w:left="567" w:firstLine="0"/>
      </w:pPr>
      <w:r w:rsidRPr="005074CD">
        <w:t xml:space="preserve">3 2 4 4 — Organização e receção de grupos de visitantes, programa </w:t>
      </w:r>
      <w:proofErr w:type="spellStart"/>
      <w:r w:rsidRPr="005074CD">
        <w:t>Euroscola</w:t>
      </w:r>
      <w:proofErr w:type="spellEnd"/>
      <w:r w:rsidRPr="005074CD">
        <w:t xml:space="preserve"> e convites a multiplicadores de opinião de países terceiros; 4 0 3 — Financiamento das fundações políticas europeias;</w:t>
      </w:r>
    </w:p>
    <w:p w14:paraId="6A3ABBEE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4.</w:t>
      </w:r>
      <w:r w:rsidRPr="005074CD">
        <w:tab/>
        <w:t>Constata</w:t>
      </w:r>
      <w:proofErr w:type="gramEnd"/>
      <w:r w:rsidRPr="005074CD">
        <w:t xml:space="preserve"> que, do aumento de 116 milhões de EUR em comparação com o orçamento de 2024, um aumento de 98 milhões de EUR se deve a obrigações estatutárias – principalmente a atualizações das remunerações do pessoal (54,7 milhões de EUR) – e a despesas relacionadas com a assistência parlamentar (33,2 milhões de EUR); constata que o aumento das despesas não estatutárias entre 2024 e 2025 não excede 2%;</w:t>
      </w:r>
    </w:p>
    <w:p w14:paraId="6A487EC3" w14:textId="768EE54D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5.</w:t>
      </w:r>
      <w:r w:rsidRPr="005074CD">
        <w:tab/>
        <w:t>Constata</w:t>
      </w:r>
      <w:proofErr w:type="gramEnd"/>
      <w:r w:rsidRPr="005074CD">
        <w:t xml:space="preserve"> que o Parlamento não solicita quaisquer lugares adicionais para 2025;</w:t>
      </w:r>
    </w:p>
    <w:p w14:paraId="7A33EEDB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 xml:space="preserve">6. </w:t>
      </w:r>
      <w:proofErr w:type="gramStart"/>
      <w:r w:rsidRPr="005074CD">
        <w:tab/>
        <w:t>Constata</w:t>
      </w:r>
      <w:proofErr w:type="gramEnd"/>
      <w:r w:rsidRPr="005074CD">
        <w:t xml:space="preserve"> que os 98 lugares permanentes criados no orçamento de 2023 para facilitar a aplicação do artigo 29.º, n.º 4, do Estatuto dos Funcionários foram suprimidos do quadro de pessoal para 2025;</w:t>
      </w:r>
    </w:p>
    <w:p w14:paraId="355F369A" w14:textId="77777777" w:rsidR="00BA367D" w:rsidRPr="005074CD" w:rsidRDefault="00BA367D" w:rsidP="00BA367D">
      <w:pPr>
        <w:pStyle w:val="Action"/>
        <w:spacing w:after="200"/>
        <w:outlineLvl w:val="0"/>
        <w:rPr>
          <w:b/>
          <w:i/>
          <w:szCs w:val="24"/>
        </w:rPr>
      </w:pPr>
      <w:r w:rsidRPr="005074CD">
        <w:rPr>
          <w:b/>
          <w:i/>
        </w:rPr>
        <w:t xml:space="preserve">Grupos de visitantes e espaços «Europa </w:t>
      </w:r>
      <w:proofErr w:type="spellStart"/>
      <w:r w:rsidRPr="005074CD">
        <w:rPr>
          <w:b/>
          <w:i/>
        </w:rPr>
        <w:t>Experience</w:t>
      </w:r>
      <w:proofErr w:type="spellEnd"/>
      <w:r w:rsidRPr="005074CD">
        <w:rPr>
          <w:b/>
          <w:i/>
        </w:rPr>
        <w:t>»</w:t>
      </w:r>
    </w:p>
    <w:p w14:paraId="20BE9348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7.</w:t>
      </w:r>
      <w:r w:rsidRPr="005074CD">
        <w:tab/>
        <w:t>Recorda</w:t>
      </w:r>
      <w:proofErr w:type="gramEnd"/>
      <w:r w:rsidRPr="005074CD">
        <w:t xml:space="preserve"> que os grupos de visitantes em todos os locais de trabalho do Parlamento representam um instrumento importante para os deputados estabelecerem contacto com os eleitores e mostrarem</w:t>
      </w:r>
      <w:r w:rsidRPr="005074CD">
        <w:noBreakHyphen/>
        <w:t>lhes o seu trabalho parlamentar; salienta que os grupos de visitantes contribuem para promover o papel do Parlamento junto dos eleitores em toda a União;</w:t>
      </w:r>
    </w:p>
    <w:p w14:paraId="4A24E2C2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8.</w:t>
      </w:r>
      <w:r w:rsidRPr="005074CD">
        <w:tab/>
        <w:t>Constata com preocupação as crescentes dificuldades em organizar essas visitas devido às limitações financeiras do orçamento em vigor, designadamente para os Estados</w:t>
      </w:r>
      <w:r w:rsidRPr="005074CD">
        <w:noBreakHyphen/>
        <w:t>Membros que estão geograficamente longe de Bruxelas e Estrasburgo; solicita que se preveja um financiamento suficiente para cobrir as despesas relacionadas com viagens e alojamento, tomando em consideração as taxas de inflação e os preços, tanto nos países de origem dos grupos de visitantes, como em Bruxelas e Estrasburgo; considera que é necessário um aumento de 10% do subsídio pago a cada visitante para fazer face às condições atuais; solicita ao Secretário</w:t>
      </w:r>
      <w:r w:rsidRPr="005074CD">
        <w:noBreakHyphen/>
        <w:t xml:space="preserve">Geral que proponha aos Questores, o mais depressa possível, um aumento dos limites máximos dos custos cobertos, a fim de prosseguir e reforçar o apoio dos deputados para permitir que grupos de visitantes visitem o Parlamento; </w:t>
      </w:r>
    </w:p>
    <w:p w14:paraId="041C0FC3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9.</w:t>
      </w:r>
      <w:r w:rsidRPr="005074CD">
        <w:tab/>
        <w:t>Regista</w:t>
      </w:r>
      <w:proofErr w:type="gramEnd"/>
      <w:r w:rsidRPr="005074CD">
        <w:t>, com preocupação, as regras internas que regem os grupos de visitantes dos deputados ao Parlamento Europeu, que levam a que os assistentes parlamentares acreditados (APA) tenham, em certos casos, de cobrir 30% dos custos iniciais; salienta a impraticabilidade destas regras e o ónus financeiro que representa para os APA; solicita que a Mesa reveja e atualize as regras em vigor que regem as visitas, de modo a superar as dificuldades no planeamento e na organização das mesmas;</w:t>
      </w:r>
    </w:p>
    <w:p w14:paraId="439552CD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lastRenderedPageBreak/>
        <w:t>10.</w:t>
      </w:r>
      <w:r w:rsidRPr="005074CD">
        <w:tab/>
        <w:t xml:space="preserve">Recorda a decisão da Mesa, de 25 de novembro de 2019, de criar centros «Europa </w:t>
      </w:r>
      <w:proofErr w:type="spellStart"/>
      <w:r w:rsidRPr="005074CD">
        <w:t>Experience</w:t>
      </w:r>
      <w:proofErr w:type="spellEnd"/>
      <w:r w:rsidRPr="005074CD">
        <w:t>» em todos os Estados</w:t>
      </w:r>
      <w:r w:rsidRPr="005074CD">
        <w:noBreakHyphen/>
        <w:t xml:space="preserve">Membros até ao final de 2024; lamenta os atrasos na criação de espaços «Europa </w:t>
      </w:r>
      <w:proofErr w:type="spellStart"/>
      <w:r w:rsidRPr="005074CD">
        <w:t>Experience</w:t>
      </w:r>
      <w:proofErr w:type="spellEnd"/>
      <w:r w:rsidRPr="005074CD">
        <w:t>» em todos os Estados</w:t>
      </w:r>
      <w:r w:rsidRPr="005074CD">
        <w:noBreakHyphen/>
        <w:t>Membros antes das eleições para o Parlamento de 2024 e constata que atualmente apenas 12 estão em funcionamento; reconhece que uma série de fatores externos, incluindo a volatilidade do mercado imobiliário, contribuiu para estes atrasos;</w:t>
      </w:r>
    </w:p>
    <w:p w14:paraId="52966DB2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11.</w:t>
      </w:r>
      <w:r w:rsidRPr="005074CD">
        <w:tab/>
        <w:t xml:space="preserve">Constata que está prevista a abertura de cinco centros em 2025 (Atenas, </w:t>
      </w:r>
      <w:proofErr w:type="spellStart"/>
      <w:r w:rsidRPr="005074CD">
        <w:t>Zagrebe</w:t>
      </w:r>
      <w:proofErr w:type="spellEnd"/>
      <w:r w:rsidRPr="005074CD">
        <w:t xml:space="preserve">, Haia, Sófia e Budapeste); insta à criação de espaços «Europa </w:t>
      </w:r>
      <w:proofErr w:type="spellStart"/>
      <w:r w:rsidRPr="005074CD">
        <w:t>Experience</w:t>
      </w:r>
      <w:proofErr w:type="spellEnd"/>
      <w:r w:rsidRPr="005074CD">
        <w:t>» em todos os Estados</w:t>
      </w:r>
      <w:r w:rsidRPr="005074CD">
        <w:noBreakHyphen/>
        <w:t xml:space="preserve">Membros o mais depressa possível; relembra que os espaços «Europa </w:t>
      </w:r>
      <w:proofErr w:type="spellStart"/>
      <w:r w:rsidRPr="005074CD">
        <w:t>Experience</w:t>
      </w:r>
      <w:proofErr w:type="spellEnd"/>
      <w:r w:rsidRPr="005074CD">
        <w:t>» devem permitir uma melhor compreensão por todos os cidadãos do funcionamento das instituições da União;</w:t>
      </w:r>
    </w:p>
    <w:p w14:paraId="6FFB1CBA" w14:textId="77777777" w:rsidR="00BA367D" w:rsidRPr="005074CD" w:rsidRDefault="00BA367D" w:rsidP="00BA367D">
      <w:pPr>
        <w:pStyle w:val="Action"/>
        <w:keepNext/>
        <w:spacing w:after="200"/>
        <w:outlineLvl w:val="0"/>
        <w:rPr>
          <w:b/>
          <w:bCs/>
          <w:i/>
          <w:szCs w:val="24"/>
        </w:rPr>
      </w:pPr>
      <w:r w:rsidRPr="005074CD">
        <w:rPr>
          <w:b/>
          <w:i/>
        </w:rPr>
        <w:t>Infraestruturas</w:t>
      </w:r>
    </w:p>
    <w:p w14:paraId="0F8A0E53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 xml:space="preserve">12. </w:t>
      </w:r>
      <w:r w:rsidRPr="005074CD">
        <w:tab/>
        <w:t>Constata que a Comissão dos Orçamentos aprovou a decisão da Mesa de proceder a uma profunda renovação do edifício SPAAK, em conformidade com a sua resolução, de 19 de outubro de 2022, referente à posição do Conselho sobre o projeto de orçamento geral da União Europeia para o exercício de 2023</w:t>
      </w:r>
      <w:r w:rsidRPr="005074CD">
        <w:rPr>
          <w:vertAlign w:val="superscript"/>
        </w:rPr>
        <w:footnoteReference w:id="14"/>
      </w:r>
      <w:r w:rsidRPr="005074CD">
        <w:t>; sublinha que o edifício atual tem uma classificação de eficiência energética muito baixa e carece da flexibilidade necessária para se adequar ao fim a que se destina; salienta que o Parlamento deve gerir a sua própria carteira imobiliária em termos de eficiência energética e sustentabilidade, a fim de a alinhar com os objetivos do Pacto Ecológico; assinala que a renovação conduzirá a economias anuais consideráveis e à redução das emissões de CO</w:t>
      </w:r>
      <w:r w:rsidRPr="005074CD">
        <w:rPr>
          <w:vertAlign w:val="subscript"/>
        </w:rPr>
        <w:t>2</w:t>
      </w:r>
      <w:r w:rsidRPr="005074CD">
        <w:t xml:space="preserve"> e contribuirá ainda para o cumprimento dos requisitos da Diretiva Eficiência Energética e Diretiva Desempenho Energético dos Edifícios revistas; recorda à Mesa que é necessário transparência e informar e consultar devidamente a Comissão dos Orçamentos – incluindo o acesso a informações exaustivas – antes da adoção de decisões importantes sobre questões relacionadas com os edifícios e o seu financiamento, tendo em conta as suas consideráveis implicações orçamentais;</w:t>
      </w:r>
    </w:p>
    <w:p w14:paraId="3E543848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13.</w:t>
      </w:r>
      <w:r w:rsidRPr="005074CD">
        <w:tab/>
        <w:t>Reconhece</w:t>
      </w:r>
      <w:proofErr w:type="gramEnd"/>
      <w:r w:rsidRPr="005074CD">
        <w:t xml:space="preserve"> a necessidade de iniciar as obras de renovação do edifício TREVES II em 2025, a fim de facilitar o alojamento temporário do pessoal que será deslocado no âmbito das obras de renovação do edifício SPAAK; </w:t>
      </w:r>
    </w:p>
    <w:p w14:paraId="3FFFE97D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14.</w:t>
      </w:r>
      <w:r w:rsidRPr="005074CD">
        <w:tab/>
        <w:t>Congratula</w:t>
      </w:r>
      <w:proofErr w:type="gramEnd"/>
      <w:r w:rsidRPr="005074CD">
        <w:noBreakHyphen/>
        <w:t>se com a política do Parlamento que visa assegurar a utilização totalmente independente dos edifícios do Parlamento por pessoas com deficiência e apoia novas medidas e adaptações que sejam necessárias para este efeito; reconhece a necessidade de melhorar o acesso das pessoas com deficiência ao hemiciclo da sessão plenária em Estrasburgo;</w:t>
      </w:r>
    </w:p>
    <w:p w14:paraId="57AD3740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15.</w:t>
      </w:r>
      <w:r w:rsidRPr="005074CD">
        <w:tab/>
        <w:t xml:space="preserve">Recorda que a administração do Parlamento se encontra atualmente a trabalhar numa abordagem abrangente para definir a política imobiliária a longo prazo do Parlamento, tendo especialmente em conta as obrigações ambientais, os custos, as restrições orçamentais, a eficiência energética e a gestão de resíduos, em consonância com o pacote «Objetivo 55», e espera que os resultados sejam publicados; exorta a fazer um balanço das formas flexíveis de trabalho que surgiram em consequência da pandemia, reconhecendo simultaneamente que a presença física em negociações políticas, debates </w:t>
      </w:r>
      <w:r w:rsidRPr="005074CD">
        <w:lastRenderedPageBreak/>
        <w:t xml:space="preserve">ou troca de pontos de vista continua a ser mais eficiente para a elaboração de políticas públicas; </w:t>
      </w:r>
    </w:p>
    <w:p w14:paraId="2B2D8019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 xml:space="preserve">16. </w:t>
      </w:r>
      <w:r w:rsidRPr="005074CD">
        <w:tab/>
        <w:t>Assinala a prática de «transferência de remanescentes» no final do ano para contribuir para os projetos imobiliários; constata que a referida «transferência de remanescentes» ocorre sistematicamente nos mesmos capítulos, títulos e, com frequência, exatamente nas mesmas rubricas orçamentais; assinala que o exercício anual de «transferência de remanescentes» pode igualmente servir para outros fins que não o financiamento de projetos imobiliários;</w:t>
      </w:r>
    </w:p>
    <w:p w14:paraId="0B97FD80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17.</w:t>
      </w:r>
      <w:r w:rsidRPr="005074CD">
        <w:tab/>
        <w:t>Acolhe favoravelmente os contínuos esforços e medidas postos em prática pelo Parlamento para reduzir a sua pegada ambiental; reitera o seu total apoio aos objetivos do sistema de gestão ambiental do Parlamento (EMAS) para 2024; espera que o Parlamento atinja todos os objetivos dos indicadores</w:t>
      </w:r>
      <w:r w:rsidRPr="005074CD">
        <w:noBreakHyphen/>
        <w:t>chave de desempenho do EMAS até ao final de 2024 e que proceda à adoção de novos objetivos ambiciosos para os próximos anos; regista, em particular, uma série de conquistas nesta matéria, incluindo uma redução de 44% das emissões de carbono desde 2006, uma redução de 66% da utilização de papel em comparação com 2014, as elevadas taxas de pessoal que se desloca a pé ou de bicicleta para o trabalho, reduções significativas da utilização de plástico e a implantação bem</w:t>
      </w:r>
      <w:r w:rsidRPr="005074CD">
        <w:noBreakHyphen/>
        <w:t xml:space="preserve">sucedida de infraestruturas de energias renováveis, que permitiram a produção de 458 </w:t>
      </w:r>
      <w:proofErr w:type="spellStart"/>
      <w:r w:rsidRPr="005074CD">
        <w:t>MWh</w:t>
      </w:r>
      <w:proofErr w:type="spellEnd"/>
      <w:r w:rsidRPr="005074CD">
        <w:t xml:space="preserve"> de energia solar pelo Parlamento em 2023;</w:t>
      </w:r>
    </w:p>
    <w:p w14:paraId="60E4D6BD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18.</w:t>
      </w:r>
      <w:r w:rsidRPr="005074CD">
        <w:tab/>
        <w:t>Toma nota do aumento dos preços dos créditos de carbono; recorda que os investimentos em eficiência energética constituem um bom método para obter uma boa relação qualidade/preço; acolhe favoravelmente e incentiva os investimentos em energias renováveis e a eliminação progressiva dos combustíveis fósseis – em particular, tendo em conta a crise energética e o contexto geopolítico – e incentiva a refleti</w:t>
      </w:r>
      <w:r w:rsidRPr="005074CD">
        <w:noBreakHyphen/>
        <w:t>los na próxima estratégia imobiliária plurianual; constata que o Parlamento instalou e continua a instalar painéis solares fotovoltaicos para continuar a aumentar a quota de energias renováveis produzidas no local e alcançar o objetivo de 25%; recorda que quase dois terços da pegada de carbono do Parlamento provêm do transporte de pessoas; congratula</w:t>
      </w:r>
      <w:r w:rsidRPr="005074CD">
        <w:noBreakHyphen/>
        <w:t>se com os esforços do Parlamento para reduzir as emissões de CO</w:t>
      </w:r>
      <w:r w:rsidRPr="005074CD">
        <w:rPr>
          <w:vertAlign w:val="subscript"/>
        </w:rPr>
        <w:t>2</w:t>
      </w:r>
      <w:r w:rsidRPr="005074CD">
        <w:t xml:space="preserve"> através de comboios fretados e apela ao reforço das disponibilidades, para que as viagens entre os três locais de trabalho passem a ser feitas de comboio;</w:t>
      </w:r>
    </w:p>
    <w:p w14:paraId="460EF630" w14:textId="77777777" w:rsidR="00BA367D" w:rsidRPr="005074CD" w:rsidRDefault="00BA367D" w:rsidP="00BA367D">
      <w:pPr>
        <w:pStyle w:val="Action"/>
        <w:keepNext/>
        <w:spacing w:after="200"/>
        <w:outlineLvl w:val="0"/>
        <w:rPr>
          <w:b/>
          <w:i/>
          <w:szCs w:val="24"/>
        </w:rPr>
      </w:pPr>
      <w:r w:rsidRPr="005074CD">
        <w:rPr>
          <w:b/>
          <w:i/>
        </w:rPr>
        <w:t>Outros aspetos</w:t>
      </w:r>
    </w:p>
    <w:p w14:paraId="47076DFF" w14:textId="62FFC36A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19.</w:t>
      </w:r>
      <w:r w:rsidRPr="005074CD">
        <w:tab/>
        <w:t>Recorda a luta que está a ser travada pela União para salvaguardar os valores europeus e zelar pela integridade dos nossos processos democráticos; congratula</w:t>
      </w:r>
      <w:r w:rsidRPr="005074CD">
        <w:noBreakHyphen/>
        <w:t>se com as medidas tomadas pelo Parlamento para prosseguir esses objetivos, lutando contra a desinformação e a manipulação da informação; exorta a DG COMM e os Gabinetes de Ligação do Parlamento Europeu a continuarem a desenvolver e a aplicar estratégias eficazes para combater a desinformação e a manipulação da informação; salienta que uma das armas mais poderosas contra a desinformação é a comunicação positiva e baseada em factos relativamente às atividades do Parlamento;</w:t>
      </w:r>
    </w:p>
    <w:p w14:paraId="0313B252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20.</w:t>
      </w:r>
      <w:r w:rsidRPr="005074CD">
        <w:tab/>
        <w:t xml:space="preserve">Recorda que o Parlamento apoia firmemente o multilinguismo e promove os direitos das minorias nacionais, regionais e linguísticas; considera que o Parlamento pode contribuir ativamente para a luta contra a desinformação, aprofundando a sua comunicação também nas línguas das minorias e comunidades linguísticas, se for caso disso; solicita à Mesa que alargue a produção e a divulgação de materiais de comunicação por parte do Parlamento em consonância com as necessidades das </w:t>
      </w:r>
      <w:r w:rsidRPr="005074CD">
        <w:lastRenderedPageBreak/>
        <w:t>minorias e comunidades linguísticas presentes nos diferentes Estados</w:t>
      </w:r>
      <w:r w:rsidRPr="005074CD">
        <w:noBreakHyphen/>
        <w:t xml:space="preserve">Membros – por exemplo, nos Gabinetes de Ligação e nos centros «Europa </w:t>
      </w:r>
      <w:proofErr w:type="spellStart"/>
      <w:r w:rsidRPr="005074CD">
        <w:t>Experience</w:t>
      </w:r>
      <w:proofErr w:type="spellEnd"/>
      <w:r w:rsidRPr="005074CD">
        <w:t>» – como forma de contrariar qualquer tentativa de utilizar as diferenças linguísticas como entrave à coesão; recorda, neste sentido, os importantes esforços empreendidos pelos Gabinetes de Ligação do Parlamento Europeu nos países bálticos para fornecer informações aos cidadãos em ucraniano e russo, desde o início da guerra de agressão russa contra a Ucrânia, com um especial enfoque na luta contra a desinformação e a propaganda russas, e incentiva a prosseguir o apoio e promoção dessas atividades em ucraniano e russo; sublinha a importância da participação ativa dos Gabinetes de Ligação do Parlamento Europeu na execução do trabalho do Parlamento em matéria de educação para a cidadania através de vários programas que envolvem as comunidades locais, as escolas e as universidades;</w:t>
      </w:r>
    </w:p>
    <w:p w14:paraId="25ACAFBC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21.</w:t>
      </w:r>
      <w:r w:rsidRPr="005074CD">
        <w:tab/>
        <w:t>Sublinha</w:t>
      </w:r>
      <w:proofErr w:type="gramEnd"/>
      <w:r w:rsidRPr="005074CD">
        <w:t xml:space="preserve"> o potencial da inteligência artificial (IA) para apoiar os deputados no exercício do seu mandato e para várias atividades da administração do Parlamento; regozija</w:t>
      </w:r>
      <w:r w:rsidRPr="005074CD">
        <w:noBreakHyphen/>
        <w:t xml:space="preserve">se por já estarem em preparação projetos no domínio da IA para 2025; </w:t>
      </w:r>
    </w:p>
    <w:p w14:paraId="6CDE7EC3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22.</w:t>
      </w:r>
      <w:r w:rsidRPr="005074CD">
        <w:tab/>
        <w:t>Apoia</w:t>
      </w:r>
      <w:proofErr w:type="gramEnd"/>
      <w:r w:rsidRPr="005074CD">
        <w:t xml:space="preserve"> o anúncio feito pelo secretário</w:t>
      </w:r>
      <w:r w:rsidRPr="005074CD">
        <w:noBreakHyphen/>
        <w:t>geral na Comissão dos Orçamentos no sentido de reduzir os encargos administrativos e a burocracia para os deputados e os seus gabinetes, acelerando simultaneamente a digitalização dos processos na administração; salienta que os investimentos na digitalização estão a gerar um retorno do investimento a médio prazo e não devem ser adiados para se obterem poupanças a curto prazo;</w:t>
      </w:r>
    </w:p>
    <w:p w14:paraId="2EB1E9EA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23.</w:t>
      </w:r>
      <w:r w:rsidRPr="005074CD">
        <w:tab/>
        <w:t xml:space="preserve">Insta o Parlamento a continuar a realizar avaliações regulares da organização das suas necessidades em matéria de pessoal e a otimizar a repartição do pessoal no Secretariado do Parlamento, designadamente </w:t>
      </w:r>
      <w:proofErr w:type="spellStart"/>
      <w:r w:rsidRPr="005074CD">
        <w:t>reafetando</w:t>
      </w:r>
      <w:proofErr w:type="spellEnd"/>
      <w:r w:rsidRPr="005074CD">
        <w:t xml:space="preserve"> lugares entre os serviços, de modo a manter o nível de pessoal tão constante quanto possível; convida o secretário</w:t>
      </w:r>
      <w:r w:rsidRPr="005074CD">
        <w:noBreakHyphen/>
        <w:t>geral a avaliar os riscos relacionados com o recrutamento de um número crescente de agentes contratuais, incluindo o perigo de criar no Parlamento uma estrutura de pessoal com dois níveis; insiste em que as funções e tarefas essenciais permanentes sejam desempenhadas por pessoal permanente;</w:t>
      </w:r>
    </w:p>
    <w:p w14:paraId="7A677F36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24.</w:t>
      </w:r>
      <w:r w:rsidRPr="005074CD">
        <w:tab/>
        <w:t>Salienta que a garantia de um equilíbrio geográfico justo é uma parte importante da criação de um verdadeiro serviço público europeu; observa que, ao longo dos anos, o Parlamento tomou uma série de medidas a este respeito; assinala haver ainda margem para progressos neste domínio; observa que a Mesa criou o quadro jurídico para a organização de concursos específicos reservados a determinadas nacionalidades e decidiu organizar o primeiro desses concursos; salienta que os concursos devem basear</w:t>
      </w:r>
      <w:r w:rsidRPr="005074CD">
        <w:noBreakHyphen/>
        <w:t>se sempre no mérito;</w:t>
      </w:r>
    </w:p>
    <w:p w14:paraId="6F882636" w14:textId="77777777" w:rsidR="00BA367D" w:rsidRPr="005074CD" w:rsidRDefault="00BA367D" w:rsidP="00BA367D">
      <w:pPr>
        <w:pStyle w:val="action0"/>
        <w:spacing w:after="200"/>
        <w:ind w:left="567" w:hanging="567"/>
      </w:pPr>
      <w:r w:rsidRPr="005074CD">
        <w:t>25.</w:t>
      </w:r>
      <w:r w:rsidRPr="005074CD">
        <w:tab/>
        <w:t>Regista o procedimento já em vigor relativamente aos pedidos dum utilizador dum órgão parlamentar para ter interpretação internacional em língua gestual numa reunião; solicita ao Secretário</w:t>
      </w:r>
      <w:r w:rsidRPr="005074CD">
        <w:noBreakHyphen/>
        <w:t>Geral que continue a explorar outras possibilidades – como as ferramentas de reconhecimento de voz («</w:t>
      </w:r>
      <w:proofErr w:type="spellStart"/>
      <w:r w:rsidRPr="005074CD">
        <w:t>Speech</w:t>
      </w:r>
      <w:proofErr w:type="spellEnd"/>
      <w:r w:rsidRPr="005074CD">
        <w:noBreakHyphen/>
        <w:t>to</w:t>
      </w:r>
      <w:r w:rsidRPr="005074CD">
        <w:noBreakHyphen/>
      </w:r>
      <w:proofErr w:type="spellStart"/>
      <w:r w:rsidRPr="005074CD">
        <w:t>Text</w:t>
      </w:r>
      <w:proofErr w:type="spellEnd"/>
      <w:r w:rsidRPr="005074CD">
        <w:t>») e de tradução automática – no respeito do princípio da igualdade de acesso para todos os cidadãos;</w:t>
      </w:r>
    </w:p>
    <w:p w14:paraId="552EDF86" w14:textId="77777777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t>26.</w:t>
      </w:r>
      <w:r w:rsidRPr="005074CD">
        <w:tab/>
        <w:t>Reitera</w:t>
      </w:r>
      <w:proofErr w:type="gramEnd"/>
      <w:r w:rsidRPr="005074CD">
        <w:t xml:space="preserve"> o seu pedido à Mesa, aprovado em plenário em várias ocasiões, para que esta dê início aos trabalhos de revisão do Regimento, permitindo aos deputados exercerem o seu direito de voto à distância, durante o gozo de uma licença de maternidade ou de paternidade, durante uma doença prolongada ou em casos de força maior, tirando partido dos ensinamentos retirados durante a pandemia sobre os aspetos técnicos deste método de votação;</w:t>
      </w:r>
    </w:p>
    <w:p w14:paraId="024205E7" w14:textId="63456419" w:rsidR="00BA367D" w:rsidRPr="005074CD" w:rsidRDefault="00BA367D" w:rsidP="00BA367D">
      <w:pPr>
        <w:pStyle w:val="action0"/>
        <w:spacing w:after="200"/>
        <w:ind w:left="567" w:hanging="567"/>
      </w:pPr>
      <w:proofErr w:type="gramStart"/>
      <w:r w:rsidRPr="005074CD">
        <w:lastRenderedPageBreak/>
        <w:t>27.</w:t>
      </w:r>
      <w:r w:rsidRPr="005074CD">
        <w:tab/>
        <w:t>Reitera</w:t>
      </w:r>
      <w:proofErr w:type="gramEnd"/>
      <w:r w:rsidRPr="005074CD">
        <w:t xml:space="preserve"> o seu apelo à Mesa para que garanta que todos os restaurantes do Parlamento mantenham os seus padrões de qualidade e eficiência e pratiquem preços acessíveis, e para que reintroduza controlos de acesso nas entradas do restaurante self</w:t>
      </w:r>
      <w:r w:rsidRPr="005074CD">
        <w:noBreakHyphen/>
        <w:t>service durante os períodos de maior afluência; congratula</w:t>
      </w:r>
      <w:r w:rsidRPr="005074CD">
        <w:noBreakHyphen/>
        <w:t>se com a introdução de controlos de acesso à entrada do restaurante self</w:t>
      </w:r>
      <w:r w:rsidRPr="005074CD">
        <w:noBreakHyphen/>
        <w:t>service do edifício WEISS, em Estrasburgo, durante as sessões plenárias;</w:t>
      </w:r>
    </w:p>
    <w:p w14:paraId="781DED5E" w14:textId="5C4A6769" w:rsidR="00FC560C" w:rsidRPr="005074CD" w:rsidRDefault="00FC560C" w:rsidP="005074CD">
      <w:pPr>
        <w:spacing w:after="240"/>
        <w:ind w:left="567" w:hanging="567"/>
      </w:pPr>
      <w:r w:rsidRPr="005074CD">
        <w:t>28.</w:t>
      </w:r>
      <w:r w:rsidRPr="005074CD">
        <w:tab/>
      </w:r>
      <w:r w:rsidR="005D5E67" w:rsidRPr="005074CD">
        <w:t xml:space="preserve">Apela a um verdadeiro compromisso com a concretização </w:t>
      </w:r>
      <w:r w:rsidR="007E09D0" w:rsidRPr="005074CD">
        <w:t>do princípio do multilinguismo;</w:t>
      </w:r>
    </w:p>
    <w:p w14:paraId="39E929D0" w14:textId="2D6E101F" w:rsidR="00BA367D" w:rsidRPr="005074CD" w:rsidRDefault="00FC560C" w:rsidP="00BA367D">
      <w:pPr>
        <w:pStyle w:val="action0"/>
        <w:spacing w:after="200"/>
        <w:ind w:left="567" w:hanging="567"/>
      </w:pPr>
      <w:proofErr w:type="gramStart"/>
      <w:r w:rsidRPr="005074CD">
        <w:t>29</w:t>
      </w:r>
      <w:r w:rsidR="00BA367D" w:rsidRPr="005074CD">
        <w:t>.</w:t>
      </w:r>
      <w:r w:rsidR="00BA367D" w:rsidRPr="005074CD">
        <w:tab/>
        <w:t>Reitera</w:t>
      </w:r>
      <w:proofErr w:type="gramEnd"/>
      <w:r w:rsidR="00BA367D" w:rsidRPr="005074CD">
        <w:t xml:space="preserve"> o seu pedido à Conferência dos Presidentes e à Mesa para que revejam as normas de execução que regem o trabalho das delegações e missões fora da União; sublinha que essa revisão deve ponderar a possibilidade de os APA, em determinadas condições, acompanharem os deputados em delegações e missões oficiais do Parlamento; salienta que esta alteração não causaria qualquer alteração da dotação e seria neutra do ponto de vista orçamental;</w:t>
      </w:r>
    </w:p>
    <w:p w14:paraId="40F5E190" w14:textId="726D3B18" w:rsidR="00BA367D" w:rsidRPr="005074CD" w:rsidRDefault="00FC560C" w:rsidP="00BA367D">
      <w:pPr>
        <w:pStyle w:val="action0"/>
        <w:spacing w:after="200"/>
        <w:ind w:left="567" w:hanging="567"/>
      </w:pPr>
      <w:proofErr w:type="gramStart"/>
      <w:r w:rsidRPr="005074CD">
        <w:t>30</w:t>
      </w:r>
      <w:r w:rsidR="00BA367D" w:rsidRPr="005074CD">
        <w:t>.</w:t>
      </w:r>
      <w:r w:rsidR="00BA367D" w:rsidRPr="005074CD">
        <w:tab/>
        <w:t>Espera</w:t>
      </w:r>
      <w:proofErr w:type="gramEnd"/>
      <w:r w:rsidR="00BA367D" w:rsidRPr="005074CD">
        <w:t xml:space="preserve"> que os pedidos votados em sessão plenária sejam satisfeitos com a máxima prioridade;</w:t>
      </w:r>
    </w:p>
    <w:p w14:paraId="33DB295B" w14:textId="77777777" w:rsidR="005F3904" w:rsidRPr="005074CD" w:rsidRDefault="005F3904" w:rsidP="005F3904">
      <w:pPr>
        <w:widowControl/>
        <w:tabs>
          <w:tab w:val="left" w:pos="567"/>
        </w:tabs>
        <w:spacing w:after="240"/>
        <w:jc w:val="center"/>
        <w:rPr>
          <w:szCs w:val="24"/>
        </w:rPr>
      </w:pPr>
      <w:r w:rsidRPr="005074CD">
        <w:rPr>
          <w:szCs w:val="24"/>
        </w:rPr>
        <w:t>°</w:t>
      </w:r>
    </w:p>
    <w:p w14:paraId="79CE4BF1" w14:textId="77777777" w:rsidR="005F3904" w:rsidRPr="005074CD" w:rsidRDefault="005F3904" w:rsidP="005F3904">
      <w:pPr>
        <w:widowControl/>
        <w:tabs>
          <w:tab w:val="left" w:pos="567"/>
        </w:tabs>
        <w:spacing w:after="240"/>
        <w:jc w:val="center"/>
        <w:rPr>
          <w:szCs w:val="24"/>
        </w:rPr>
      </w:pPr>
      <w:r w:rsidRPr="005074CD">
        <w:rPr>
          <w:szCs w:val="24"/>
        </w:rPr>
        <w:t>°     °</w:t>
      </w:r>
    </w:p>
    <w:p w14:paraId="7A444C1E" w14:textId="6380ECA5" w:rsidR="00BA367D" w:rsidRPr="005074CD" w:rsidRDefault="00FC560C" w:rsidP="00BA367D">
      <w:pPr>
        <w:pStyle w:val="action0"/>
        <w:spacing w:after="200"/>
        <w:ind w:left="567" w:hanging="567"/>
      </w:pPr>
      <w:proofErr w:type="gramStart"/>
      <w:r w:rsidRPr="005074CD">
        <w:t>31</w:t>
      </w:r>
      <w:r w:rsidR="00BA367D" w:rsidRPr="005074CD">
        <w:t>.</w:t>
      </w:r>
      <w:r w:rsidR="00BA367D" w:rsidRPr="005074CD">
        <w:tab/>
        <w:t>Aprova</w:t>
      </w:r>
      <w:proofErr w:type="gramEnd"/>
      <w:r w:rsidR="00BA367D" w:rsidRPr="005074CD">
        <w:t xml:space="preserve"> a previsão de receitas e despesas para o exercício de 2025;</w:t>
      </w:r>
    </w:p>
    <w:p w14:paraId="29290692" w14:textId="6403698E" w:rsidR="00BA367D" w:rsidRPr="005074CD" w:rsidRDefault="00FC560C" w:rsidP="00BA367D">
      <w:pPr>
        <w:pStyle w:val="action0"/>
        <w:spacing w:after="200"/>
        <w:ind w:left="567" w:hanging="567"/>
      </w:pPr>
      <w:proofErr w:type="gramStart"/>
      <w:r w:rsidRPr="005074CD">
        <w:t>32</w:t>
      </w:r>
      <w:r w:rsidR="00BA367D" w:rsidRPr="005074CD">
        <w:t>.</w:t>
      </w:r>
      <w:r w:rsidR="00BA367D" w:rsidRPr="005074CD">
        <w:tab/>
        <w:t>Encarrega</w:t>
      </w:r>
      <w:proofErr w:type="gramEnd"/>
      <w:r w:rsidR="00BA367D" w:rsidRPr="005074CD">
        <w:t xml:space="preserve"> a sua Presidente de transmitir a presente resolução e a previsão de receitas e despesas </w:t>
      </w:r>
      <w:r w:rsidR="00C42CC9" w:rsidRPr="005074CD">
        <w:t>ao Conselho e à Comissão.</w:t>
      </w:r>
    </w:p>
    <w:sectPr w:rsidR="00BA367D" w:rsidRPr="005074CD" w:rsidSect="00C42C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EF8D6" w14:textId="77777777" w:rsidR="00916F69" w:rsidRPr="00C42CC9" w:rsidRDefault="00916F69">
      <w:r w:rsidRPr="00C42CC9">
        <w:separator/>
      </w:r>
    </w:p>
  </w:endnote>
  <w:endnote w:type="continuationSeparator" w:id="0">
    <w:p w14:paraId="5CFAA77A" w14:textId="77777777" w:rsidR="00916F69" w:rsidRPr="00C42CC9" w:rsidRDefault="00916F69">
      <w:r w:rsidRPr="00C42C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78B01" w14:textId="77777777" w:rsidR="00064002" w:rsidRPr="00C42C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0B74A" w14:textId="77777777" w:rsidR="00064002" w:rsidRPr="00C42C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0A229" w14:textId="77777777" w:rsidR="00064002" w:rsidRPr="00C42C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F3334" w14:textId="77777777" w:rsidR="00916F69" w:rsidRPr="00C42CC9" w:rsidRDefault="00916F69">
      <w:r w:rsidRPr="00C42CC9">
        <w:separator/>
      </w:r>
    </w:p>
  </w:footnote>
  <w:footnote w:type="continuationSeparator" w:id="0">
    <w:p w14:paraId="68921B72" w14:textId="77777777" w:rsidR="00916F69" w:rsidRPr="00C42CC9" w:rsidRDefault="00916F69">
      <w:r w:rsidRPr="00C42CC9">
        <w:continuationSeparator/>
      </w:r>
    </w:p>
  </w:footnote>
  <w:footnote w:id="1">
    <w:p w14:paraId="6334EAF8" w14:textId="77777777" w:rsidR="00BA367D" w:rsidRPr="00F63C55" w:rsidRDefault="00BA367D" w:rsidP="00C42CC9">
      <w:pPr>
        <w:pStyle w:val="FootnoteText"/>
        <w:ind w:left="567" w:hanging="567"/>
        <w:rPr>
          <w:sz w:val="24"/>
          <w:lang w:val="da-DK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F63C55">
        <w:rPr>
          <w:sz w:val="24"/>
          <w:lang w:val="da-DK"/>
        </w:rPr>
        <w:t xml:space="preserve"> </w:t>
      </w:r>
      <w:r w:rsidR="00C42CC9" w:rsidRPr="00F63C55">
        <w:rPr>
          <w:sz w:val="24"/>
          <w:lang w:val="da-DK"/>
        </w:rPr>
        <w:tab/>
      </w:r>
      <w:r w:rsidRPr="00F63C55">
        <w:rPr>
          <w:sz w:val="24"/>
          <w:lang w:val="da-DK"/>
        </w:rPr>
        <w:t>JO L 193 de 30.7.2018, p. 1.</w:t>
      </w:r>
    </w:p>
  </w:footnote>
  <w:footnote w:id="2">
    <w:p w14:paraId="00270FE7" w14:textId="247C8691" w:rsidR="00BA367D" w:rsidRPr="00F63C55" w:rsidRDefault="00BA367D" w:rsidP="00C42CC9">
      <w:pPr>
        <w:pStyle w:val="FootnoteText"/>
        <w:ind w:left="567" w:hanging="567"/>
        <w:rPr>
          <w:sz w:val="24"/>
          <w:lang w:val="da-DK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F63C55">
        <w:rPr>
          <w:sz w:val="24"/>
          <w:lang w:val="da-DK"/>
        </w:rPr>
        <w:t xml:space="preserve"> </w:t>
      </w:r>
      <w:r w:rsidR="00C42CC9" w:rsidRPr="00F63C55">
        <w:rPr>
          <w:sz w:val="24"/>
          <w:lang w:val="da-DK"/>
        </w:rPr>
        <w:tab/>
      </w:r>
      <w:r w:rsidRPr="00F63C55">
        <w:rPr>
          <w:sz w:val="24"/>
          <w:lang w:val="da-DK"/>
        </w:rPr>
        <w:t>JO L 433</w:t>
      </w:r>
      <w:r w:rsidR="00310D50">
        <w:rPr>
          <w:sz w:val="24"/>
          <w:lang w:val="da-DK"/>
        </w:rPr>
        <w:t xml:space="preserve"> I</w:t>
      </w:r>
      <w:r w:rsidRPr="00F63C55">
        <w:rPr>
          <w:sz w:val="24"/>
          <w:lang w:val="da-DK"/>
        </w:rPr>
        <w:t xml:space="preserve"> de 22.12.2020, p. 11.</w:t>
      </w:r>
    </w:p>
  </w:footnote>
  <w:footnote w:id="3">
    <w:p w14:paraId="7599C24B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JO C 444 I de 22.12.2020, p. 4.</w:t>
      </w:r>
    </w:p>
  </w:footnote>
  <w:footnote w:id="4">
    <w:p w14:paraId="26BFABFD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Textos Aprovados, P9_</w:t>
      </w:r>
      <w:proofErr w:type="gramStart"/>
      <w:r w:rsidRPr="00C42CC9">
        <w:rPr>
          <w:sz w:val="24"/>
          <w:lang w:val="pt-PT"/>
        </w:rPr>
        <w:t>TA(</w:t>
      </w:r>
      <w:proofErr w:type="gramEnd"/>
      <w:r w:rsidRPr="00C42CC9">
        <w:rPr>
          <w:sz w:val="24"/>
          <w:lang w:val="pt-PT"/>
        </w:rPr>
        <w:t>2020)0357.</w:t>
      </w:r>
    </w:p>
  </w:footnote>
  <w:footnote w:id="5">
    <w:p w14:paraId="2235CAA0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JO L 433 I de 22.12.2020, p. 28.</w:t>
      </w:r>
    </w:p>
  </w:footnote>
  <w:footnote w:id="6">
    <w:p w14:paraId="04AB1B12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Textos Aprovados, P9_</w:t>
      </w:r>
      <w:proofErr w:type="gramStart"/>
      <w:r w:rsidRPr="00C42CC9">
        <w:rPr>
          <w:sz w:val="24"/>
          <w:lang w:val="pt-PT"/>
        </w:rPr>
        <w:t>TA(</w:t>
      </w:r>
      <w:proofErr w:type="gramEnd"/>
      <w:r w:rsidRPr="00C42CC9">
        <w:rPr>
          <w:sz w:val="24"/>
          <w:lang w:val="pt-PT"/>
        </w:rPr>
        <w:t>2023)0335.</w:t>
      </w:r>
    </w:p>
  </w:footnote>
  <w:footnote w:id="7">
    <w:p w14:paraId="333A24D5" w14:textId="77777777" w:rsidR="00BA367D" w:rsidRPr="005074CD" w:rsidRDefault="00BA367D" w:rsidP="00C42CC9">
      <w:pPr>
        <w:pStyle w:val="Action"/>
        <w:tabs>
          <w:tab w:val="clear" w:pos="357"/>
        </w:tabs>
        <w:spacing w:after="0"/>
        <w:ind w:left="567" w:hanging="567"/>
        <w:outlineLvl w:val="0"/>
        <w:rPr>
          <w:lang w:val="fi-FI"/>
        </w:rPr>
      </w:pPr>
      <w:r w:rsidRPr="00C42CC9">
        <w:rPr>
          <w:rStyle w:val="FootnoteReference"/>
        </w:rPr>
        <w:footnoteRef/>
      </w:r>
      <w:r w:rsidR="00C42CC9" w:rsidRPr="005074CD">
        <w:rPr>
          <w:lang w:val="fi-FI"/>
        </w:rPr>
        <w:t xml:space="preserve"> </w:t>
      </w:r>
      <w:r w:rsidR="00C42CC9" w:rsidRPr="005074CD">
        <w:rPr>
          <w:lang w:val="fi-FI"/>
        </w:rPr>
        <w:tab/>
      </w:r>
      <w:r w:rsidRPr="005074CD">
        <w:rPr>
          <w:lang w:val="fi-FI"/>
        </w:rPr>
        <w:t>JO C 177 de 17.5.2023, p. 115.</w:t>
      </w:r>
    </w:p>
  </w:footnote>
  <w:footnote w:id="8">
    <w:p w14:paraId="58A3C80F" w14:textId="08F8B0DF" w:rsidR="00BA367D" w:rsidRPr="00F63C55" w:rsidRDefault="00BA367D" w:rsidP="00C42CC9">
      <w:pPr>
        <w:pStyle w:val="FootnoteText"/>
        <w:ind w:left="567" w:hanging="567"/>
        <w:rPr>
          <w:sz w:val="24"/>
          <w:lang w:val="fi-FI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F63C55">
        <w:rPr>
          <w:rStyle w:val="Emphasis"/>
          <w:color w:val="333333"/>
          <w:sz w:val="24"/>
          <w:shd w:val="clear" w:color="auto" w:fill="FFFFFF"/>
          <w:lang w:val="fi-FI"/>
        </w:rPr>
        <w:t xml:space="preserve"> </w:t>
      </w:r>
      <w:r w:rsidR="00C42CC9" w:rsidRPr="00F63C55">
        <w:rPr>
          <w:rStyle w:val="Emphasis"/>
          <w:color w:val="333333"/>
          <w:sz w:val="24"/>
          <w:shd w:val="clear" w:color="auto" w:fill="FFFFFF"/>
          <w:lang w:val="fi-FI"/>
        </w:rPr>
        <w:tab/>
      </w:r>
      <w:r w:rsidRPr="00F63C55">
        <w:rPr>
          <w:rStyle w:val="Emphasis"/>
          <w:i w:val="0"/>
          <w:color w:val="333333"/>
          <w:sz w:val="24"/>
          <w:shd w:val="clear" w:color="auto" w:fill="FFFFFF"/>
          <w:lang w:val="fi-FI"/>
        </w:rPr>
        <w:t xml:space="preserve">JO L, 2024/765, 29.2.2024, ELI: </w:t>
      </w:r>
      <w:hyperlink r:id="rId1" w:history="1">
        <w:r w:rsidR="004F0F14" w:rsidRPr="00F63C55">
          <w:rPr>
            <w:rStyle w:val="Hyperlink"/>
            <w:sz w:val="24"/>
            <w:shd w:val="clear" w:color="auto" w:fill="FFFFFF"/>
            <w:lang w:val="fi-FI"/>
          </w:rPr>
          <w:t>http://data.europa.eu/eli/reg/2024/765/oj</w:t>
        </w:r>
      </w:hyperlink>
      <w:r w:rsidR="004F0F14" w:rsidRPr="00F63C55">
        <w:rPr>
          <w:rStyle w:val="Emphasis"/>
          <w:i w:val="0"/>
          <w:color w:val="333333"/>
          <w:sz w:val="24"/>
          <w:shd w:val="clear" w:color="auto" w:fill="FFFFFF"/>
          <w:lang w:val="fi-FI"/>
        </w:rPr>
        <w:t>.</w:t>
      </w:r>
    </w:p>
  </w:footnote>
  <w:footnote w:id="9">
    <w:p w14:paraId="1E3EC8A2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proofErr w:type="gramStart"/>
      <w:r w:rsidRPr="00C42CC9">
        <w:rPr>
          <w:sz w:val="24"/>
          <w:lang w:val="pt-PT"/>
        </w:rPr>
        <w:t>COM(</w:t>
      </w:r>
      <w:proofErr w:type="gramEnd"/>
      <w:r w:rsidRPr="00C42CC9">
        <w:rPr>
          <w:sz w:val="24"/>
          <w:lang w:val="pt-PT"/>
        </w:rPr>
        <w:t>2022)0223.</w:t>
      </w:r>
    </w:p>
  </w:footnote>
  <w:footnote w:id="10">
    <w:p w14:paraId="69A3B8E1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JO L 287 de 29.10.2013, p. 15.</w:t>
      </w:r>
    </w:p>
  </w:footnote>
  <w:footnote w:id="11">
    <w:p w14:paraId="48F87B43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Textos Aprovados, P9_</w:t>
      </w:r>
      <w:proofErr w:type="gramStart"/>
      <w:r w:rsidRPr="00C42CC9">
        <w:rPr>
          <w:sz w:val="24"/>
          <w:lang w:val="pt-PT"/>
        </w:rPr>
        <w:t>TA(</w:t>
      </w:r>
      <w:proofErr w:type="gramEnd"/>
      <w:r w:rsidRPr="00C42CC9">
        <w:rPr>
          <w:sz w:val="24"/>
          <w:lang w:val="pt-PT"/>
        </w:rPr>
        <w:t>2023)0119.</w:t>
      </w:r>
    </w:p>
  </w:footnote>
  <w:footnote w:id="12">
    <w:p w14:paraId="7F9D85EA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Textos Aprovados, P9_</w:t>
      </w:r>
      <w:proofErr w:type="gramStart"/>
      <w:r w:rsidRPr="00C42CC9">
        <w:rPr>
          <w:sz w:val="24"/>
          <w:lang w:val="pt-PT"/>
        </w:rPr>
        <w:t>TA(</w:t>
      </w:r>
      <w:proofErr w:type="gramEnd"/>
      <w:r w:rsidRPr="00C42CC9">
        <w:rPr>
          <w:sz w:val="24"/>
          <w:lang w:val="pt-PT"/>
        </w:rPr>
        <w:t>2023)0367.</w:t>
      </w:r>
    </w:p>
  </w:footnote>
  <w:footnote w:id="13">
    <w:p w14:paraId="59275446" w14:textId="4A8EEBAC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 xml:space="preserve">JO L 207 </w:t>
      </w:r>
      <w:r w:rsidR="004F0F14">
        <w:rPr>
          <w:sz w:val="24"/>
          <w:lang w:val="pt-PT"/>
        </w:rPr>
        <w:t xml:space="preserve">de </w:t>
      </w:r>
      <w:r w:rsidRPr="00C42CC9">
        <w:rPr>
          <w:sz w:val="24"/>
          <w:lang w:val="pt-PT"/>
        </w:rPr>
        <w:t>22.2.2024.</w:t>
      </w:r>
    </w:p>
  </w:footnote>
  <w:footnote w:id="14">
    <w:p w14:paraId="54D8DB6B" w14:textId="77777777" w:rsidR="00BA367D" w:rsidRPr="00C42CC9" w:rsidRDefault="00BA367D" w:rsidP="00C42CC9">
      <w:pPr>
        <w:pStyle w:val="FootnoteText"/>
        <w:ind w:left="567" w:hanging="567"/>
        <w:rPr>
          <w:sz w:val="24"/>
          <w:lang w:val="pt-PT"/>
        </w:rPr>
      </w:pPr>
      <w:r w:rsidRPr="00C42CC9">
        <w:rPr>
          <w:rStyle w:val="FootnoteReference"/>
          <w:sz w:val="24"/>
          <w:lang w:val="pt-PT"/>
        </w:rPr>
        <w:footnoteRef/>
      </w:r>
      <w:r w:rsidR="00C42CC9" w:rsidRPr="00C42CC9">
        <w:rPr>
          <w:sz w:val="24"/>
          <w:lang w:val="pt-PT"/>
        </w:rPr>
        <w:t xml:space="preserve"> </w:t>
      </w:r>
      <w:r w:rsidR="00C42CC9" w:rsidRPr="00C42CC9">
        <w:rPr>
          <w:sz w:val="24"/>
          <w:lang w:val="pt-PT"/>
        </w:rPr>
        <w:tab/>
      </w:r>
      <w:r w:rsidRPr="00C42CC9">
        <w:rPr>
          <w:sz w:val="24"/>
          <w:lang w:val="pt-PT"/>
        </w:rPr>
        <w:t>Textos Aprovados, P9_</w:t>
      </w:r>
      <w:proofErr w:type="gramStart"/>
      <w:r w:rsidRPr="00C42CC9">
        <w:rPr>
          <w:sz w:val="24"/>
          <w:lang w:val="pt-PT"/>
        </w:rPr>
        <w:t>TA(</w:t>
      </w:r>
      <w:proofErr w:type="gramEnd"/>
      <w:r w:rsidRPr="00C42CC9">
        <w:rPr>
          <w:sz w:val="24"/>
          <w:lang w:val="pt-PT"/>
        </w:rPr>
        <w:t>2022)0366.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A5299" w14:textId="77777777" w:rsidR="00064002" w:rsidRPr="00C42C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D72D2" w14:textId="77777777" w:rsidR="00064002" w:rsidRPr="00C42C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C6498" w14:textId="77777777" w:rsidR="00064002" w:rsidRPr="00C42C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4"/>
    <w:docVar w:name="dvlangue" w:val="PT"/>
    <w:docVar w:name="dvnumam" w:val="0"/>
    <w:docVar w:name="dvpe" w:val="759.633"/>
    <w:docVar w:name="dvrapporteur" w:val="Relatora: "/>
    <w:docVar w:name="dvtitre" w:val="Resolução do Parlamento Europeu, de ... de ... de 2024, sobre a previsão de receitas e despesas do Parlamento Europeu para o exercício de 2025(2023/2221(BUI))"/>
  </w:docVars>
  <w:rsids>
    <w:rsidRoot w:val="00916F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02D"/>
    <w:rsid w:val="002767FF"/>
    <w:rsid w:val="002B18FE"/>
    <w:rsid w:val="002B5493"/>
    <w:rsid w:val="00310D50"/>
    <w:rsid w:val="00340CD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F14"/>
    <w:rsid w:val="0050519A"/>
    <w:rsid w:val="005072A1"/>
    <w:rsid w:val="005074CD"/>
    <w:rsid w:val="00514517"/>
    <w:rsid w:val="00545827"/>
    <w:rsid w:val="00560270"/>
    <w:rsid w:val="005C2568"/>
    <w:rsid w:val="005D5E67"/>
    <w:rsid w:val="005F3904"/>
    <w:rsid w:val="006037C0"/>
    <w:rsid w:val="006631B6"/>
    <w:rsid w:val="00680577"/>
    <w:rsid w:val="006F74FA"/>
    <w:rsid w:val="00731ADD"/>
    <w:rsid w:val="00734777"/>
    <w:rsid w:val="00747932"/>
    <w:rsid w:val="00751A4A"/>
    <w:rsid w:val="0075474A"/>
    <w:rsid w:val="00756632"/>
    <w:rsid w:val="00762C74"/>
    <w:rsid w:val="00786EC0"/>
    <w:rsid w:val="007D1690"/>
    <w:rsid w:val="007E09D0"/>
    <w:rsid w:val="007E22AD"/>
    <w:rsid w:val="00817416"/>
    <w:rsid w:val="00842779"/>
    <w:rsid w:val="00865F67"/>
    <w:rsid w:val="00881A7B"/>
    <w:rsid w:val="008840E5"/>
    <w:rsid w:val="00887B3E"/>
    <w:rsid w:val="008C2AC6"/>
    <w:rsid w:val="00916F6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67D"/>
    <w:rsid w:val="00BD48FE"/>
    <w:rsid w:val="00BD7BD8"/>
    <w:rsid w:val="00BE6ADC"/>
    <w:rsid w:val="00C05BFE"/>
    <w:rsid w:val="00C23CD4"/>
    <w:rsid w:val="00C264FF"/>
    <w:rsid w:val="00C42CC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E0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C55"/>
    <w:rsid w:val="00F74202"/>
    <w:rsid w:val="00F85B55"/>
    <w:rsid w:val="00F87713"/>
    <w:rsid w:val="00FB4360"/>
    <w:rsid w:val="00FC560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16028"/>
  <w15:chartTrackingRefBased/>
  <w15:docId w15:val="{EFBDC814-807D-4EC0-86DD-64E4F477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,BVI fnr,C26 Footnote Number,Footnote,Footnote Reference Number,Footnote Reference_LVL6,Footnote Reference_LVL61,Footnote Reference_LVL62,Footnote Reference_LVL63,Footnote Reference_LVL64,Footnote Reference_LVL65,Footnote symbol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A367D"/>
    <w:pPr>
      <w:spacing w:after="240"/>
      <w:ind w:left="567" w:hanging="567"/>
    </w:pPr>
  </w:style>
  <w:style w:type="paragraph" w:customStyle="1" w:styleId="EPComma">
    <w:name w:val="EPComma"/>
    <w:basedOn w:val="Normal"/>
    <w:rsid w:val="00BA367D"/>
    <w:pPr>
      <w:spacing w:before="480" w:after="240"/>
    </w:pPr>
  </w:style>
  <w:style w:type="paragraph" w:customStyle="1" w:styleId="Action">
    <w:name w:val="Action"/>
    <w:basedOn w:val="Normal"/>
    <w:rsid w:val="00BA367D"/>
    <w:pPr>
      <w:tabs>
        <w:tab w:val="left" w:pos="357"/>
      </w:tabs>
      <w:spacing w:after="240"/>
      <w:ind w:left="357" w:hanging="357"/>
    </w:pPr>
  </w:style>
  <w:style w:type="paragraph" w:customStyle="1" w:styleId="FootnoteReference1">
    <w:name w:val="Footnote Reference1"/>
    <w:basedOn w:val="Normal"/>
    <w:link w:val="FootnoteReference"/>
    <w:rsid w:val="00BA367D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action0">
    <w:name w:val="action"/>
    <w:basedOn w:val="Normal"/>
    <w:rsid w:val="00BA367D"/>
    <w:pPr>
      <w:widowControl/>
      <w:spacing w:after="240"/>
      <w:ind w:left="357" w:hanging="357"/>
    </w:pPr>
    <w:rPr>
      <w:rFonts w:eastAsiaTheme="minorHAnsi"/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BA367D"/>
    <w:rPr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BA367D"/>
    <w:rPr>
      <w:i/>
      <w:iCs/>
    </w:rPr>
  </w:style>
  <w:style w:type="character" w:styleId="CommentReference">
    <w:name w:val="annotation reference"/>
    <w:basedOn w:val="DefaultParagraphFont"/>
    <w:rsid w:val="00F85B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5B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5B5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85B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5B5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85B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5B5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F85B5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547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AE39C-32A1-4FD7-9E26-B2D042526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3467</Words>
  <Characters>18538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2024-10-04T12:50:00Z</dcterms:created>
  <dcterms:modified xsi:type="dcterms:W3CDTF">2024-10-04T12:50:00Z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P9_TA(2024)0373_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